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C3DD" w14:textId="1D8EFAB4" w:rsidR="00461B31" w:rsidRPr="008003F8" w:rsidRDefault="00461B31" w:rsidP="00461B31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2"/>
          <w:szCs w:val="22"/>
        </w:rPr>
      </w:pPr>
      <w:r w:rsidRPr="008003F8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A07574" w:rsidRPr="008003F8">
        <w:rPr>
          <w:rFonts w:ascii="Tahoma" w:hAnsi="Tahoma" w:cs="Tahoma"/>
          <w:b/>
          <w:bCs/>
          <w:sz w:val="22"/>
          <w:szCs w:val="22"/>
        </w:rPr>
        <w:t>4</w:t>
      </w:r>
      <w:r w:rsidRPr="008003F8">
        <w:rPr>
          <w:rFonts w:ascii="Tahoma" w:hAnsi="Tahoma" w:cs="Tahoma"/>
          <w:b/>
          <w:bCs/>
          <w:sz w:val="22"/>
          <w:szCs w:val="22"/>
        </w:rPr>
        <w:t xml:space="preserve"> do SWZ</w:t>
      </w:r>
      <w:r w:rsidR="009E288C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03ADA9B" w14:textId="77777777" w:rsidR="00616C16" w:rsidRPr="00616C16" w:rsidRDefault="00616C16" w:rsidP="00616C16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5CE14506" w14:textId="77777777" w:rsidR="00616C16" w:rsidRPr="00616C16" w:rsidRDefault="00616C16" w:rsidP="00616C16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ISTOTNE POSTANOWIENIA UMOWY </w:t>
      </w:r>
    </w:p>
    <w:p w14:paraId="4921D36B" w14:textId="77777777" w:rsidR="00616C16" w:rsidRPr="00616C16" w:rsidRDefault="00616C16" w:rsidP="00616C16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31B87A5A" w14:textId="77777777" w:rsidR="00616C16" w:rsidRPr="00616C16" w:rsidRDefault="00616C16" w:rsidP="00616C16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/>
          <w:bCs/>
          <w:sz w:val="22"/>
          <w:szCs w:val="22"/>
          <w:lang w:eastAsia="en-US"/>
        </w:rPr>
        <w:t>W razie sprzeczności poniższych postanowień z zapisami wzorów umów stosowanych przez Wykonawców pierwszeństwo mają zapisy niniejszych Istotnych postanowień umowy.</w:t>
      </w:r>
    </w:p>
    <w:p w14:paraId="0D3A974E" w14:textId="77777777" w:rsidR="00616C16" w:rsidRPr="00616C16" w:rsidRDefault="00616C16" w:rsidP="00616C16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1BCB3F30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Umowa zostanie zawarta na wzorze Wykonawcy, z zastrzeżeniem umieszczenia dodatkowych zapisów, istotnych z punktu widzenia Zamawiającego:</w:t>
      </w:r>
    </w:p>
    <w:p w14:paraId="5F43E296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Umowę zawarto na podstawie postępowania przeprowadzonego w trybie podstawowym na podstawie ustawy z dnia 11 września 2019 r. Prawo zamówień publicznych.</w:t>
      </w:r>
    </w:p>
    <w:p w14:paraId="4A587FA4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Umowa zostaje zawarta na okres oznaczony od 01.01.2023 r. do 31.12.2023 r.</w:t>
      </w:r>
    </w:p>
    <w:p w14:paraId="402586AD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Świadczenie usługi kompleksowej nastąpi nie wcześniej niż z dniem rozpoczęcia świadczenia usługi dystrybucji przez OSD w ramach danej umowy.</w:t>
      </w:r>
    </w:p>
    <w:p w14:paraId="7AAC7B5A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Z przyczyn formalno-prawnych, Zamawiający dopuszcza zmianę terminu rozpoczęcia wykonania zamówienia z zastrzeżeniem granicznego terminu wykonania zamówienia do 31.12.2022r., jednak nie wcześniej niż po skutecznym rozwiązaniu umowy, na podstawie której dotychczas Zamawiający odbierał paliwo gazowe oraz skutecznym przeprowadzeniu procesu zmiany sprzedawcy u Operatora Systemu Dystrybucyjnego</w:t>
      </w:r>
    </w:p>
    <w:p w14:paraId="46052A19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Szacowana ilość poboru gazu ziemnego na potrzeby Zamawiającego w okresie trwania Umowy wynosi: kWh.</w:t>
      </w:r>
    </w:p>
    <w:p w14:paraId="4F2CEB68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Szacunkową wartość umowy określa się na:</w:t>
      </w:r>
    </w:p>
    <w:p w14:paraId="094FC4F5" w14:textId="77777777" w:rsidR="00616C16" w:rsidRPr="00616C16" w:rsidRDefault="00616C16" w:rsidP="00616C16">
      <w:pPr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 xml:space="preserve">brutto: ………………………………. zł [cena oferty brutto] </w:t>
      </w:r>
    </w:p>
    <w:p w14:paraId="5443AC1E" w14:textId="77777777" w:rsidR="00616C16" w:rsidRPr="00616C16" w:rsidRDefault="00616C16" w:rsidP="00616C16">
      <w:pPr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netto:  ……………………………….. zł [ cena oferty netto]</w:t>
      </w:r>
    </w:p>
    <w:p w14:paraId="432ECED1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podatek VAT  ….. %: ……………………………..</w:t>
      </w:r>
    </w:p>
    <w:p w14:paraId="75C1128C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Zmiana szacunkowej wartości umowy tj. zwiększenie lub zmniejszenie nie wymaga aneksu do umowy.</w:t>
      </w:r>
    </w:p>
    <w:p w14:paraId="0AF170E9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Okres rozliczeniowy wynosi 1 miesiąc.</w:t>
      </w:r>
    </w:p>
    <w:p w14:paraId="6B854B6C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Rozliczenia za sprzedaż gazu i usługę dystrybucji będą dokonywane na podstawie miesięcznych wskazań układu pomiarowo-rozliczeniowego.</w:t>
      </w:r>
    </w:p>
    <w:p w14:paraId="73AB5196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Warunki płatności: przelew do 14 dni:</w:t>
      </w:r>
    </w:p>
    <w:p w14:paraId="0E65E24E" w14:textId="77777777" w:rsidR="00616C16" w:rsidRPr="00616C16" w:rsidRDefault="00616C16" w:rsidP="00616C1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60" w:line="276" w:lineRule="auto"/>
        <w:contextualSpacing/>
        <w:jc w:val="both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w przypadku faktur wystawianych w wersji elektronicznej – od daty zamieszczenia faktury na serwerze pocztowym Zamawiającego,</w:t>
      </w:r>
    </w:p>
    <w:p w14:paraId="75A772B8" w14:textId="77777777" w:rsidR="00616C16" w:rsidRPr="00616C16" w:rsidRDefault="00616C16" w:rsidP="00616C1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60" w:line="276" w:lineRule="auto"/>
        <w:contextualSpacing/>
        <w:jc w:val="both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w przypadku faktur wystawianych w wersji papierowej – od daty otrzymania faktury przez Zamawiającego.</w:t>
      </w:r>
    </w:p>
    <w:p w14:paraId="33E8F960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Za dzień zapłaty uznaje się dzień obciążenia rachunku Zleceniodawcy.</w:t>
      </w:r>
    </w:p>
    <w:p w14:paraId="0BB3AD86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Zamawiający dopuszcza możliwość wystawiania faktur częściowych (raty planowe) oraz faktury rozliczeniowej (na ostatni dzień miesiąca).</w:t>
      </w:r>
    </w:p>
    <w:p w14:paraId="07149266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Załącznikiem do faktury rozliczeniowej jest dokument przedstawiający</w:t>
      </w:r>
      <w:r w:rsidRPr="00616C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zestawienie miesięczne dobowego zużycia gazu.</w:t>
      </w:r>
    </w:p>
    <w:p w14:paraId="3B4106AE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Faktura powinna być wystawiona na:</w:t>
      </w:r>
    </w:p>
    <w:p w14:paraId="48AA20D2" w14:textId="77777777" w:rsidR="00616C16" w:rsidRPr="00616C16" w:rsidRDefault="00616C16" w:rsidP="00616C16">
      <w:pPr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Nabywca: Powiat Olkuski, 32-300 Olkusz, ul. Mickiewicza 2, NIP 6374678</w:t>
      </w:r>
    </w:p>
    <w:p w14:paraId="41B9E970" w14:textId="77777777" w:rsidR="00616C16" w:rsidRPr="00616C16" w:rsidRDefault="00616C16" w:rsidP="00616C16">
      <w:pPr>
        <w:spacing w:line="288" w:lineRule="auto"/>
        <w:ind w:left="720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t>Odbiorca i płatnik: Starostwo Powiatowe w Olkuszu, 32-300 Olkusz, ul. Mickiewicza 2</w:t>
      </w:r>
    </w:p>
    <w:p w14:paraId="143D3CAA" w14:textId="77777777" w:rsidR="00616C16" w:rsidRPr="00616C16" w:rsidRDefault="00616C16" w:rsidP="00616C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bCs/>
          <w:sz w:val="22"/>
          <w:szCs w:val="22"/>
          <w:lang w:eastAsia="en-US"/>
        </w:rPr>
        <w:lastRenderedPageBreak/>
        <w:t>Płatność z rachunku wydatków budżetowych – dział 750, rozdział 75020, 75085 § 4260.</w:t>
      </w:r>
    </w:p>
    <w:p w14:paraId="0C4D0A78" w14:textId="77777777" w:rsidR="00616C16" w:rsidRPr="00616C16" w:rsidRDefault="00616C16" w:rsidP="00616C1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line="288" w:lineRule="auto"/>
        <w:contextualSpacing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Umowa może być zmieniona w stosunku do treści oferty, na podstawie, której dokonano wyboru wykonawcy w poniższym zakresie:</w:t>
      </w:r>
    </w:p>
    <w:p w14:paraId="029766BA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zmiany danych teleadresowych osób reprezentujących firmę;</w:t>
      </w:r>
    </w:p>
    <w:p w14:paraId="054CABD7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zmian podwykonawcy, przy pomocy, którego Wykonawca realizuje przedmiot umowy;</w:t>
      </w:r>
    </w:p>
    <w:p w14:paraId="69690869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rozszerzenie zakresu podwykonawstwa w porównaniu do wskazanego w ofercie Wykonawcy;</w:t>
      </w:r>
    </w:p>
    <w:p w14:paraId="7D74828B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 przypadku urzędowej zmiany stawki podatku VAT . W takim przypadku zmianie podlegać będzie kwota podatku VAT;</w:t>
      </w:r>
    </w:p>
    <w:p w14:paraId="79C0FA51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(umowy);</w:t>
      </w:r>
    </w:p>
    <w:p w14:paraId="7B4FDDF3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zmian taryfy OSD wprowadzanymi zgodnie z postanowieniami Prawa Energetycznego;</w:t>
      </w:r>
    </w:p>
    <w:p w14:paraId="42029C1A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utratą przez Zamawiającego tytułu prawnego do punktu odbioru;</w:t>
      </w:r>
    </w:p>
    <w:p w14:paraId="792B6FC7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 przypadku konieczności zmniejszenia lub zwiększenia mocy umownej,</w:t>
      </w:r>
    </w:p>
    <w:p w14:paraId="126C196F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zmiana grupy taryfowej;</w:t>
      </w:r>
    </w:p>
    <w:p w14:paraId="58187FC7" w14:textId="77777777" w:rsidR="00616C16" w:rsidRPr="00616C16" w:rsidRDefault="00616C16" w:rsidP="00616C16">
      <w:pPr>
        <w:numPr>
          <w:ilvl w:val="0"/>
          <w:numId w:val="10"/>
        </w:numPr>
        <w:spacing w:line="276" w:lineRule="auto"/>
        <w:ind w:left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wystąpienie konieczności wprowadzenia zmian spowodowanych następującymi okoliczno</w:t>
      </w:r>
      <w:bookmarkStart w:id="0" w:name="_GoBack"/>
      <w:bookmarkEnd w:id="0"/>
      <w:r w:rsidRPr="00616C16">
        <w:rPr>
          <w:rFonts w:ascii="Tahoma" w:eastAsia="Calibri" w:hAnsi="Tahoma" w:cs="Tahoma"/>
          <w:sz w:val="22"/>
          <w:szCs w:val="22"/>
          <w:lang w:eastAsia="en-US"/>
        </w:rPr>
        <w:t>ściami: siła wyższa uniemożliwiająca wykonanie przedmiotu umowy;</w:t>
      </w:r>
    </w:p>
    <w:p w14:paraId="3EEAE7EF" w14:textId="77777777" w:rsidR="00616C16" w:rsidRPr="00616C16" w:rsidRDefault="00616C16" w:rsidP="00616C16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4D09237" w14:textId="77777777" w:rsidR="00616C16" w:rsidRPr="00616C16" w:rsidRDefault="00616C16" w:rsidP="00616C16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 przypadku wystąpienia okoliczności określonych w pkt. d, e i f ceny i stawki ulegają automatycznie zmianie od dnia wejścia ich w życie bez konieczności sporządzania aneksu.</w:t>
      </w:r>
    </w:p>
    <w:p w14:paraId="60863261" w14:textId="77777777" w:rsidR="00616C16" w:rsidRPr="00616C16" w:rsidRDefault="00616C16" w:rsidP="00616C16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 xml:space="preserve">W przypadku wystąpienia okoliczności określonych w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17478A62" w14:textId="77777777" w:rsidR="00616C16" w:rsidRPr="00616C16" w:rsidRDefault="00616C16" w:rsidP="00616C16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W przypadku wystąpienia okoliczności określonych w pkt. h ceny i stawki za usługi dystrybucyjne ulegają automatycznie zmianie zgodnie z taryfą OSD bez konieczności sporządzania aneksu.</w:t>
      </w:r>
    </w:p>
    <w:p w14:paraId="2E948E98" w14:textId="77777777" w:rsidR="00616C16" w:rsidRPr="00616C16" w:rsidRDefault="00616C16" w:rsidP="00616C16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142F3184" w14:textId="77777777" w:rsidR="00616C16" w:rsidRPr="00616C16" w:rsidRDefault="00616C16" w:rsidP="00616C16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Aneks do umowy o przedmiotowe zamówienie wymagać będzie dla swojej</w:t>
      </w:r>
      <w:r w:rsidRPr="00616C16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616C16">
        <w:rPr>
          <w:rFonts w:ascii="Tahoma" w:eastAsia="Calibri" w:hAnsi="Tahoma" w:cs="Tahoma"/>
          <w:sz w:val="22"/>
          <w:szCs w:val="22"/>
          <w:lang w:eastAsia="en-US"/>
        </w:rPr>
        <w:t>ważności, zachowania formy pisemnej w sytuacjach:</w:t>
      </w:r>
    </w:p>
    <w:p w14:paraId="718B55B0" w14:textId="77777777" w:rsidR="00616C16" w:rsidRPr="00616C16" w:rsidRDefault="00616C16" w:rsidP="00616C16">
      <w:pPr>
        <w:numPr>
          <w:ilvl w:val="1"/>
          <w:numId w:val="11"/>
        </w:numPr>
        <w:autoSpaceDE w:val="0"/>
        <w:autoSpaceDN w:val="0"/>
        <w:adjustRightInd w:val="0"/>
        <w:spacing w:before="360" w:line="276" w:lineRule="auto"/>
        <w:ind w:left="567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09633EBF" w14:textId="77777777" w:rsidR="00616C16" w:rsidRPr="00616C16" w:rsidRDefault="00616C16" w:rsidP="00616C16">
      <w:pPr>
        <w:numPr>
          <w:ilvl w:val="1"/>
          <w:numId w:val="11"/>
        </w:numPr>
        <w:autoSpaceDE w:val="0"/>
        <w:autoSpaceDN w:val="0"/>
        <w:adjustRightInd w:val="0"/>
        <w:spacing w:before="360" w:line="276" w:lineRule="auto"/>
        <w:ind w:left="567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gdy zmiany są korzystne dla Zamawiającego,</w:t>
      </w:r>
    </w:p>
    <w:p w14:paraId="3F6AD7F7" w14:textId="77777777" w:rsidR="00616C16" w:rsidRPr="00616C16" w:rsidRDefault="00616C16" w:rsidP="00616C16">
      <w:pPr>
        <w:numPr>
          <w:ilvl w:val="1"/>
          <w:numId w:val="11"/>
        </w:numPr>
        <w:autoSpaceDE w:val="0"/>
        <w:autoSpaceDN w:val="0"/>
        <w:adjustRightInd w:val="0"/>
        <w:spacing w:before="360" w:line="276" w:lineRule="auto"/>
        <w:ind w:left="567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16C16">
        <w:rPr>
          <w:rFonts w:ascii="Tahoma" w:eastAsia="Calibri" w:hAnsi="Tahoma" w:cs="Tahoma"/>
          <w:sz w:val="22"/>
          <w:szCs w:val="22"/>
          <w:lang w:eastAsia="en-US"/>
        </w:rPr>
        <w:t>gdy wystąpiły zmiany unormowań prawnych powszechnie obowiązujących, które będą miały wpływ na realizację umowy.</w:t>
      </w:r>
    </w:p>
    <w:p w14:paraId="00EBE983" w14:textId="77777777" w:rsidR="00616C16" w:rsidRPr="00616C16" w:rsidRDefault="00616C16" w:rsidP="00616C16">
      <w:pPr>
        <w:suppressAutoHyphens/>
        <w:overflowPunct w:val="0"/>
        <w:autoSpaceDE w:val="0"/>
        <w:spacing w:line="276" w:lineRule="auto"/>
        <w:ind w:left="567"/>
        <w:jc w:val="both"/>
        <w:textAlignment w:val="baseline"/>
        <w:rPr>
          <w:rFonts w:ascii="Tahoma" w:eastAsia="Calibri" w:hAnsi="Tahoma" w:cs="Tahoma"/>
          <w:sz w:val="22"/>
          <w:szCs w:val="22"/>
          <w:lang w:eastAsia="ar-SA"/>
        </w:rPr>
      </w:pPr>
    </w:p>
    <w:p w14:paraId="756A04B4" w14:textId="77777777" w:rsidR="00616C16" w:rsidRPr="00616C16" w:rsidRDefault="00616C16" w:rsidP="00616C1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</w:p>
    <w:p w14:paraId="7F435D7B" w14:textId="77777777" w:rsidR="00616C16" w:rsidRPr="00616C16" w:rsidRDefault="00616C16" w:rsidP="00616C16">
      <w:pPr>
        <w:ind w:left="1980"/>
        <w:jc w:val="both"/>
        <w:rPr>
          <w:rFonts w:ascii="Tahoma" w:eastAsia="Calibri" w:hAnsi="Tahoma" w:cs="Tahoma"/>
          <w:lang w:eastAsia="en-US"/>
        </w:rPr>
      </w:pPr>
    </w:p>
    <w:p w14:paraId="6DCBB5E0" w14:textId="77777777" w:rsidR="002F4796" w:rsidRPr="008003F8" w:rsidRDefault="002F4796">
      <w:pPr>
        <w:rPr>
          <w:rFonts w:ascii="Tahoma" w:hAnsi="Tahoma" w:cs="Tahoma"/>
        </w:rPr>
      </w:pPr>
    </w:p>
    <w:sectPr w:rsidR="002F4796" w:rsidRPr="008003F8" w:rsidSect="002F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043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4C311A4"/>
    <w:multiLevelType w:val="hybridMultilevel"/>
    <w:tmpl w:val="C6D0B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47A"/>
    <w:multiLevelType w:val="hybridMultilevel"/>
    <w:tmpl w:val="6C268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31"/>
    <w:rsid w:val="000355E2"/>
    <w:rsid w:val="00267CC7"/>
    <w:rsid w:val="002F4796"/>
    <w:rsid w:val="00370735"/>
    <w:rsid w:val="003B12F7"/>
    <w:rsid w:val="003D2EF2"/>
    <w:rsid w:val="00461B31"/>
    <w:rsid w:val="00464797"/>
    <w:rsid w:val="004D272B"/>
    <w:rsid w:val="0057349B"/>
    <w:rsid w:val="00592E17"/>
    <w:rsid w:val="00616C16"/>
    <w:rsid w:val="00655AC0"/>
    <w:rsid w:val="006743C7"/>
    <w:rsid w:val="006B25BA"/>
    <w:rsid w:val="007767CC"/>
    <w:rsid w:val="007C34B4"/>
    <w:rsid w:val="007C6283"/>
    <w:rsid w:val="008003F8"/>
    <w:rsid w:val="0083290E"/>
    <w:rsid w:val="00956C70"/>
    <w:rsid w:val="009E288C"/>
    <w:rsid w:val="00A07574"/>
    <w:rsid w:val="00A51760"/>
    <w:rsid w:val="00AD121E"/>
    <w:rsid w:val="00B831C3"/>
    <w:rsid w:val="00B91F02"/>
    <w:rsid w:val="00D66240"/>
    <w:rsid w:val="00DA2E6B"/>
    <w:rsid w:val="00F9624D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Kinga Pomierna</cp:lastModifiedBy>
  <cp:revision>4</cp:revision>
  <cp:lastPrinted>2021-11-08T11:33:00Z</cp:lastPrinted>
  <dcterms:created xsi:type="dcterms:W3CDTF">2022-10-04T05:44:00Z</dcterms:created>
  <dcterms:modified xsi:type="dcterms:W3CDTF">2022-10-04T06:45:00Z</dcterms:modified>
</cp:coreProperties>
</file>