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4F" w:rsidRDefault="00575582" w:rsidP="00847C04">
      <w:pPr>
        <w:pStyle w:val="Nagwek4"/>
        <w:pageBreakBefore/>
      </w:pPr>
      <w:r>
        <w:t>OPZ – Warunki ogólne, warunki gwarancyjn</w:t>
      </w:r>
      <w:bookmarkStart w:id="0" w:name="_GoBack"/>
      <w:bookmarkEnd w:id="0"/>
      <w:r>
        <w:t>e i serwisowe</w:t>
      </w:r>
    </w:p>
    <w:p w:rsidR="007A264F" w:rsidRDefault="007A264F" w:rsidP="007A264F">
      <w:pPr>
        <w:pStyle w:val="Nagwek1"/>
      </w:pPr>
      <w:r>
        <w:t>Warunki ogólne:</w:t>
      </w:r>
    </w:p>
    <w:p w:rsidR="007A264F" w:rsidRDefault="007A264F" w:rsidP="007A264F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Dostarczony przez Wykonawcę Przedmiot umowy jest fabrycznie nowy, nie starszy niż 6 miesięcy od daty jego wyprodukowania, wolny od wad fizycznych i prawnych, Wykonawca gwarantuje, iż nie toczy się postępowanie, którego przedmiotem jest sprzęt oraz, nie są one obciążone zastawem, zastawem rejestrowym ani skarbowym ani innymi ograniczonymi prawami rzeczowymi, pakowany jest w oryginalne bezzwrotne opakowania producenta. </w:t>
      </w:r>
    </w:p>
    <w:p w:rsidR="007A264F" w:rsidRDefault="007A264F" w:rsidP="007A264F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Dostarczony Sprzęt posiada oznakowanie (certyfikat) CE — </w:t>
      </w:r>
      <w:proofErr w:type="spellStart"/>
      <w:r>
        <w:rPr>
          <w:rFonts w:ascii="Calibri" w:eastAsia="Times New Roman" w:hAnsi="Calibri" w:cs="Calibri"/>
          <w:sz w:val="20"/>
          <w:szCs w:val="20"/>
          <w:lang w:eastAsia="pl-PL"/>
        </w:rPr>
        <w:t>Conformite</w:t>
      </w:r>
      <w:proofErr w:type="spellEnd"/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sz w:val="20"/>
          <w:szCs w:val="20"/>
          <w:lang w:eastAsia="pl-PL"/>
        </w:rPr>
        <w:t>Europeenne</w:t>
      </w:r>
      <w:proofErr w:type="spellEnd"/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</w:p>
    <w:p w:rsidR="007A264F" w:rsidRDefault="007A264F" w:rsidP="007A264F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>Dokumentacja (standardowo dołączana przez producentów Sprzętu) dostarczona w ramach realizacji Umowy będzie w języku polskim.</w:t>
      </w:r>
    </w:p>
    <w:p w:rsidR="007A264F" w:rsidRDefault="007A264F" w:rsidP="007A264F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oświadcza oraz gwarantuje, iż: </w:t>
      </w:r>
    </w:p>
    <w:p w:rsidR="007A264F" w:rsidRDefault="007A264F" w:rsidP="007A264F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center"/>
      </w:pPr>
      <w:r>
        <w:rPr>
          <w:rFonts w:eastAsia="Times New Roman" w:cs="Calibri"/>
          <w:sz w:val="20"/>
          <w:szCs w:val="20"/>
          <w:lang w:eastAsia="pl-PL"/>
        </w:rPr>
        <w:t xml:space="preserve">Sprzęt jest zgodny z Umową i realizuje wszystkie funkcjonalności opisane w Załączniku nr 1 do Umowy; </w:t>
      </w:r>
    </w:p>
    <w:p w:rsidR="007A264F" w:rsidRDefault="007A264F" w:rsidP="007A264F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center"/>
      </w:pPr>
      <w:r>
        <w:rPr>
          <w:rFonts w:eastAsia="Times New Roman" w:cs="Calibri"/>
          <w:sz w:val="20"/>
          <w:szCs w:val="20"/>
          <w:lang w:eastAsia="pl-PL"/>
        </w:rPr>
        <w:t xml:space="preserve">rozwiązania przyjęte dla Sprzętu zapewnią kompatybilność z innymi dostępnymi na rynku  rozwiązaniami technicznymi i umożliwią świadczenie serwisu gwarancyjnego przez inne podmioty. </w:t>
      </w:r>
    </w:p>
    <w:p w:rsidR="007A264F" w:rsidRPr="008E3893" w:rsidRDefault="007A264F" w:rsidP="008E3893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zobowiązany jest do dostarczenia Zamawiającemu i przestrzegania wszystkich certyfikatów, licencji i zezwoleń wymaganych przez prawo kraju Wykonawcy i Zamawiającego dla bezpiecznego użytkowania Sprzętu w Polsce. </w:t>
      </w:r>
    </w:p>
    <w:p w:rsidR="007A264F" w:rsidRPr="008E3893" w:rsidRDefault="007A264F" w:rsidP="008E3893">
      <w:pPr>
        <w:widowControl/>
        <w:numPr>
          <w:ilvl w:val="0"/>
          <w:numId w:val="7"/>
        </w:numPr>
        <w:suppressAutoHyphens w:val="0"/>
        <w:ind w:left="540"/>
        <w:jc w:val="both"/>
        <w:textAlignment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Wykonawca poniesie koszty dostawy urządzeń do wskazanej przez zamawiającego lokalizacji</w:t>
      </w:r>
      <w:r w:rsidR="00C52B25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7A264F" w:rsidRDefault="007A264F" w:rsidP="007A264F">
      <w:r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:rsidR="007A264F" w:rsidRDefault="007A264F" w:rsidP="007A264F">
      <w:pPr>
        <w:pStyle w:val="Nagwek1"/>
        <w:numPr>
          <w:ilvl w:val="0"/>
          <w:numId w:val="0"/>
        </w:numPr>
      </w:pPr>
      <w:r>
        <w:t xml:space="preserve">Warunki gwarancyjne i serwisowe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Okres gwarancji na przedmiot umowy będzie wynosił …. miesięcy (min. … miesięcy, zostanie wypełnione zgodnie z ofertą Wykonawcy), przy czym bieg okresu gwarancji rozpocznie się z chwilą podpisania bez ustrzeżeń protokołu odbioru produktu.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Do dostarczonego sprzętu będą dołączone karty gwarancyjne (podlegające akceptacji Zamawiającego)zawierające numery seryjne urządzenia, termin i warunki ważności gwarancji (zgodnie z Umową), adresy i numery telefonów punktów serwisowych świadczących usługi gwarancyjne.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Zamawiający wymaga, by serwis gwarancyjny był świadczony przez Wykonawcę na terytorium Polski.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Gwarancja obejmuje wady materiałowe i konstrukcyjne, a także nie spełnienie deklarowanych przez producenta parametrów i/lub funkcji użytkowych, naprawę wykrytych uszkodzeń komponentów urządzeń w tym wymianę uszkodzonych podzespołów na nowe.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Zgłoszenia o awariach sprzętu będą przyjmowane przez Wykonawcę w dni robocze (od poniedziałku do piątku) w godz. 7:30 — 15:30 faksem/e-mailem, Zgłoszenia otrzymane po godzinie 15.30 będą traktowane jako zgłoszenia otrzymane o 7:30 rano dnia następnego. </w:t>
      </w:r>
    </w:p>
    <w:p w:rsidR="00C52B25" w:rsidRPr="008E3893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Zgłoszenia Sprzętu do naprawy będą odbywały się z siedziby jednostek Policji użytkujących Sprzęt, przez </w:t>
      </w:r>
      <w:r w:rsidR="00C52B25" w:rsidRPr="00C52B25">
        <w:rPr>
          <w:rFonts w:ascii="Calibri" w:eastAsia="Times New Roman" w:hAnsi="Calibri" w:cs="Calibri"/>
          <w:sz w:val="20"/>
          <w:szCs w:val="20"/>
          <w:lang w:eastAsia="pl-PL"/>
        </w:rPr>
        <w:t>pracowników</w:t>
      </w: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 Komend</w:t>
      </w:r>
      <w:r w:rsidR="00C52B25" w:rsidRPr="00C52B25">
        <w:rPr>
          <w:rFonts w:ascii="Calibri" w:eastAsia="Times New Roman" w:hAnsi="Calibri" w:cs="Calibri"/>
          <w:sz w:val="20"/>
          <w:szCs w:val="20"/>
          <w:lang w:eastAsia="pl-PL"/>
        </w:rPr>
        <w:t>y</w:t>
      </w: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 Wojewódzki</w:t>
      </w:r>
      <w:r w:rsidR="00C52B25" w:rsidRPr="00C52B25">
        <w:rPr>
          <w:rFonts w:ascii="Calibri" w:eastAsia="Times New Roman" w:hAnsi="Calibri" w:cs="Calibri"/>
          <w:sz w:val="20"/>
          <w:szCs w:val="20"/>
          <w:lang w:eastAsia="pl-PL"/>
        </w:rPr>
        <w:t>ej</w:t>
      </w: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 Policji</w:t>
      </w:r>
      <w:r w:rsidR="00C52B25"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 we Wrocławiu</w:t>
      </w: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</w:p>
    <w:p w:rsidR="007A264F" w:rsidRDefault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>Odbiór Sprzętu do naprawy jak i ich zwrot po dokonaniu naprawy odbywać się będzie w siedzibie jednostek Policji na terenie kraju użytkujących sprzęt (tj. KWP</w:t>
      </w:r>
      <w:r w:rsidR="00C52B25">
        <w:rPr>
          <w:rFonts w:ascii="Calibri" w:eastAsia="Times New Roman" w:hAnsi="Calibri" w:cs="Calibri"/>
          <w:sz w:val="20"/>
          <w:szCs w:val="20"/>
          <w:lang w:eastAsia="pl-PL"/>
        </w:rPr>
        <w:t>/KMP</w:t>
      </w:r>
      <w:r w:rsidRPr="00C52B25">
        <w:rPr>
          <w:rFonts w:ascii="Calibri" w:eastAsia="Times New Roman" w:hAnsi="Calibri" w:cs="Calibri"/>
          <w:sz w:val="20"/>
          <w:szCs w:val="20"/>
          <w:lang w:eastAsia="pl-PL"/>
        </w:rPr>
        <w:t xml:space="preserve">/KPP).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Wykonanie naprawy i usunięcie awarii (zakończenie naprawy) Sprzętu musi nastąpić w ciągu 10 dni roboczych od chwili zgłoszenia awarii drogą faksową lub mailową do siedziby serwisu do momentu zwrotu Sprzętu po naprawie do siedziby użytkownika końcowego. Koszt odbioru sprzętu do naprawy i dostarczenia do siedziby użytkownika końcowego po naprawie ponosi Wykonawca.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>Gwarancja obejmuje:</w:t>
      </w:r>
    </w:p>
    <w:p w:rsidR="007A264F" w:rsidRDefault="007A264F" w:rsidP="007A264F">
      <w:pPr>
        <w:widowControl/>
        <w:numPr>
          <w:ilvl w:val="1"/>
          <w:numId w:val="2"/>
        </w:numPr>
        <w:suppressAutoHyphens w:val="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>Wady materiałowe i konstrukcyjne, a także nie spełnienie deklarowanych przez producenta parametrów i/lub funkcji użytkowych,</w:t>
      </w:r>
    </w:p>
    <w:p w:rsidR="007A264F" w:rsidRDefault="007A264F" w:rsidP="007A264F">
      <w:pPr>
        <w:widowControl/>
        <w:numPr>
          <w:ilvl w:val="1"/>
          <w:numId w:val="2"/>
        </w:numPr>
        <w:suppressAutoHyphens w:val="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Naprawę wykrytych uszkodzeń, w tym wymianę uszkodzonych podzespołów na nowe, nie dotyczy to materiałów wyłączonych z gwarancji przez producenta sprzętu,</w:t>
      </w:r>
    </w:p>
    <w:p w:rsidR="007A264F" w:rsidRDefault="007A264F" w:rsidP="007A264F">
      <w:pPr>
        <w:widowControl/>
        <w:numPr>
          <w:ilvl w:val="1"/>
          <w:numId w:val="2"/>
        </w:numPr>
        <w:suppressAutoHyphens w:val="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>Usuwanie wykrytych usterek i błędów funkcjonalnych w działaniu urządzeń i oprogramowania,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Wykonawca nie może odmówić usunięcia wad ze względu na wysokość związanych z tym kosztów.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odmowy naprawy ze względu na uszkodzenia spowodowane z winy użytkownika, Wykonawca zapewni bez kosztową wycenę uszkodzenia sprzętu i do ekspertyzy dołączy fotograficzną i prześle ją do osoby zgłaszającej awarię. Sprzęt (nie naprawiony) zostanie niezwłocznie zwrócony do użytkownika bez obciążania kosztami ekspertyzy, transportem (zwrotu) czy naprawą.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niewykonania naprawy w terminie podanym w pkt. 8, na okres przedłużającej się naprawy bądź usuwania awarii, Wykonawca dostarczy użytkownikowi końcowemu sprzęt o parametrach technicznych nie gorszych niż podlegający wymianie, wolny od wad, równoważny funkcjonalnie co będzie traktowane jako procedura zastępcza.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Dostawa przedmiotowego sprzętu nastąpi nie później niż w pierwszym dniu roboczym liczonym od ostatniego dnia wyznaczonego na dokonanie naprawy gwarancyjnej. Koszt dostawy sprzętu zastępczego do użytkownika końcowego oraz koszt jego odbioru ponosi Wykonawca.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Trzykrotne uszkodzenie tego samego egzemplarza sprzętu zaistniałe w okresie gwarancji obliguje Wykonawcę do wymiany tego sprzętu na nowy, wolny od wad, równoważny funkcjonalnie, w terminie 14 dni od daty ostatniego zgłoszenia. Okres gwarancji dla wymienionego sprzętu rozpocznie się z chwilą jego dostarczenia.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jeżeli Wykonawca nie dokona naprawy Urządzenia w terminach i na zasadach wskazanych powyżej, Zamawiający ma prawo zlecić usunięcie wady lub usterki osobie trzeciej na koszt i ryzyko Wykonawcy bez potrzeby odrębnego wezwania i bez utraty gwarancji, zachowując jednocześnie prawo do naliczenia kary umownej, na zasadach określonych w Umowie (wykonanie zastępcze).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>Procedury zastępcze nie mogą trwać dłużej niż 30 dni kalendarzowych od chwili zgłoszenia awarii, chyba, że Strony pisemnie postanowią inaczej.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Fakt awarii, naprawy i ewentualnie wymiany Sprzętu na nowy będzie każdorazowo odnotowany w karcie gwarancyjnej. </w:t>
      </w:r>
    </w:p>
    <w:p w:rsidR="007A264F" w:rsidRDefault="007A264F" w:rsidP="007A264F">
      <w:pPr>
        <w:widowControl/>
        <w:numPr>
          <w:ilvl w:val="0"/>
          <w:numId w:val="2"/>
        </w:numPr>
        <w:suppressAutoHyphens w:val="0"/>
        <w:ind w:left="540"/>
        <w:jc w:val="both"/>
        <w:textAlignment w:val="center"/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Stosowanie praw wynikających z udzielonej gwarancji nie wyłącza stosowania uprawnień Zamawiającego wynikających z rękojmi za wady. </w:t>
      </w:r>
    </w:p>
    <w:p w:rsidR="007A264F" w:rsidRDefault="007A264F" w:rsidP="007A264F">
      <w:pPr>
        <w:ind w:left="46"/>
        <w:jc w:val="both"/>
        <w:rPr>
          <w:rFonts w:ascii="Calibri" w:eastAsia="Times New Roman" w:hAnsi="Calibri" w:cs="Calibri"/>
          <w:b/>
          <w:bCs/>
          <w:color w:val="2E75B5"/>
          <w:sz w:val="20"/>
          <w:szCs w:val="20"/>
          <w:lang w:eastAsia="pl-PL"/>
        </w:rPr>
      </w:pPr>
    </w:p>
    <w:p w:rsidR="007A264F" w:rsidRDefault="007A264F" w:rsidP="008E3893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:rsidR="007A264F" w:rsidRDefault="007A264F" w:rsidP="007A264F">
      <w:pPr>
        <w:ind w:left="4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7A264F" w:rsidRDefault="007A264F" w:rsidP="007A264F">
      <w:pPr>
        <w:ind w:left="4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7A264F" w:rsidRDefault="007A264F" w:rsidP="007A264F">
      <w:pPr>
        <w:ind w:left="4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7A264F" w:rsidRDefault="007A264F"/>
    <w:sectPr w:rsidR="007A26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53" w:rsidRDefault="00975153" w:rsidP="00C02684">
      <w:r>
        <w:separator/>
      </w:r>
    </w:p>
  </w:endnote>
  <w:endnote w:type="continuationSeparator" w:id="0">
    <w:p w:rsidR="00975153" w:rsidRDefault="00975153" w:rsidP="00C0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53" w:rsidRDefault="00975153" w:rsidP="00C02684">
      <w:r>
        <w:separator/>
      </w:r>
    </w:p>
  </w:footnote>
  <w:footnote w:type="continuationSeparator" w:id="0">
    <w:p w:rsidR="00975153" w:rsidRDefault="00975153" w:rsidP="00C02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D8" w:rsidRPr="00C10ED8" w:rsidRDefault="00C10ED8" w:rsidP="00C10ED8">
    <w:pPr>
      <w:pStyle w:val="Nagwek4"/>
      <w:ind w:left="4248" w:firstLine="708"/>
      <w:rPr>
        <w:sz w:val="20"/>
        <w:szCs w:val="20"/>
        <w:lang w:eastAsia="en-US"/>
      </w:rPr>
    </w:pPr>
    <w:r w:rsidRPr="00C10ED8">
      <w:rPr>
        <w:sz w:val="20"/>
        <w:szCs w:val="20"/>
        <w:lang w:eastAsia="en-US"/>
      </w:rPr>
      <w:t>Załączni</w:t>
    </w:r>
    <w:r w:rsidR="00FE0D2F">
      <w:rPr>
        <w:sz w:val="20"/>
        <w:szCs w:val="20"/>
        <w:lang w:eastAsia="en-US"/>
      </w:rPr>
      <w:t>k nr 2 do umowy ramowej</w:t>
    </w:r>
  </w:p>
  <w:p w:rsidR="00A565CA" w:rsidRDefault="00601406" w:rsidP="00C02684">
    <w:pPr>
      <w:pStyle w:val="Nagwek4"/>
      <w:rPr>
        <w:lang w:eastAsia="en-US"/>
      </w:rPr>
    </w:pPr>
    <w:r>
      <w:rPr>
        <w:lang w:eastAsia="en-US"/>
      </w:rPr>
      <w:t>Monitor komputerowy</w:t>
    </w:r>
  </w:p>
  <w:p w:rsidR="00C02684" w:rsidRDefault="00C02684" w:rsidP="00C02684">
    <w:pPr>
      <w:pStyle w:val="Nagwek4"/>
      <w:rPr>
        <w:lang w:eastAsia="en-US"/>
      </w:rPr>
    </w:pPr>
    <w:r>
      <w:rPr>
        <w:lang w:eastAsia="en-US"/>
      </w:rPr>
      <w:t>typ 1</w:t>
    </w:r>
    <w:r w:rsidR="00601406">
      <w:rPr>
        <w:lang w:eastAsia="en-US"/>
      </w:rPr>
      <w:t>- 24’’</w:t>
    </w:r>
    <w:r w:rsidR="00A565CA">
      <w:rPr>
        <w:lang w:eastAsia="en-US"/>
      </w:rPr>
      <w:t xml:space="preserve"> (max. ilość 2200), typ 2 </w:t>
    </w:r>
    <w:r w:rsidR="00601406">
      <w:rPr>
        <w:lang w:eastAsia="en-US"/>
      </w:rPr>
      <w:t xml:space="preserve"> - 27’’</w:t>
    </w:r>
    <w:r w:rsidR="00A565CA">
      <w:rPr>
        <w:lang w:eastAsia="en-US"/>
      </w:rPr>
      <w:t>(max. ilość 1200)</w:t>
    </w:r>
  </w:p>
  <w:p w:rsidR="00C02684" w:rsidRPr="00EF1410" w:rsidRDefault="00C02684" w:rsidP="00A565CA">
    <w:pPr>
      <w:rPr>
        <w:rFonts w:ascii="Calibri" w:hAnsi="Calibri" w:cs="Calibri"/>
        <w:b/>
        <w:lang w:eastAsia="en-US"/>
      </w:rPr>
    </w:pPr>
  </w:p>
  <w:p w:rsidR="00C02684" w:rsidRDefault="00C026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98"/>
    <w:rsid w:val="00262E49"/>
    <w:rsid w:val="004400ED"/>
    <w:rsid w:val="00455645"/>
    <w:rsid w:val="00492C9C"/>
    <w:rsid w:val="00575582"/>
    <w:rsid w:val="00601406"/>
    <w:rsid w:val="006D39DF"/>
    <w:rsid w:val="007A264F"/>
    <w:rsid w:val="00813A47"/>
    <w:rsid w:val="00847C04"/>
    <w:rsid w:val="0089789B"/>
    <w:rsid w:val="008C4C17"/>
    <w:rsid w:val="008E3893"/>
    <w:rsid w:val="00975153"/>
    <w:rsid w:val="009D4798"/>
    <w:rsid w:val="00A565CA"/>
    <w:rsid w:val="00C02684"/>
    <w:rsid w:val="00C10ED8"/>
    <w:rsid w:val="00C52B25"/>
    <w:rsid w:val="00CF4D56"/>
    <w:rsid w:val="00D70A74"/>
    <w:rsid w:val="00FE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1B51E-AA1B-4659-B774-9809A97E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64F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link w:val="Nagwek1Znak"/>
    <w:qFormat/>
    <w:rsid w:val="007A264F"/>
    <w:pPr>
      <w:keepNext/>
      <w:numPr>
        <w:numId w:val="1"/>
      </w:numPr>
      <w:spacing w:before="240" w:after="120"/>
      <w:outlineLvl w:val="0"/>
    </w:pPr>
    <w:rPr>
      <w:rFonts w:ascii="Calibri" w:hAnsi="Calibri" w:cs="Calibri"/>
      <w:b/>
      <w:bCs/>
      <w:sz w:val="2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">
    <w:name w:val="Nagłówek4"/>
    <w:basedOn w:val="Normalny"/>
    <w:next w:val="Normalny"/>
    <w:rsid w:val="007A264F"/>
    <w:pPr>
      <w:spacing w:before="240" w:after="60"/>
      <w:jc w:val="center"/>
    </w:pPr>
    <w:rPr>
      <w:rFonts w:ascii="Calibri" w:eastAsia="Calibri" w:hAnsi="Calibri" w:cs="Mangal"/>
      <w:b/>
      <w:bCs/>
      <w:sz w:val="32"/>
      <w:szCs w:val="29"/>
    </w:rPr>
  </w:style>
  <w:style w:type="character" w:customStyle="1" w:styleId="Nagwek1Znak">
    <w:name w:val="Nagłówek 1 Znak"/>
    <w:basedOn w:val="Domylnaczcionkaakapitu"/>
    <w:link w:val="Nagwek1"/>
    <w:rsid w:val="007A264F"/>
    <w:rPr>
      <w:rFonts w:ascii="Calibri" w:eastAsia="SimSun" w:hAnsi="Calibri" w:cs="Calibri"/>
      <w:b/>
      <w:bCs/>
      <w:kern w:val="2"/>
      <w:sz w:val="28"/>
      <w:szCs w:val="48"/>
      <w:lang w:eastAsia="zh-CN" w:bidi="hi-IN"/>
    </w:rPr>
  </w:style>
  <w:style w:type="character" w:styleId="Hipercze">
    <w:name w:val="Hyperlink"/>
    <w:rsid w:val="007A264F"/>
    <w:rPr>
      <w:color w:val="000080"/>
      <w:u w:val="single"/>
    </w:rPr>
  </w:style>
  <w:style w:type="paragraph" w:styleId="Akapitzlist">
    <w:name w:val="List Paragraph"/>
    <w:basedOn w:val="Normalny"/>
    <w:qFormat/>
    <w:rsid w:val="007A264F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64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64F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26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0268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26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02684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Rosołowicz</dc:creator>
  <cp:keywords/>
  <dc:description/>
  <cp:lastModifiedBy>Małgorzata Rosołowicz</cp:lastModifiedBy>
  <cp:revision>5</cp:revision>
  <dcterms:created xsi:type="dcterms:W3CDTF">2024-06-04T12:32:00Z</dcterms:created>
  <dcterms:modified xsi:type="dcterms:W3CDTF">2024-06-05T08:39:00Z</dcterms:modified>
</cp:coreProperties>
</file>