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26" w:rsidRDefault="00251126" w:rsidP="00251126">
      <w:pPr>
        <w:widowControl w:val="0"/>
        <w:suppressAutoHyphens/>
        <w:autoSpaceDN w:val="0"/>
        <w:spacing w:before="240" w:after="240"/>
        <w:jc w:val="right"/>
        <w:textAlignment w:val="baseline"/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</w:pPr>
      <w:r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 xml:space="preserve">Załącznik A – </w:t>
      </w:r>
      <w:r w:rsidR="001B1F46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>oferta</w:t>
      </w:r>
    </w:p>
    <w:p w:rsidR="00251126" w:rsidRPr="00251126" w:rsidRDefault="00251126" w:rsidP="00251126">
      <w:pPr>
        <w:widowControl w:val="0"/>
        <w:numPr>
          <w:ilvl w:val="0"/>
          <w:numId w:val="1"/>
        </w:numPr>
        <w:suppressAutoHyphens/>
        <w:autoSpaceDN w:val="0"/>
        <w:spacing w:before="240" w:after="240"/>
        <w:ind w:left="357" w:hanging="357"/>
        <w:jc w:val="both"/>
        <w:textAlignment w:val="baseline"/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</w:pPr>
      <w:r w:rsidRPr="00251126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>Komputer stacjonar</w:t>
      </w:r>
      <w:r w:rsidR="000939A7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>n</w:t>
      </w:r>
      <w:r w:rsidRPr="00251126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 xml:space="preserve">y typu </w:t>
      </w:r>
      <w:proofErr w:type="spellStart"/>
      <w:r w:rsidRPr="00251126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>All</w:t>
      </w:r>
      <w:proofErr w:type="spellEnd"/>
      <w:r w:rsidRPr="00251126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>-in-one – sztuk 25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7"/>
        <w:gridCol w:w="1299"/>
        <w:gridCol w:w="6625"/>
        <w:gridCol w:w="711"/>
      </w:tblGrid>
      <w:tr w:rsidR="00251126" w:rsidRPr="00C01FEE" w:rsidTr="00783C98">
        <w:trPr>
          <w:trHeight w:val="284"/>
          <w:tblHeader/>
        </w:trPr>
        <w:tc>
          <w:tcPr>
            <w:tcW w:w="217" w:type="pct"/>
            <w:shd w:val="clear" w:color="auto" w:fill="E7E6E6" w:themeFill="background2"/>
            <w:vAlign w:val="center"/>
          </w:tcPr>
          <w:p w:rsidR="00251126" w:rsidRPr="00C01FEE" w:rsidRDefault="00251126" w:rsidP="00783C98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01FE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705" w:type="pct"/>
            <w:shd w:val="clear" w:color="auto" w:fill="E7E6E6" w:themeFill="background2"/>
            <w:vAlign w:val="center"/>
          </w:tcPr>
          <w:p w:rsidR="00251126" w:rsidRPr="00C01FEE" w:rsidRDefault="00251126" w:rsidP="00783C9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/>
                <w:bCs/>
                <w:sz w:val="16"/>
                <w:szCs w:val="16"/>
              </w:rPr>
              <w:t>Nazwa komponentu</w:t>
            </w:r>
          </w:p>
        </w:tc>
        <w:tc>
          <w:tcPr>
            <w:tcW w:w="3732" w:type="pct"/>
            <w:shd w:val="clear" w:color="auto" w:fill="E7E6E6" w:themeFill="background2"/>
            <w:vAlign w:val="center"/>
          </w:tcPr>
          <w:p w:rsidR="00251126" w:rsidRPr="00C01FEE" w:rsidRDefault="00251126" w:rsidP="00783C98">
            <w:pPr>
              <w:ind w:left="-7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Wymagane </w:t>
            </w:r>
            <w:r w:rsidRPr="00C01FEE">
              <w:rPr>
                <w:rFonts w:ascii="Arial" w:hAnsi="Arial" w:cs="Arial"/>
                <w:b/>
                <w:bCs/>
                <w:caps/>
                <w:sz w:val="16"/>
                <w:szCs w:val="16"/>
                <w:u w:val="single"/>
              </w:rPr>
              <w:t>minimalne</w:t>
            </w:r>
            <w:r w:rsidRPr="00C01F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parametry komponentów</w:t>
            </w:r>
          </w:p>
        </w:tc>
        <w:tc>
          <w:tcPr>
            <w:tcW w:w="346" w:type="pct"/>
            <w:shd w:val="clear" w:color="auto" w:fill="E7E6E6" w:themeFill="background2"/>
          </w:tcPr>
          <w:p w:rsidR="00251126" w:rsidRPr="00C01FEE" w:rsidRDefault="00251126" w:rsidP="00783C98">
            <w:pPr>
              <w:ind w:left="-7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/>
                <w:bCs/>
                <w:sz w:val="16"/>
                <w:szCs w:val="16"/>
              </w:rPr>
              <w:t>Spełnia</w:t>
            </w:r>
          </w:p>
          <w:p w:rsidR="00251126" w:rsidRPr="00C01FEE" w:rsidRDefault="00251126" w:rsidP="00783C98">
            <w:pPr>
              <w:ind w:left="-7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/>
                <w:bCs/>
                <w:sz w:val="16"/>
                <w:szCs w:val="16"/>
              </w:rPr>
              <w:t>TAK/NIE</w:t>
            </w: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Typ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  <w:t xml:space="preserve">Komputer stacjonarny typu </w:t>
            </w:r>
            <w:proofErr w:type="spellStart"/>
            <w:r w:rsidRPr="00C01FEE"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  <w:t>All</w:t>
            </w:r>
            <w:proofErr w:type="spellEnd"/>
            <w:r w:rsidRPr="00C01FEE"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  <w:t>-in-one (</w:t>
            </w: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  <w:t>zintegrowany komputer w obudowie wraz z wyświetlaczem) w zestawie z klawiaturą i myszką komputerową.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Procesor/ wydajność obliczeniowa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Procesor min. 10-rdzeniowy, osiągający w teście </w:t>
            </w:r>
            <w:proofErr w:type="spellStart"/>
            <w:r w:rsidRPr="00C01FEE">
              <w:rPr>
                <w:rFonts w:ascii="Arial" w:hAnsi="Arial" w:cs="Arial"/>
                <w:bCs/>
                <w:sz w:val="16"/>
                <w:szCs w:val="16"/>
              </w:rPr>
              <w:t>PassMark</w:t>
            </w:r>
            <w:proofErr w:type="spellEnd"/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 CPU Mark wynik 20000 punktów. Do oferty należy dołączyć wydruk ze strony: http://www.cpubenchmark.net  potwierdzający spełnienie wymogów SIWZ.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Pamięć operacyjna RAM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Pamięć RAM 16GB DDR4 z możliwością rozbudowy do 64GB, minimum jeden slot wolny na dalszą rozbudowę.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Pamięć masowa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  <w:lang w:val="sv-SE" w:eastAsia="en-US"/>
              </w:rPr>
              <w:t>Dysk SSD M2 PCIe NVMe o pojemności 480GB.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sv-SE" w:eastAsia="en-US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Karta grafiki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Zintegrowana z procesorem karta grafiki umożliwiająca pracę dwumonitorową.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Wyposażenie multimedialne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1. Karta dźwiękowa zintegrowana z płytą główną.</w:t>
            </w:r>
          </w:p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  <w:t xml:space="preserve">2. Wyjście słuchawkowe, 1 wejście mikrofonu lub 1 wyjście liniowe COMBO </w:t>
            </w:r>
            <w:proofErr w:type="spellStart"/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  <w:t>jack</w:t>
            </w:r>
            <w:proofErr w:type="spellEnd"/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  <w:t xml:space="preserve"> (słuchawka/mikrofon).</w:t>
            </w:r>
          </w:p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3. Wbudowane dwa głośniki.</w:t>
            </w:r>
          </w:p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4. Kamera 1080p z zamknięciem do ochrony prywatności.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ind w:left="360" w:hanging="360"/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Obudowa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Obudowa typu </w:t>
            </w:r>
            <w:proofErr w:type="spellStart"/>
            <w:r w:rsidRPr="00C01FEE">
              <w:rPr>
                <w:rFonts w:ascii="Arial" w:hAnsi="Arial" w:cs="Arial"/>
                <w:bCs/>
                <w:sz w:val="16"/>
                <w:szCs w:val="16"/>
              </w:rPr>
              <w:t>All</w:t>
            </w:r>
            <w:proofErr w:type="spellEnd"/>
            <w:r w:rsidRPr="00C01FEE">
              <w:rPr>
                <w:rFonts w:ascii="Arial" w:hAnsi="Arial" w:cs="Arial"/>
                <w:bCs/>
                <w:sz w:val="16"/>
                <w:szCs w:val="16"/>
              </w:rPr>
              <w:t>-in-one, r</w:t>
            </w: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  <w:t>egulacja obudowy w zakresie wysokości 100mm, kąty pochylenia obudowy przód/tył: 3</w:t>
            </w: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vertAlign w:val="superscript"/>
                <w:lang w:bidi="pl-PL"/>
              </w:rPr>
              <w:t xml:space="preserve"> o</w:t>
            </w: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  <w:t>/15</w:t>
            </w: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vertAlign w:val="superscript"/>
                <w:lang w:bidi="pl-PL"/>
              </w:rPr>
              <w:t xml:space="preserve"> o</w:t>
            </w: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  <w:t>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Ekran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IPS rozmiar 23.5” matowy, antyodblaskowy, rozdzielczość 1920x1080, format obrazu 16:9, częstotliwość synchronizacji pionowej przy maksymalnej rozdzielczości 60Hz, jasność obrazu 250cd/m², współczynnik kontrastu obrazu 1000:1, kąt widzenia pion/poziom: 170</w:t>
            </w:r>
            <w:r w:rsidRPr="00C01FE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o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>/170</w:t>
            </w:r>
            <w:r w:rsidRPr="00C01FEE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o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Bezpieczeństwo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1. BIOS musi posiadać funkcję: - ustawienia hasła dostępu do BIOS w sposób gwarantujący utrzymanie zapisanego hasła nawet w przypadku odłączenia wszystkich źródeł zasilania i podtrzymania BIOS, - ustawienia hasła na dysku, - blokady/wyłączenia portów USB, COM, karty sieciowej, karty audio, - kontroli sekwencji </w:t>
            </w:r>
            <w:proofErr w:type="spellStart"/>
            <w:r w:rsidRPr="00C01FEE">
              <w:rPr>
                <w:rFonts w:ascii="Arial" w:hAnsi="Arial" w:cs="Arial"/>
                <w:bCs/>
                <w:sz w:val="16"/>
                <w:szCs w:val="16"/>
              </w:rPr>
              <w:t>bootącej</w:t>
            </w:r>
            <w:proofErr w:type="spellEnd"/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, - startu systemu z urządzenia USB, - blokowania </w:t>
            </w:r>
            <w:proofErr w:type="spellStart"/>
            <w:r w:rsidRPr="00C01FEE">
              <w:rPr>
                <w:rFonts w:ascii="Arial" w:hAnsi="Arial" w:cs="Arial"/>
                <w:bCs/>
                <w:sz w:val="16"/>
                <w:szCs w:val="16"/>
              </w:rPr>
              <w:t>BOOTowania</w:t>
            </w:r>
            <w:proofErr w:type="spellEnd"/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 stacji roboczej z zewnętrznych urządzeń,- update BIOS z opcją automatycznego update,</w:t>
            </w:r>
          </w:p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2. Komputer musi posiadać zintegrowany w płycie głównej aktywny układ zgodny ze standardem </w:t>
            </w:r>
            <w:proofErr w:type="spellStart"/>
            <w:r w:rsidRPr="00C01FEE">
              <w:rPr>
                <w:rFonts w:ascii="Arial" w:hAnsi="Arial" w:cs="Arial"/>
                <w:bCs/>
                <w:sz w:val="16"/>
                <w:szCs w:val="16"/>
              </w:rPr>
              <w:t>Trusted</w:t>
            </w:r>
            <w:proofErr w:type="spellEnd"/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 Platform Module (TPM v 2.0).</w:t>
            </w:r>
          </w:p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3. Możliwość zapięcia linki typu </w:t>
            </w:r>
            <w:proofErr w:type="spellStart"/>
            <w:r w:rsidRPr="00C01FEE">
              <w:rPr>
                <w:rFonts w:ascii="Arial" w:hAnsi="Arial" w:cs="Arial"/>
                <w:bCs/>
                <w:sz w:val="16"/>
                <w:szCs w:val="16"/>
              </w:rPr>
              <w:t>Kensington</w:t>
            </w:r>
            <w:proofErr w:type="spellEnd"/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 w obudowie komputera.</w:t>
            </w:r>
          </w:p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4. Zaimplementowany w BIOS system diagnostyczny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 - test procesora, - test pamięci RAM, - test dysku twardego, - test płyty głównej. 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Certyfikaty i standardy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- Certyfikat ISO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9001 dla producenta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oferowanego 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>sprzętu (załączyć dokument potwierdzający spełnianie wymogu).</w:t>
            </w:r>
          </w:p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- Deklaracja zgodności CE (załączyć do oferty).</w:t>
            </w:r>
          </w:p>
          <w:p w:rsidR="00251126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- Komputer musi spełniać wymogi normy EPEAT 2019 na poziomie SILVER dla Polski. Wymagany certyfikat lub wpis dotyczący oferowanego modelu komputera w internetowym katalogu http://www.epeat.net – wymaga się wydruku ze strony internetowej.</w:t>
            </w:r>
          </w:p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>Certyfikat ISO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9001 dla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podmiotu świadczącego usługi gwarancyjne/serwisowe komputera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 (załączyć dokument potwierdzający spełnianie wymogu).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1126" w:rsidRPr="00C01FEE" w:rsidTr="00783C98">
        <w:trPr>
          <w:trHeight w:val="284"/>
        </w:trPr>
        <w:tc>
          <w:tcPr>
            <w:tcW w:w="217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Warunki gwarancji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2 letnia gwarancja producenta świadczona na miejscu u klienta. Uszkodzony dysk z danymi pozostaje u klienta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(załączyć oświadczenie podmiotu realizującego serwis lub producenta sprzętu, że w przypadku awarii dyski twarde pozostają u Zamawiającego)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>. Serwis komputerów musi być realizowany przez producenta lub autoryzowanego partnera serwisowego producenta — wymagane oświadczenie Wykonawcy potwierdzające, że serwis będzie realizowany przez Producenta lub autoryzowanego partnera serwisowego producenta (należy dołączyć do oferty).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1126" w:rsidRPr="00C01FEE" w:rsidTr="00783C98">
        <w:tc>
          <w:tcPr>
            <w:tcW w:w="217" w:type="pct"/>
            <w:shd w:val="clear" w:color="auto" w:fill="FFFFFF"/>
          </w:tcPr>
          <w:p w:rsidR="00251126" w:rsidRPr="00C01FEE" w:rsidRDefault="00AD6260" w:rsidP="00783C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="00251126" w:rsidRPr="00C01FEE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tabs>
                <w:tab w:val="left" w:pos="213"/>
              </w:tabs>
              <w:rPr>
                <w:rFonts w:ascii="Arial" w:hAnsi="Arial" w:cs="Arial"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Wsparcie techniczne producenta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Możliwość sprawdzenia konfiguracji sprzętowej komputera oraz warunków gwarancji po podaniu numeru seryjnego bezpośrednio u producenta lub jego przedstawiciela. Dostęp do najnowszych sterowników i uaktualnień na stronie producenta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komputera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 realizowany poprzez podanie na dedykowanej stronie internetowej producenta numeru seryjnego lub modelu komputera – przed podpisaniem umowy należy dołączyć link strony.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51126" w:rsidRPr="00C01FEE" w:rsidTr="00783C98">
        <w:tc>
          <w:tcPr>
            <w:tcW w:w="217" w:type="pct"/>
            <w:shd w:val="clear" w:color="auto" w:fill="FFFFFF"/>
          </w:tcPr>
          <w:p w:rsidR="00251126" w:rsidRPr="00C01FEE" w:rsidRDefault="00AD6260" w:rsidP="00783C9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  <w:r w:rsidR="00251126" w:rsidRPr="00C01FEE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705" w:type="pct"/>
            <w:shd w:val="clear" w:color="auto" w:fill="FFFFFF"/>
          </w:tcPr>
          <w:p w:rsidR="00251126" w:rsidRPr="00C01FEE" w:rsidRDefault="00251126" w:rsidP="00783C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Wymagania dodatkowe</w:t>
            </w:r>
          </w:p>
        </w:tc>
        <w:tc>
          <w:tcPr>
            <w:tcW w:w="3732" w:type="pct"/>
            <w:shd w:val="clear" w:color="auto" w:fill="FFFFFF"/>
          </w:tcPr>
          <w:p w:rsidR="00251126" w:rsidRPr="00C01FEE" w:rsidRDefault="00251126" w:rsidP="0025112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Licencja na Microsoft Windows 11 Professional PL (klucz licencyjny zapisany przez producenta komputera w BIOS (UEFI) umożliwiający automatyczna aktywację systemu) – zainstalowany (</w:t>
            </w:r>
            <w:proofErr w:type="spellStart"/>
            <w:r w:rsidRPr="00C01FEE">
              <w:rPr>
                <w:rFonts w:ascii="Arial" w:hAnsi="Arial" w:cs="Arial"/>
                <w:bCs/>
                <w:sz w:val="16"/>
                <w:szCs w:val="16"/>
              </w:rPr>
              <w:t>preinstalacja</w:t>
            </w:r>
            <w:proofErr w:type="spellEnd"/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 przez producenta komputera) Microsoft Windows 11 Professional PL 64-bit </w:t>
            </w:r>
            <w:r w:rsidRPr="00C01FEE">
              <w:rPr>
                <w:rFonts w:ascii="Arial" w:hAnsi="Arial" w:cs="Arial"/>
                <w:bCs/>
                <w:sz w:val="16"/>
                <w:szCs w:val="16"/>
                <w:u w:val="single"/>
              </w:rPr>
              <w:t>lub równoważny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. Licencja musi być przeznaczona na rynek polski, posiadać wszystkie atrybuty legalności przewidziane przez producenta dla danego typu i wersji licencji. </w:t>
            </w:r>
          </w:p>
          <w:p w:rsidR="00251126" w:rsidRPr="00C01FEE" w:rsidRDefault="00251126" w:rsidP="0025112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Nośnik do odzyskania systemu operacyjnego w razie awarii: oryginalny nośnik producenta komputera lub partycja </w:t>
            </w:r>
            <w:proofErr w:type="spellStart"/>
            <w:r w:rsidRPr="00C01FEE">
              <w:rPr>
                <w:rFonts w:ascii="Arial" w:hAnsi="Arial" w:cs="Arial"/>
                <w:bCs/>
                <w:sz w:val="16"/>
                <w:szCs w:val="16"/>
              </w:rPr>
              <w:t>recovery</w:t>
            </w:r>
            <w:proofErr w:type="spellEnd"/>
            <w:r w:rsidRPr="00C01FEE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251126" w:rsidRPr="00C01FEE" w:rsidRDefault="00251126" w:rsidP="0025112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Wbudowane porty i złącza:</w:t>
            </w:r>
          </w:p>
          <w:p w:rsidR="00251126" w:rsidRPr="00C01FEE" w:rsidRDefault="00251126" w:rsidP="00783C98">
            <w:pPr>
              <w:ind w:left="36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-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 port wideo (</w:t>
            </w: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  <w:t>1 wyjście HDMI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:rsidR="00251126" w:rsidRPr="00C01FEE" w:rsidRDefault="00251126" w:rsidP="00783C98">
            <w:pPr>
              <w:ind w:left="360"/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- 5 x USB w tym 1 x USB typ-C wyprowadzonych na zewnątrz obudowy.</w:t>
            </w:r>
          </w:p>
          <w:p w:rsidR="00251126" w:rsidRPr="00C01FEE" w:rsidRDefault="00251126" w:rsidP="0025112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>Wbudowany fabrycznie moduł Bluetooth 5.x.</w:t>
            </w:r>
          </w:p>
          <w:p w:rsidR="00251126" w:rsidRPr="00C01FEE" w:rsidRDefault="00251126" w:rsidP="0025112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Wbudowana fabrycznie karta sieciowa standard </w:t>
            </w:r>
            <w:proofErr w:type="spellStart"/>
            <w:r w:rsidRPr="00C01FEE">
              <w:rPr>
                <w:rFonts w:ascii="Arial" w:hAnsi="Arial" w:cs="Arial"/>
                <w:bCs/>
                <w:sz w:val="16"/>
                <w:szCs w:val="16"/>
              </w:rPr>
              <w:t>Wi-fi</w:t>
            </w:r>
            <w:proofErr w:type="spellEnd"/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 6.</w:t>
            </w:r>
          </w:p>
          <w:p w:rsidR="00251126" w:rsidRPr="00C01FEE" w:rsidRDefault="00251126" w:rsidP="0025112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Karta sieciowa Ethernet 10/100/1000 </w:t>
            </w:r>
            <w:proofErr w:type="spellStart"/>
            <w:r w:rsidRPr="00C01FE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Mb</w:t>
            </w:r>
            <w:proofErr w:type="spellEnd"/>
            <w:r w:rsidRPr="00C01FE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/s z portem sieciowym RJ-45, umożliwiająca włączenie i wyłączenie komputera przez sieć, obsługę VLAN oraz uwierzytelnienie w sieci przewodowej metodą IEEE 802.1X w oparciu i protokół RADIUS.</w:t>
            </w:r>
          </w:p>
          <w:p w:rsidR="00251126" w:rsidRPr="00C01FEE" w:rsidRDefault="00251126" w:rsidP="0025112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  <w:t>Klawiatura przewodowa USB lub bezprzewodowa, w układzie polski programisty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251126" w:rsidRPr="00C01FEE" w:rsidRDefault="00251126" w:rsidP="0025112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  <w:t>Mysz przewodowa USB lub bezprzewodowa, optyczna z dwoma klawiszami oraz kółkiem przewijania.</w:t>
            </w:r>
          </w:p>
          <w:p w:rsidR="00251126" w:rsidRPr="00C01FEE" w:rsidRDefault="00251126" w:rsidP="00AD6260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C01FEE">
              <w:rPr>
                <w:rFonts w:ascii="Arial" w:hAnsi="Arial" w:cs="Arial"/>
                <w:bCs/>
                <w:sz w:val="16"/>
                <w:szCs w:val="16"/>
              </w:rPr>
              <w:t xml:space="preserve">Energooszczędny </w:t>
            </w:r>
            <w:r w:rsidR="00AD6260">
              <w:rPr>
                <w:rFonts w:ascii="Arial" w:hAnsi="Arial" w:cs="Arial"/>
                <w:bCs/>
                <w:sz w:val="16"/>
                <w:szCs w:val="16"/>
              </w:rPr>
              <w:t xml:space="preserve">fabryczny </w:t>
            </w:r>
            <w:r w:rsidRPr="00C01FEE">
              <w:rPr>
                <w:rFonts w:ascii="Arial" w:hAnsi="Arial" w:cs="Arial"/>
                <w:bCs/>
                <w:sz w:val="16"/>
                <w:szCs w:val="16"/>
              </w:rPr>
              <w:t>zasilacz o maksymalnej mocy 200W i sprawności na poziomie 80%.</w:t>
            </w:r>
          </w:p>
        </w:tc>
        <w:tc>
          <w:tcPr>
            <w:tcW w:w="346" w:type="pct"/>
            <w:shd w:val="clear" w:color="auto" w:fill="FFFFFF"/>
          </w:tcPr>
          <w:p w:rsidR="00251126" w:rsidRPr="00C01FEE" w:rsidRDefault="00251126" w:rsidP="00783C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251126" w:rsidRPr="00251126" w:rsidRDefault="00251126" w:rsidP="00251126">
      <w:pPr>
        <w:widowControl w:val="0"/>
        <w:suppressAutoHyphens/>
        <w:autoSpaceDN w:val="0"/>
        <w:spacing w:before="240" w:after="240"/>
        <w:ind w:left="357"/>
        <w:jc w:val="both"/>
        <w:textAlignment w:val="baseline"/>
        <w:rPr>
          <w:rFonts w:ascii="Arial" w:eastAsia="Tahoma" w:hAnsi="Arial" w:cs="Arial"/>
          <w:bCs/>
          <w:kern w:val="3"/>
          <w:sz w:val="20"/>
          <w:szCs w:val="20"/>
          <w:lang w:bidi="pl-PL"/>
        </w:rPr>
      </w:pPr>
      <w:r w:rsidRPr="00251126">
        <w:rPr>
          <w:rFonts w:ascii="Arial" w:eastAsia="Tahoma" w:hAnsi="Arial" w:cs="Arial"/>
          <w:bCs/>
          <w:kern w:val="3"/>
          <w:sz w:val="20"/>
          <w:szCs w:val="20"/>
          <w:lang w:bidi="pl-PL"/>
        </w:rPr>
        <w:t>W poz. 19 należy przy każdym wymaganiu wpisać czy spełnia czy nie spełnia.</w:t>
      </w:r>
    </w:p>
    <w:p w:rsidR="00251126" w:rsidRPr="00C01FEE" w:rsidRDefault="00251126" w:rsidP="00251126">
      <w:pPr>
        <w:widowControl w:val="0"/>
        <w:numPr>
          <w:ilvl w:val="0"/>
          <w:numId w:val="1"/>
        </w:numPr>
        <w:suppressAutoHyphens/>
        <w:autoSpaceDN w:val="0"/>
        <w:spacing w:before="240" w:after="240"/>
        <w:ind w:left="357" w:hanging="357"/>
        <w:jc w:val="both"/>
        <w:textAlignment w:val="baseline"/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</w:pPr>
      <w:r w:rsidRPr="00C01FEE">
        <w:rPr>
          <w:rFonts w:ascii="Arial" w:eastAsia="Tahoma" w:hAnsi="Arial" w:cs="Arial"/>
          <w:b/>
          <w:bCs/>
          <w:kern w:val="3"/>
          <w:sz w:val="20"/>
          <w:szCs w:val="20"/>
          <w:lang w:bidi="pl-PL"/>
        </w:rPr>
        <w:t>Oprogramowanie biurowe – sztuk 25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9"/>
        <w:gridCol w:w="7984"/>
        <w:gridCol w:w="689"/>
      </w:tblGrid>
      <w:tr w:rsidR="00251126" w:rsidRPr="00C01FEE" w:rsidTr="00783C98">
        <w:trPr>
          <w:trHeight w:val="34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1126" w:rsidRPr="00C01FEE" w:rsidRDefault="00251126" w:rsidP="00783C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color w:val="000000"/>
                <w:kern w:val="3"/>
                <w:sz w:val="16"/>
                <w:szCs w:val="16"/>
                <w:lang w:bidi="pl-PL"/>
              </w:rPr>
              <w:t>L.p.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1126" w:rsidRPr="00C01FEE" w:rsidRDefault="00251126" w:rsidP="00783C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  <w:t xml:space="preserve">Opis wymaganych </w:t>
            </w:r>
            <w:r w:rsidRPr="00C01FEE">
              <w:rPr>
                <w:rFonts w:ascii="Arial" w:eastAsia="Tahoma" w:hAnsi="Arial" w:cs="Arial"/>
                <w:b/>
                <w:kern w:val="3"/>
                <w:sz w:val="16"/>
                <w:szCs w:val="16"/>
                <w:u w:val="single"/>
                <w:lang w:bidi="pl-PL"/>
              </w:rPr>
              <w:t>minimalnych</w:t>
            </w:r>
            <w:r w:rsidRPr="00C01FEE"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  <w:t xml:space="preserve"> funkcjonalności oprogramowania biurowego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1126" w:rsidRPr="00C01FEE" w:rsidRDefault="00251126" w:rsidP="00783C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  <w:t>Spełnia</w:t>
            </w:r>
          </w:p>
          <w:p w:rsidR="00251126" w:rsidRPr="00C01FEE" w:rsidRDefault="00251126" w:rsidP="00783C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b/>
                <w:kern w:val="3"/>
                <w:sz w:val="16"/>
                <w:szCs w:val="16"/>
                <w:lang w:bidi="pl-PL"/>
              </w:rPr>
              <w:t>TAK/NIE</w:t>
            </w:r>
          </w:p>
        </w:tc>
      </w:tr>
      <w:tr w:rsidR="00251126" w:rsidRPr="00C01FEE" w:rsidTr="00783C98">
        <w:trPr>
          <w:trHeight w:val="340"/>
        </w:trPr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126" w:rsidRPr="00C01FEE" w:rsidRDefault="00251126" w:rsidP="00783C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  <w:t>1</w:t>
            </w:r>
          </w:p>
        </w:tc>
        <w:tc>
          <w:tcPr>
            <w:tcW w:w="44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126" w:rsidRPr="00C01FEE" w:rsidRDefault="00251126" w:rsidP="00783C98">
            <w:pPr>
              <w:widowControl w:val="0"/>
              <w:tabs>
                <w:tab w:val="left" w:pos="720"/>
              </w:tabs>
              <w:suppressAutoHyphens/>
              <w:autoSpaceDN w:val="0"/>
              <w:jc w:val="both"/>
              <w:textAlignment w:val="baseline"/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  <w:t xml:space="preserve">Oprogramowanie biurowe Microsoft Office 2021 PL Home and Business dla użytkowników domowych i małych firm. Rozwiązanie wymagane ze względu na funkcjonujący u Zamawiającego Zintegrowany System Informatyczny </w:t>
            </w:r>
            <w:proofErr w:type="spellStart"/>
            <w:r w:rsidRPr="00C01FEE"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  <w:t>TPMedia</w:t>
            </w:r>
            <w:proofErr w:type="spellEnd"/>
            <w:r w:rsidRPr="00C01FEE"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  <w:t xml:space="preserve"> autorstwa </w:t>
            </w:r>
            <w:proofErr w:type="spellStart"/>
            <w:r w:rsidRPr="00C01FEE"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  <w:t>LogicSynergy</w:t>
            </w:r>
            <w:proofErr w:type="spellEnd"/>
            <w:r w:rsidRPr="00C01FEE"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  <w:t xml:space="preserve"> Sp. z o.o.  z siedzibą w Krakowie, wspomagający zarządzanie przedsiębiorstwem.</w:t>
            </w:r>
          </w:p>
          <w:p w:rsidR="00251126" w:rsidRPr="00C01FEE" w:rsidRDefault="00251126" w:rsidP="00783C98">
            <w:pPr>
              <w:widowControl w:val="0"/>
              <w:tabs>
                <w:tab w:val="left" w:pos="720"/>
              </w:tabs>
              <w:suppressAutoHyphens/>
              <w:autoSpaceDN w:val="0"/>
              <w:jc w:val="both"/>
              <w:textAlignment w:val="baseline"/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</w:pPr>
            <w:r w:rsidRPr="00C01FEE"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  <w:t>Wersja produktu – wersja fizyczna. Typ licencji: nowa licencja. Okres licencji: dożywotnia. Liczba użytkowników: 1</w:t>
            </w:r>
            <w:r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  <w:t xml:space="preserve"> (jeden)</w:t>
            </w:r>
            <w:r w:rsidRPr="00C01FEE">
              <w:rPr>
                <w:rFonts w:ascii="Arial" w:eastAsia="Tahoma" w:hAnsi="Arial" w:cs="Arial"/>
                <w:kern w:val="3"/>
                <w:sz w:val="16"/>
                <w:szCs w:val="16"/>
                <w:lang w:bidi="pl-PL"/>
              </w:rPr>
              <w:t>. Typ nośnika: licencja z kluczem aktywacyjnym. Wersja językowa: język polski. Licencja musi być fabrycznie nowa, nie odpakowana, nigdy wcześniej nieaktywowana.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26" w:rsidRPr="00C01FEE" w:rsidRDefault="00251126" w:rsidP="00783C98">
            <w:pPr>
              <w:widowControl w:val="0"/>
              <w:suppressAutoHyphens/>
              <w:autoSpaceDN w:val="0"/>
              <w:textAlignment w:val="baseline"/>
              <w:rPr>
                <w:rFonts w:ascii="Arial" w:eastAsia="Tahoma" w:hAnsi="Arial" w:cs="Arial"/>
                <w:bCs/>
                <w:kern w:val="3"/>
                <w:sz w:val="16"/>
                <w:szCs w:val="16"/>
                <w:lang w:bidi="pl-PL"/>
              </w:rPr>
            </w:pPr>
          </w:p>
        </w:tc>
      </w:tr>
    </w:tbl>
    <w:p w:rsidR="00D73EDB" w:rsidRDefault="00D73EDB"/>
    <w:p w:rsidR="000939A7" w:rsidRDefault="000939A7"/>
    <w:p w:rsidR="000939A7" w:rsidRDefault="000939A7" w:rsidP="000939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 Zamawiający nie dopuszcza zaoferowania różnych przedmiotów w zakresie poszczególnych części zamówienia.</w:t>
      </w:r>
    </w:p>
    <w:p w:rsidR="000939A7" w:rsidRDefault="000939A7"/>
    <w:sectPr w:rsidR="00093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001F8"/>
    <w:multiLevelType w:val="hybridMultilevel"/>
    <w:tmpl w:val="ED2C57AC"/>
    <w:lvl w:ilvl="0" w:tplc="DF92A4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E60ED"/>
    <w:multiLevelType w:val="multilevel"/>
    <w:tmpl w:val="0D9EC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7430C9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26"/>
    <w:rsid w:val="000939A7"/>
    <w:rsid w:val="001B1F46"/>
    <w:rsid w:val="00251126"/>
    <w:rsid w:val="00AD6260"/>
    <w:rsid w:val="00D73EDB"/>
    <w:rsid w:val="00E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7FE8A-83E6-4FAC-AC4D-4AB08547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39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9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cp:lastPrinted>2024-03-21T08:26:00Z</cp:lastPrinted>
  <dcterms:created xsi:type="dcterms:W3CDTF">2024-03-21T09:32:00Z</dcterms:created>
  <dcterms:modified xsi:type="dcterms:W3CDTF">2024-03-21T09:32:00Z</dcterms:modified>
</cp:coreProperties>
</file>