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9FF3" w14:textId="4902204F" w:rsidR="00AB16E2" w:rsidRDefault="00B84582" w:rsidP="00280CF7">
      <w:pPr>
        <w:tabs>
          <w:tab w:val="left" w:pos="4380"/>
        </w:tabs>
        <w:spacing w:after="0"/>
        <w:ind w:right="513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0955E491" w14:textId="24AD2802" w:rsidR="00BE321C" w:rsidRDefault="00BE321C" w:rsidP="00BE321C">
      <w:pPr>
        <w:spacing w:before="360" w:after="240" w:line="240" w:lineRule="auto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937DDA">
        <w:rPr>
          <w:rFonts w:asciiTheme="minorHAnsi" w:hAnsiTheme="minorHAnsi"/>
          <w:bCs/>
          <w:i/>
          <w:iCs/>
          <w:sz w:val="18"/>
          <w:szCs w:val="18"/>
        </w:rPr>
        <w:t xml:space="preserve"> 5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do SWZ</w:t>
      </w:r>
    </w:p>
    <w:p w14:paraId="1BF8A08A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51BA8FEB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3574C4EC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25AEDB51" w14:textId="43BD149B" w:rsidR="00691301" w:rsidRDefault="00691301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32"/>
          <w:szCs w:val="32"/>
        </w:rPr>
      </w:pPr>
      <w:r>
        <w:rPr>
          <w:rFonts w:cstheme="minorHAnsi"/>
          <w:b/>
          <w:spacing w:val="50"/>
          <w:sz w:val="48"/>
          <w:szCs w:val="48"/>
        </w:rPr>
        <w:t>OPIS PRZEDMIOTU ZAMÓWIENIA</w:t>
      </w:r>
      <w:r w:rsidR="005C0F8E">
        <w:rPr>
          <w:rFonts w:cstheme="minorHAnsi"/>
          <w:b/>
          <w:spacing w:val="50"/>
          <w:sz w:val="48"/>
          <w:szCs w:val="48"/>
        </w:rPr>
        <w:t xml:space="preserve"> </w:t>
      </w:r>
      <w:r w:rsidR="0003055F">
        <w:rPr>
          <w:rFonts w:cstheme="minorHAnsi"/>
          <w:b/>
          <w:spacing w:val="50"/>
          <w:sz w:val="48"/>
          <w:szCs w:val="48"/>
        </w:rPr>
        <w:br/>
      </w:r>
      <w:r w:rsidR="005C0F8E">
        <w:rPr>
          <w:rFonts w:cstheme="minorHAnsi"/>
          <w:b/>
          <w:spacing w:val="50"/>
          <w:sz w:val="48"/>
          <w:szCs w:val="48"/>
        </w:rPr>
        <w:t xml:space="preserve">do części </w:t>
      </w:r>
      <w:r w:rsidR="0023332C">
        <w:rPr>
          <w:rFonts w:cstheme="minorHAnsi"/>
          <w:b/>
          <w:spacing w:val="50"/>
          <w:sz w:val="48"/>
          <w:szCs w:val="48"/>
        </w:rPr>
        <w:t>2</w:t>
      </w:r>
      <w:r w:rsidR="008F4985">
        <w:rPr>
          <w:rFonts w:cstheme="minorHAnsi"/>
          <w:b/>
          <w:spacing w:val="50"/>
          <w:sz w:val="48"/>
          <w:szCs w:val="48"/>
        </w:rPr>
        <w:t xml:space="preserve"> </w:t>
      </w:r>
      <w:r w:rsidR="008F4985">
        <w:rPr>
          <w:rFonts w:cstheme="minorHAnsi"/>
          <w:b/>
          <w:spacing w:val="50"/>
          <w:sz w:val="48"/>
          <w:szCs w:val="48"/>
        </w:rPr>
        <w:br/>
        <w:t xml:space="preserve"> </w:t>
      </w:r>
      <w:r w:rsidR="003A148A">
        <w:rPr>
          <w:rFonts w:cstheme="minorHAnsi"/>
          <w:b/>
          <w:spacing w:val="50"/>
          <w:sz w:val="32"/>
          <w:szCs w:val="32"/>
        </w:rPr>
        <w:t>Zasilacz awaryjny UPS</w:t>
      </w:r>
    </w:p>
    <w:p w14:paraId="5120A696" w14:textId="77777777" w:rsidR="003A148A" w:rsidRDefault="003A148A" w:rsidP="00691301">
      <w:pPr>
        <w:widowControl w:val="0"/>
        <w:spacing w:before="120" w:line="240" w:lineRule="auto"/>
        <w:ind w:right="10"/>
        <w:jc w:val="center"/>
        <w:rPr>
          <w:rFonts w:asciiTheme="minorHAnsi" w:hAnsiTheme="minorHAnsi"/>
          <w:b/>
        </w:rPr>
      </w:pPr>
    </w:p>
    <w:p w14:paraId="40206F58" w14:textId="7FAB1C74" w:rsidR="00691301" w:rsidRDefault="00691301" w:rsidP="00691301">
      <w:pPr>
        <w:spacing w:after="0" w:line="240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</w:t>
      </w:r>
      <w:r w:rsidR="00435794">
        <w:rPr>
          <w:rFonts w:asciiTheme="minorHAnsi" w:hAnsiTheme="minorHAnsi"/>
          <w:bCs/>
          <w:sz w:val="24"/>
        </w:rPr>
        <w:t>, ogłoszonym na podstawie art. 275 pkt 1</w:t>
      </w:r>
      <w:r>
        <w:rPr>
          <w:rFonts w:asciiTheme="minorHAnsi" w:hAnsiTheme="minorHAnsi"/>
          <w:bCs/>
          <w:sz w:val="24"/>
        </w:rPr>
        <w:t xml:space="preserve"> ustawy z dnia 11 września 2019 r. Prawo za</w:t>
      </w:r>
      <w:r w:rsidR="00435794">
        <w:rPr>
          <w:rFonts w:asciiTheme="minorHAnsi" w:hAnsiTheme="minorHAnsi"/>
          <w:bCs/>
          <w:sz w:val="24"/>
        </w:rPr>
        <w:t>mówień publicznych (Dz.U. z 2022 r. poz. 1710</w:t>
      </w:r>
      <w:bookmarkStart w:id="2" w:name="_GoBack"/>
      <w:bookmarkEnd w:id="2"/>
      <w:r>
        <w:rPr>
          <w:rFonts w:asciiTheme="minorHAnsi" w:hAnsiTheme="minorHAnsi"/>
          <w:bCs/>
          <w:sz w:val="24"/>
        </w:rPr>
        <w:t xml:space="preserve"> ze zm.), pod nazwą:</w:t>
      </w:r>
    </w:p>
    <w:p w14:paraId="375C504C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</w:rPr>
      </w:pPr>
    </w:p>
    <w:p w14:paraId="1012DC5B" w14:textId="77777777" w:rsidR="00BE321C" w:rsidRPr="00BE321C" w:rsidRDefault="00BE321C" w:rsidP="00BE321C">
      <w:pPr>
        <w:spacing w:after="0" w:line="240" w:lineRule="auto"/>
        <w:ind w:left="567"/>
        <w:jc w:val="center"/>
        <w:rPr>
          <w:rFonts w:asciiTheme="minorHAnsi" w:hAnsiTheme="minorHAnsi"/>
          <w:bCs/>
          <w:sz w:val="36"/>
          <w:szCs w:val="32"/>
        </w:rPr>
      </w:pPr>
    </w:p>
    <w:p w14:paraId="593EBB4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35961209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F5171E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28C9DD1" w14:textId="77777777" w:rsidR="00691301" w:rsidRPr="009F1011" w:rsidRDefault="00691301" w:rsidP="00691301">
      <w:pPr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78F130C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6DA8F13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AF8BF8" w14:textId="76559A25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D07710E" w14:textId="31890A6B" w:rsidR="002F2203" w:rsidRDefault="002F2203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16166A9" w14:textId="6CA39F8E" w:rsidR="002F2203" w:rsidRDefault="002F2203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C2D0D56" w14:textId="77777777" w:rsidR="003A148A" w:rsidRDefault="003A148A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E99682F" w14:textId="1A85C7CD" w:rsidR="00691301" w:rsidRDefault="00691301" w:rsidP="00691301">
      <w:pPr>
        <w:tabs>
          <w:tab w:val="left" w:pos="1843"/>
        </w:tabs>
        <w:spacing w:line="253" w:lineRule="exact"/>
        <w:ind w:left="142"/>
        <w:jc w:val="center"/>
        <w:rPr>
          <w:rFonts w:cstheme="minorHAnsi"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Gmina Skoczów, ul. </w:t>
      </w:r>
      <w:r>
        <w:rPr>
          <w:rFonts w:cstheme="minorHAnsi"/>
          <w:bCs/>
          <w:sz w:val="24"/>
        </w:rPr>
        <w:t xml:space="preserve">Rynek </w:t>
      </w:r>
      <w:r w:rsidRPr="00B677ED">
        <w:rPr>
          <w:rFonts w:cstheme="minorHAnsi"/>
          <w:bCs/>
          <w:sz w:val="24"/>
        </w:rPr>
        <w:t xml:space="preserve">1, 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>-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 xml:space="preserve">0 </w:t>
      </w:r>
      <w:r>
        <w:rPr>
          <w:rFonts w:cstheme="minorHAnsi"/>
          <w:bCs/>
          <w:sz w:val="24"/>
        </w:rPr>
        <w:t>Skoczów</w:t>
      </w:r>
    </w:p>
    <w:p w14:paraId="49395D56" w14:textId="77777777" w:rsidR="00BE321C" w:rsidRDefault="00BE321C" w:rsidP="00BE321C">
      <w:pPr>
        <w:spacing w:before="120" w:line="240" w:lineRule="auto"/>
        <w:rPr>
          <w:rFonts w:cstheme="minorHAnsi"/>
        </w:rPr>
      </w:pPr>
    </w:p>
    <w:p w14:paraId="76468894" w14:textId="77777777" w:rsidR="00BE321C" w:rsidRDefault="00BE321C" w:rsidP="00691301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</w:p>
    <w:p w14:paraId="7CEDE7D1" w14:textId="73B41270" w:rsidR="00AB16E2" w:rsidRDefault="00AB16E2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bookmarkStart w:id="3" w:name="_Hlk68000510"/>
      <w:r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>PRZEDMIOT ZAMÓWIENIA</w:t>
      </w:r>
    </w:p>
    <w:p w14:paraId="495582BE" w14:textId="77777777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 xml:space="preserve">Przedmiotem zamówienia jest zasilacz awaryjny UPS wraz z montażem i modernizacja istniejącej instalacji zasilającej. </w:t>
      </w:r>
    </w:p>
    <w:p w14:paraId="4FF953DD" w14:textId="6122388F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 xml:space="preserve">Zasilacz UPS musi być </w:t>
      </w:r>
      <w:r w:rsidR="00370CD3">
        <w:t>uruchomiony w</w:t>
      </w:r>
      <w:r>
        <w:t xml:space="preserve"> serwerowni</w:t>
      </w:r>
      <w:r w:rsidR="00370CD3">
        <w:t xml:space="preserve"> (parter)</w:t>
      </w:r>
      <w:r>
        <w:t xml:space="preserve">. UPS będzie zasilał urządzenia w szafie RACK oraz komputery w budynku podłączone do gniazdek typu DATA, których obwody schodzą się do tablicy TB-D w tej serwerowni. </w:t>
      </w:r>
    </w:p>
    <w:p w14:paraId="60F495A3" w14:textId="55F9E7CD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>Urządzenie musi być fabrycznie nowe i nieużywane przed dniem dostarczenia do siedziby Zamawiającego, z wyłączeniem użycia niezbędnego dla przeprowadzenia testu ich poprawnej pracy.</w:t>
      </w:r>
      <w:r>
        <w:tab/>
      </w:r>
    </w:p>
    <w:p w14:paraId="20F8FD97" w14:textId="6D88A887" w:rsidR="007A1ED0" w:rsidRDefault="0065052C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KONCEPCJA WDROŻENIA</w:t>
      </w:r>
    </w:p>
    <w:p w14:paraId="0042EA7C" w14:textId="2D7021E4" w:rsidR="00370CD3" w:rsidRDefault="00370CD3" w:rsidP="0065052C">
      <w:pPr>
        <w:pStyle w:val="Akapitzlist"/>
        <w:numPr>
          <w:ilvl w:val="0"/>
          <w:numId w:val="12"/>
        </w:numPr>
      </w:pPr>
      <w:r>
        <w:t>Dostarczenie i uruchomienie wolnostojącego urządzenia UPS obok tablicy TB-D</w:t>
      </w:r>
      <w:r w:rsidR="00B41ABC">
        <w:t xml:space="preserve"> w serwerowni</w:t>
      </w:r>
      <w:r>
        <w:t>.</w:t>
      </w:r>
    </w:p>
    <w:p w14:paraId="4DC62323" w14:textId="2D21E21C" w:rsidR="0065052C" w:rsidRDefault="0065052C" w:rsidP="0065052C">
      <w:pPr>
        <w:pStyle w:val="Akapitzlist"/>
        <w:numPr>
          <w:ilvl w:val="0"/>
          <w:numId w:val="12"/>
        </w:numPr>
      </w:pPr>
      <w:r>
        <w:t>M</w:t>
      </w:r>
      <w:r w:rsidR="007A1ED0">
        <w:t>odernizacj</w:t>
      </w:r>
      <w:r>
        <w:t>a</w:t>
      </w:r>
      <w:r w:rsidR="007A1ED0">
        <w:t xml:space="preserve"> istniejącej instalacji zasilającej</w:t>
      </w:r>
      <w:r w:rsidR="00F95DEE">
        <w:t xml:space="preserve"> szafy RACK</w:t>
      </w:r>
      <w:r w:rsidR="00370CD3">
        <w:t xml:space="preserve"> polegająca na ułożeniu w istniejących korytach</w:t>
      </w:r>
      <w:r w:rsidR="00F458FB">
        <w:t xml:space="preserve"> kablowych</w:t>
      </w:r>
      <w:r w:rsidR="00370CD3">
        <w:t xml:space="preserve"> dodatkowego przewodu (ok. 8 metrów) </w:t>
      </w:r>
      <w:r w:rsidR="00F458FB">
        <w:t>dostarczającego do</w:t>
      </w:r>
      <w:r w:rsidR="00370CD3">
        <w:t xml:space="preserve"> szaf</w:t>
      </w:r>
      <w:r w:rsidR="00F458FB">
        <w:t>y</w:t>
      </w:r>
      <w:r w:rsidR="00370CD3">
        <w:t xml:space="preserve"> RACK</w:t>
      </w:r>
      <w:r w:rsidR="00F458FB">
        <w:t xml:space="preserve"> zasilanie awaryjne</w:t>
      </w:r>
      <w:r w:rsidR="00370CD3">
        <w:t xml:space="preserve">, </w:t>
      </w:r>
    </w:p>
    <w:p w14:paraId="7CCDD6BD" w14:textId="1921E170" w:rsidR="0065052C" w:rsidRDefault="0065052C" w:rsidP="0065052C">
      <w:pPr>
        <w:pStyle w:val="Akapitzlist"/>
        <w:numPr>
          <w:ilvl w:val="0"/>
          <w:numId w:val="12"/>
        </w:numPr>
      </w:pPr>
      <w:r>
        <w:t>M</w:t>
      </w:r>
      <w:r w:rsidR="007A1ED0">
        <w:t>odernizacj</w:t>
      </w:r>
      <w:r>
        <w:t>a</w:t>
      </w:r>
      <w:r w:rsidR="007A1ED0">
        <w:t xml:space="preserve"> istniejącej tablicy TB-D w serwerowni, </w:t>
      </w:r>
      <w:r w:rsidR="00F458FB">
        <w:t>poprzez montaż zabezpieczenia trójfazowego zasilającego UPS, oraz montaż przełącznika BYPASS.</w:t>
      </w:r>
    </w:p>
    <w:p w14:paraId="09817E6D" w14:textId="77777777" w:rsidR="000C4A82" w:rsidRDefault="000E76D6" w:rsidP="000C4A82">
      <w:pPr>
        <w:pStyle w:val="Akapitzlist"/>
        <w:numPr>
          <w:ilvl w:val="0"/>
          <w:numId w:val="12"/>
        </w:numPr>
      </w:pPr>
      <w:r>
        <w:t>Montaż na zewnątrz budynku wyłącznika przeciwpożarowego. Przewód do tego celu jest</w:t>
      </w:r>
      <w:r w:rsidR="00373105">
        <w:t xml:space="preserve"> </w:t>
      </w:r>
      <w:r>
        <w:t xml:space="preserve">już przeprowadzony </w:t>
      </w:r>
      <w:r w:rsidR="00373105">
        <w:t>z</w:t>
      </w:r>
      <w:r>
        <w:t xml:space="preserve"> </w:t>
      </w:r>
      <w:r w:rsidR="00373105">
        <w:t xml:space="preserve">miejsca montażu wyłącznika do </w:t>
      </w:r>
      <w:r>
        <w:t>serwerowni</w:t>
      </w:r>
      <w:r w:rsidR="00373105">
        <w:t xml:space="preserve"> </w:t>
      </w:r>
      <w:r>
        <w:t>i przygotowany do podpięcia do styku EPO w UPS</w:t>
      </w:r>
      <w:r w:rsidR="00373105">
        <w:t>.</w:t>
      </w:r>
    </w:p>
    <w:p w14:paraId="17104BFE" w14:textId="77777777" w:rsidR="000C4A82" w:rsidRDefault="000C4A82" w:rsidP="000C4A82">
      <w:pPr>
        <w:pStyle w:val="Akapitzlist"/>
        <w:numPr>
          <w:ilvl w:val="0"/>
          <w:numId w:val="12"/>
        </w:numPr>
      </w:pPr>
      <w:r>
        <w:t>Wykonanie p</w:t>
      </w:r>
      <w:r w:rsidR="007A1ED0">
        <w:t>omiar</w:t>
      </w:r>
      <w:r>
        <w:t>ów</w:t>
      </w:r>
      <w:r w:rsidR="007A1ED0">
        <w:t xml:space="preserve"> odbiorow</w:t>
      </w:r>
      <w:r>
        <w:t>ych</w:t>
      </w:r>
      <w:r w:rsidR="007A1ED0">
        <w:t xml:space="preserve"> i </w:t>
      </w:r>
      <w:r>
        <w:t xml:space="preserve">przekazanie dokumentacji z pomiarów. </w:t>
      </w:r>
    </w:p>
    <w:p w14:paraId="340C9C75" w14:textId="56E3EEFC" w:rsidR="0065052C" w:rsidRDefault="000C4A82" w:rsidP="000C4A82">
      <w:pPr>
        <w:pStyle w:val="Akapitzlist"/>
        <w:numPr>
          <w:ilvl w:val="0"/>
          <w:numId w:val="12"/>
        </w:numPr>
      </w:pPr>
      <w:r>
        <w:t>U</w:t>
      </w:r>
      <w:r w:rsidR="00257627">
        <w:t>ru</w:t>
      </w:r>
      <w:r w:rsidR="007A1ED0">
        <w:t>chomienie zasilacza UPS</w:t>
      </w:r>
      <w:r w:rsidR="0065052C">
        <w:t>.</w:t>
      </w:r>
    </w:p>
    <w:p w14:paraId="571E5694" w14:textId="6E94658B" w:rsidR="0065052C" w:rsidRDefault="0065052C" w:rsidP="0065052C">
      <w:pPr>
        <w:pStyle w:val="Akapitzlist"/>
        <w:numPr>
          <w:ilvl w:val="0"/>
          <w:numId w:val="12"/>
        </w:numPr>
      </w:pPr>
      <w:r>
        <w:t>O</w:t>
      </w:r>
      <w:r w:rsidR="007A1ED0">
        <w:t>pracowanie</w:t>
      </w:r>
      <w:r w:rsidR="00B41ABC">
        <w:t xml:space="preserve"> i przekazanie</w:t>
      </w:r>
      <w:r w:rsidR="007A1ED0">
        <w:t xml:space="preserve"> dokumentacji powykonawczej</w:t>
      </w:r>
      <w:r>
        <w:t>.</w:t>
      </w:r>
    </w:p>
    <w:p w14:paraId="31AC9DC3" w14:textId="0D788C8E" w:rsidR="0065052C" w:rsidRDefault="0065052C" w:rsidP="0065052C">
      <w:pPr>
        <w:pStyle w:val="Akapitzlist"/>
        <w:numPr>
          <w:ilvl w:val="0"/>
          <w:numId w:val="12"/>
        </w:numPr>
      </w:pPr>
      <w:r>
        <w:t>P</w:t>
      </w:r>
      <w:r w:rsidR="007A1ED0">
        <w:t>rzeszkolenie personelu w zakresie podstawowej obsługi.</w:t>
      </w:r>
    </w:p>
    <w:p w14:paraId="3370F685" w14:textId="374AB483" w:rsidR="0065052C" w:rsidRDefault="0065052C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PARAMETRY ZASILACZA UPS</w:t>
      </w:r>
    </w:p>
    <w:p w14:paraId="0865D0C5" w14:textId="23A39C75" w:rsidR="001232D9" w:rsidRDefault="007A1ED0" w:rsidP="00727ADB">
      <w:pPr>
        <w:pStyle w:val="Akapitzlist"/>
        <w:numPr>
          <w:ilvl w:val="0"/>
          <w:numId w:val="13"/>
        </w:numPr>
      </w:pPr>
      <w:r>
        <w:t>Moc wyjściowa czynna urządzenia musi być dobrana w sposób aby w przypadku zaniku zasilania głównego, możliwe było podtrzymanie bateryjne zasilania urządzeń serwerowych i komputerów przez 30 minut dla</w:t>
      </w:r>
      <w:r w:rsidR="001232D9">
        <w:t xml:space="preserve"> obciążenia</w:t>
      </w:r>
      <w:r>
        <w:t xml:space="preserve"> </w:t>
      </w:r>
      <w:r w:rsidR="00464442">
        <w:t>4000</w:t>
      </w:r>
      <w:r>
        <w:t xml:space="preserve"> W, z uwzględnieniem 10% zapasu mocy dla </w:t>
      </w:r>
      <w:r w:rsidR="00B41ABC">
        <w:t>urządzeń podłączonych w przyszłości</w:t>
      </w:r>
      <w:r>
        <w:t xml:space="preserve">. </w:t>
      </w:r>
      <w:r>
        <w:tab/>
      </w:r>
    </w:p>
    <w:p w14:paraId="6D3DEFC9" w14:textId="4C2C9EF6" w:rsidR="001232D9" w:rsidRDefault="007A1ED0" w:rsidP="007A1ED0">
      <w:pPr>
        <w:pStyle w:val="Akapitzlist"/>
        <w:numPr>
          <w:ilvl w:val="0"/>
          <w:numId w:val="13"/>
        </w:numPr>
      </w:pPr>
      <w:r>
        <w:t>Technologia on-line</w:t>
      </w:r>
      <w:r w:rsidR="007B28CE">
        <w:t>.</w:t>
      </w:r>
    </w:p>
    <w:p w14:paraId="5DA639E9" w14:textId="4EA6C111" w:rsidR="001232D9" w:rsidRDefault="007A1ED0" w:rsidP="001232D9">
      <w:pPr>
        <w:pStyle w:val="Akapitzlist"/>
        <w:numPr>
          <w:ilvl w:val="0"/>
          <w:numId w:val="13"/>
        </w:numPr>
      </w:pPr>
      <w:r>
        <w:t>Współpraca z agregatem prądotwórczym</w:t>
      </w:r>
      <w:r w:rsidR="007B28CE">
        <w:t>.</w:t>
      </w:r>
    </w:p>
    <w:p w14:paraId="057445DA" w14:textId="536D05FD" w:rsidR="001B2067" w:rsidRDefault="001B2067" w:rsidP="001232D9">
      <w:pPr>
        <w:pStyle w:val="Akapitzlist"/>
        <w:numPr>
          <w:ilvl w:val="0"/>
          <w:numId w:val="13"/>
        </w:numPr>
      </w:pPr>
      <w:r w:rsidRPr="001B2067">
        <w:t>Złącze dla zewnętrznego modułu bateryjnego</w:t>
      </w:r>
      <w:r>
        <w:t>.</w:t>
      </w:r>
    </w:p>
    <w:p w14:paraId="126154C3" w14:textId="1353F7BA" w:rsidR="001232D9" w:rsidRDefault="007A1ED0" w:rsidP="001232D9">
      <w:pPr>
        <w:pStyle w:val="Akapitzlist"/>
        <w:numPr>
          <w:ilvl w:val="0"/>
          <w:numId w:val="13"/>
        </w:numPr>
      </w:pPr>
      <w:r>
        <w:t>Automatyczny start trybu INVERTER</w:t>
      </w:r>
      <w:r w:rsidR="007B28CE">
        <w:t>.</w:t>
      </w:r>
    </w:p>
    <w:p w14:paraId="74571C03" w14:textId="1B8F3444" w:rsidR="001232D9" w:rsidRDefault="007A1ED0" w:rsidP="001232D9">
      <w:pPr>
        <w:pStyle w:val="Akapitzlist"/>
        <w:numPr>
          <w:ilvl w:val="0"/>
          <w:numId w:val="13"/>
        </w:numPr>
      </w:pPr>
      <w:r>
        <w:t xml:space="preserve">Zakres napięcia wejściowego: </w:t>
      </w:r>
      <w:r w:rsidR="007E246F">
        <w:t xml:space="preserve"> 400</w:t>
      </w:r>
      <w:r>
        <w:t xml:space="preserve"> V</w:t>
      </w:r>
      <w:r w:rsidR="00C03AB7">
        <w:t xml:space="preserve"> AC</w:t>
      </w:r>
      <w:r w:rsidR="007B28CE">
        <w:t>.</w:t>
      </w:r>
      <w:r>
        <w:tab/>
      </w:r>
    </w:p>
    <w:p w14:paraId="33CA0ED0" w14:textId="4CEFDA9C" w:rsidR="001232D9" w:rsidRDefault="007A1ED0" w:rsidP="007A1ED0">
      <w:pPr>
        <w:pStyle w:val="Akapitzlist"/>
        <w:numPr>
          <w:ilvl w:val="0"/>
          <w:numId w:val="13"/>
        </w:numPr>
      </w:pPr>
      <w:r>
        <w:t xml:space="preserve">Autodetekcja napięcia wejściowego: 50/60 </w:t>
      </w:r>
      <w:proofErr w:type="spellStart"/>
      <w:r>
        <w:t>Hz</w:t>
      </w:r>
      <w:proofErr w:type="spellEnd"/>
      <w:r w:rsidR="007B28CE">
        <w:t>.</w:t>
      </w:r>
      <w:r>
        <w:t xml:space="preserve"> </w:t>
      </w:r>
    </w:p>
    <w:p w14:paraId="4A045B49" w14:textId="28A27115" w:rsidR="001232D9" w:rsidRDefault="007A1ED0" w:rsidP="005C3CC2">
      <w:pPr>
        <w:pStyle w:val="Akapitzlist"/>
        <w:numPr>
          <w:ilvl w:val="0"/>
          <w:numId w:val="13"/>
        </w:numPr>
      </w:pPr>
      <w:r>
        <w:t>Sinusoidalny kształt napięcia wyjściowego</w:t>
      </w:r>
      <w:r w:rsidR="007B28CE">
        <w:t>.</w:t>
      </w:r>
      <w:r>
        <w:tab/>
      </w:r>
    </w:p>
    <w:p w14:paraId="2DBC59BF" w14:textId="7AD9075F" w:rsidR="001232D9" w:rsidRDefault="007A1ED0" w:rsidP="00441984">
      <w:pPr>
        <w:pStyle w:val="Akapitzlist"/>
        <w:numPr>
          <w:ilvl w:val="0"/>
          <w:numId w:val="13"/>
        </w:numPr>
      </w:pPr>
      <w:r>
        <w:t>Funkcja EPO i "Zimny start" z baterii</w:t>
      </w:r>
      <w:r w:rsidR="007B28CE">
        <w:t>.</w:t>
      </w:r>
      <w:r>
        <w:tab/>
      </w:r>
    </w:p>
    <w:p w14:paraId="0A7D2118" w14:textId="77777777" w:rsidR="00C03AB7" w:rsidRDefault="007A1ED0" w:rsidP="006F14F8">
      <w:pPr>
        <w:pStyle w:val="Akapitzlist"/>
        <w:numPr>
          <w:ilvl w:val="0"/>
          <w:numId w:val="13"/>
        </w:numPr>
      </w:pPr>
      <w:r>
        <w:t xml:space="preserve">Zakres napięcia wyjściowego </w:t>
      </w:r>
      <w:r w:rsidR="00C03AB7">
        <w:t>400 V AC.</w:t>
      </w:r>
    </w:p>
    <w:p w14:paraId="198F3B55" w14:textId="3C6F0770" w:rsidR="001232D9" w:rsidRDefault="007A1ED0" w:rsidP="006F14F8">
      <w:pPr>
        <w:pStyle w:val="Akapitzlist"/>
        <w:numPr>
          <w:ilvl w:val="0"/>
          <w:numId w:val="13"/>
        </w:numPr>
      </w:pPr>
      <w:r>
        <w:t>Sprawność minimum 9</w:t>
      </w:r>
      <w:r w:rsidR="00CC3446">
        <w:t>0</w:t>
      </w:r>
      <w:r>
        <w:t>%</w:t>
      </w:r>
      <w:r w:rsidR="007B28CE">
        <w:t>.</w:t>
      </w:r>
      <w:r>
        <w:tab/>
      </w:r>
    </w:p>
    <w:p w14:paraId="0FD86D96" w14:textId="54D0ABF9" w:rsidR="001232D9" w:rsidRDefault="007A1ED0" w:rsidP="002665BF">
      <w:pPr>
        <w:pStyle w:val="Akapitzlist"/>
        <w:numPr>
          <w:ilvl w:val="0"/>
          <w:numId w:val="13"/>
        </w:numPr>
      </w:pPr>
      <w:r>
        <w:t>Zabezpieczenia na wejściu: przeciwzwarciowe i przeciwprzepięciowe</w:t>
      </w:r>
      <w:r w:rsidR="007B28CE">
        <w:t>.</w:t>
      </w:r>
      <w:r>
        <w:tab/>
      </w:r>
    </w:p>
    <w:p w14:paraId="15C79BB7" w14:textId="6462433A" w:rsidR="001232D9" w:rsidRDefault="007A1ED0" w:rsidP="00633B4F">
      <w:pPr>
        <w:pStyle w:val="Akapitzlist"/>
        <w:numPr>
          <w:ilvl w:val="0"/>
          <w:numId w:val="13"/>
        </w:numPr>
      </w:pPr>
      <w:r>
        <w:t>Zabezpieczenia na wyjściu: przeciwzwarciowe i przeciążeniowe</w:t>
      </w:r>
      <w:r w:rsidR="007B28CE">
        <w:t>.</w:t>
      </w:r>
      <w:r>
        <w:tab/>
      </w:r>
    </w:p>
    <w:p w14:paraId="2D5C4BF8" w14:textId="47E299C3" w:rsidR="0037516B" w:rsidRDefault="007A1ED0" w:rsidP="007A1ED0">
      <w:pPr>
        <w:pStyle w:val="Akapitzlist"/>
        <w:numPr>
          <w:ilvl w:val="0"/>
          <w:numId w:val="13"/>
        </w:numPr>
      </w:pPr>
      <w:r>
        <w:t>Zarządzanie urządzeniem przez przeglądarkę internetową</w:t>
      </w:r>
      <w:r w:rsidR="007B28CE">
        <w:t>.</w:t>
      </w:r>
      <w:r>
        <w:tab/>
      </w:r>
    </w:p>
    <w:p w14:paraId="5750B85E" w14:textId="1AD2BCFB" w:rsidR="0037516B" w:rsidRDefault="007A1ED0" w:rsidP="0052665D">
      <w:pPr>
        <w:pStyle w:val="Akapitzlist"/>
        <w:numPr>
          <w:ilvl w:val="0"/>
          <w:numId w:val="13"/>
        </w:numPr>
      </w:pPr>
      <w:r>
        <w:t>OBUDOWA</w:t>
      </w:r>
    </w:p>
    <w:p w14:paraId="3F00D617" w14:textId="387DEE04" w:rsidR="0037516B" w:rsidRDefault="00B41ABC" w:rsidP="00D43D22">
      <w:pPr>
        <w:pStyle w:val="Akapitzlist"/>
        <w:numPr>
          <w:ilvl w:val="1"/>
          <w:numId w:val="13"/>
        </w:numPr>
      </w:pPr>
      <w:r>
        <w:t>Rodzaj obudowy – Tower.</w:t>
      </w:r>
    </w:p>
    <w:p w14:paraId="6AB96A20" w14:textId="77777777" w:rsidR="00257627" w:rsidRDefault="001B2067" w:rsidP="00257627">
      <w:pPr>
        <w:pStyle w:val="Akapitzlist"/>
        <w:numPr>
          <w:ilvl w:val="1"/>
          <w:numId w:val="13"/>
        </w:numPr>
      </w:pPr>
      <w:r>
        <w:t>Panel kontrolno-monitorujący</w:t>
      </w:r>
      <w:r w:rsidR="007A1ED0">
        <w:t xml:space="preserve"> LCD</w:t>
      </w:r>
      <w:r w:rsidR="007B28CE">
        <w:t>.</w:t>
      </w:r>
      <w:r w:rsidR="007A1ED0">
        <w:tab/>
      </w:r>
    </w:p>
    <w:p w14:paraId="23AD9E0B" w14:textId="42F5CCAA" w:rsidR="00FB2B37" w:rsidRDefault="007A1ED0" w:rsidP="00257627">
      <w:pPr>
        <w:pStyle w:val="Akapitzlist"/>
        <w:numPr>
          <w:ilvl w:val="1"/>
          <w:numId w:val="13"/>
        </w:numPr>
      </w:pPr>
      <w:r>
        <w:t>Porty</w:t>
      </w:r>
      <w:r w:rsidR="00B41ABC">
        <w:t xml:space="preserve"> komunikacyjne</w:t>
      </w:r>
      <w:r>
        <w:t>: minimum 1 port USB, minimum 1 port RJ45 (SNMP)</w:t>
      </w:r>
      <w:r w:rsidR="007B28CE">
        <w:t>.</w:t>
      </w:r>
    </w:p>
    <w:p w14:paraId="2631BC21" w14:textId="77777777" w:rsidR="00FB2B37" w:rsidRDefault="007A1ED0" w:rsidP="0011368E">
      <w:pPr>
        <w:pStyle w:val="Akapitzlist"/>
        <w:numPr>
          <w:ilvl w:val="0"/>
          <w:numId w:val="13"/>
        </w:numPr>
      </w:pPr>
      <w:r>
        <w:lastRenderedPageBreak/>
        <w:t>FUNKCJONALNOŚĆ</w:t>
      </w:r>
    </w:p>
    <w:p w14:paraId="50F920B0" w14:textId="762B8E32" w:rsidR="00FB2B37" w:rsidRDefault="007A1ED0" w:rsidP="00523D04">
      <w:pPr>
        <w:pStyle w:val="Akapitzlist"/>
        <w:numPr>
          <w:ilvl w:val="1"/>
          <w:numId w:val="13"/>
        </w:numPr>
      </w:pPr>
      <w:r>
        <w:t>Zdalne wyłączenie UPS</w:t>
      </w:r>
      <w:r w:rsidR="007B28CE">
        <w:t>.</w:t>
      </w:r>
      <w:r>
        <w:tab/>
      </w:r>
    </w:p>
    <w:p w14:paraId="663ADDDC" w14:textId="7FFAFDCF" w:rsidR="00FB2B37" w:rsidRDefault="007A1ED0" w:rsidP="000765BC">
      <w:pPr>
        <w:pStyle w:val="Akapitzlist"/>
        <w:numPr>
          <w:ilvl w:val="1"/>
          <w:numId w:val="13"/>
        </w:numPr>
      </w:pPr>
      <w:r>
        <w:t xml:space="preserve">Wyświetlanie na panelu LCD informacji o stanie zasilania UPS, minimum napięcie </w:t>
      </w:r>
      <w:r w:rsidR="00FB2B37">
        <w:t>w</w:t>
      </w:r>
      <w:r>
        <w:t>ejściowe/wyjściowe, częstotliwość wyjściowa, obciążenie, stopień rozładowania akumulatorów</w:t>
      </w:r>
      <w:r w:rsidR="007B28CE">
        <w:t>.</w:t>
      </w:r>
    </w:p>
    <w:p w14:paraId="4DEBE500" w14:textId="77777777" w:rsidR="00FB2B37" w:rsidRDefault="007A1ED0" w:rsidP="00A97857">
      <w:pPr>
        <w:pStyle w:val="Akapitzlist"/>
        <w:numPr>
          <w:ilvl w:val="1"/>
          <w:numId w:val="13"/>
        </w:numPr>
      </w:pPr>
      <w:r>
        <w:t>Dźwiękowa sygnalizacja rozładowania baterii.</w:t>
      </w:r>
      <w:r>
        <w:tab/>
      </w:r>
    </w:p>
    <w:p w14:paraId="4DD809A7" w14:textId="5AE7F2E5" w:rsidR="00FB2B37" w:rsidRDefault="007A1ED0" w:rsidP="005C7B36">
      <w:pPr>
        <w:pStyle w:val="Akapitzlist"/>
        <w:numPr>
          <w:ilvl w:val="1"/>
          <w:numId w:val="13"/>
        </w:numPr>
      </w:pPr>
      <w:r>
        <w:t>Oprogramowanie zarządzająco – monitorujące</w:t>
      </w:r>
      <w:r w:rsidR="007B28CE">
        <w:t>.</w:t>
      </w:r>
      <w:r>
        <w:tab/>
      </w:r>
    </w:p>
    <w:p w14:paraId="4BB13420" w14:textId="0F5E2F69" w:rsidR="00FB2B37" w:rsidRDefault="007A1ED0" w:rsidP="0012070F">
      <w:pPr>
        <w:pStyle w:val="Akapitzlist"/>
        <w:numPr>
          <w:ilvl w:val="1"/>
          <w:numId w:val="13"/>
        </w:numPr>
      </w:pPr>
      <w:r>
        <w:t>Komunikacja SNMP</w:t>
      </w:r>
      <w:r w:rsidR="007B28CE">
        <w:t>.</w:t>
      </w:r>
      <w:r>
        <w:tab/>
      </w:r>
    </w:p>
    <w:p w14:paraId="2757BEA5" w14:textId="77777777" w:rsidR="00EB661D" w:rsidRDefault="007A1ED0" w:rsidP="007A1ED0">
      <w:pPr>
        <w:pStyle w:val="Akapitzlist"/>
        <w:numPr>
          <w:ilvl w:val="0"/>
          <w:numId w:val="13"/>
        </w:numPr>
      </w:pPr>
      <w:r>
        <w:t>CERTYFIKATY I DEKLARACJE</w:t>
      </w:r>
      <w:r w:rsidR="00FB2B37">
        <w:t>:</w:t>
      </w:r>
    </w:p>
    <w:p w14:paraId="1358BF71" w14:textId="2B4D780F" w:rsidR="00EB661D" w:rsidRDefault="007A1ED0" w:rsidP="007F5C08">
      <w:pPr>
        <w:pStyle w:val="Akapitzlist"/>
        <w:numPr>
          <w:ilvl w:val="1"/>
          <w:numId w:val="13"/>
        </w:numPr>
      </w:pPr>
      <w:r>
        <w:t>Deklaracja zgodności UE (certyfikat CE) potwierdzająca spełnienie wymagań dyrektywy „Nowego Podejścia”</w:t>
      </w:r>
      <w:r w:rsidR="007B28CE">
        <w:t>.</w:t>
      </w:r>
      <w:r>
        <w:tab/>
      </w:r>
    </w:p>
    <w:p w14:paraId="4B42DEF4" w14:textId="560391AB" w:rsidR="00EB661D" w:rsidRDefault="007A1ED0" w:rsidP="008D318A">
      <w:pPr>
        <w:pStyle w:val="Akapitzlist"/>
        <w:numPr>
          <w:ilvl w:val="1"/>
          <w:numId w:val="13"/>
        </w:numPr>
      </w:pPr>
      <w:r>
        <w:t xml:space="preserve">Certyfikat zgodności z dyrektywą </w:t>
      </w:r>
      <w:proofErr w:type="spellStart"/>
      <w:r>
        <w:t>RoHS</w:t>
      </w:r>
      <w:proofErr w:type="spellEnd"/>
      <w:r>
        <w:t xml:space="preserve"> lub potwierdzenie spełnienia kryteriów środowiskowych zgodnych z dyrektywą </w:t>
      </w:r>
      <w:proofErr w:type="spellStart"/>
      <w:r>
        <w:t>RoHS</w:t>
      </w:r>
      <w:proofErr w:type="spellEnd"/>
      <w:r>
        <w:t xml:space="preserve"> o eliminacji substancji niebezpiecznych</w:t>
      </w:r>
      <w:r w:rsidR="007B28CE">
        <w:t>.</w:t>
      </w:r>
    </w:p>
    <w:p w14:paraId="41874AF0" w14:textId="61F82C21" w:rsidR="007A1ED0" w:rsidRDefault="007A1ED0" w:rsidP="002C66E4">
      <w:pPr>
        <w:pStyle w:val="Akapitzlist"/>
        <w:numPr>
          <w:ilvl w:val="1"/>
          <w:numId w:val="13"/>
        </w:numPr>
      </w:pPr>
      <w:r>
        <w:t>Certyfikat zgodności z dyrektywą WEEE lub oświadczenie producenta o spełnieniu obowiązków w zakresie postępowania z odpadami WEEE</w:t>
      </w:r>
      <w:r w:rsidR="007B28CE">
        <w:t>.</w:t>
      </w:r>
    </w:p>
    <w:p w14:paraId="122B5084" w14:textId="2CE98BF7" w:rsidR="00731B1C" w:rsidRDefault="00731B1C" w:rsidP="00731B1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ZAMÓWIENIA</w:t>
      </w:r>
    </w:p>
    <w:p w14:paraId="47A7AE53" w14:textId="77777777" w:rsidR="007A1ED0" w:rsidRDefault="007A1ED0" w:rsidP="007A1ED0">
      <w:r>
        <w:t>Termin realizacji zamówienia – do 30 dni od daty podpisania umowy.</w:t>
      </w:r>
    </w:p>
    <w:p w14:paraId="5E343E5C" w14:textId="15492A03" w:rsidR="007A1ED0" w:rsidRDefault="007A1ED0" w:rsidP="007A1ED0"/>
    <w:bookmarkEnd w:id="3"/>
    <w:p w14:paraId="27E40380" w14:textId="1636CA79" w:rsidR="00064DE4" w:rsidRPr="00064DE4" w:rsidRDefault="00064DE4" w:rsidP="008F4985">
      <w:pPr>
        <w:pStyle w:val="Akapitzlist"/>
        <w:spacing w:before="120" w:after="120" w:line="240" w:lineRule="auto"/>
        <w:ind w:left="714"/>
        <w:contextualSpacing w:val="0"/>
        <w:jc w:val="both"/>
        <w:rPr>
          <w:rFonts w:cs="Calibri"/>
          <w:sz w:val="20"/>
          <w:szCs w:val="20"/>
        </w:rPr>
      </w:pPr>
    </w:p>
    <w:sectPr w:rsidR="00064DE4" w:rsidRPr="00064DE4" w:rsidSect="007A1ED0">
      <w:headerReference w:type="default" r:id="rId8"/>
      <w:footerReference w:type="default" r:id="rId9"/>
      <w:pgSz w:w="11906" w:h="16838" w:code="9"/>
      <w:pgMar w:top="1134" w:right="14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BFCA7" w14:textId="77777777" w:rsidR="00735E94" w:rsidRDefault="00735E94" w:rsidP="00D87A32">
      <w:pPr>
        <w:spacing w:after="0" w:line="240" w:lineRule="auto"/>
      </w:pPr>
      <w:r>
        <w:separator/>
      </w:r>
    </w:p>
  </w:endnote>
  <w:endnote w:type="continuationSeparator" w:id="0">
    <w:p w14:paraId="49ED022C" w14:textId="77777777" w:rsidR="00735E94" w:rsidRDefault="00735E94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10F5" w14:textId="77777777" w:rsidR="00AB16E2" w:rsidRPr="00765580" w:rsidRDefault="00AB16E2" w:rsidP="00D87A3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  <w:bookmarkStart w:id="4" w:name="_Hlk70665159"/>
  </w:p>
  <w:bookmarkEnd w:id="4"/>
  <w:p w14:paraId="1FD67E8E" w14:textId="04B88A7E" w:rsidR="005B0052" w:rsidRDefault="005B0052" w:rsidP="005B0052">
    <w:pPr>
      <w:pStyle w:val="Stopka"/>
      <w:jc w:val="center"/>
      <w:rPr>
        <w:sz w:val="20"/>
        <w:szCs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E32D62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1BD717BA" w14:textId="7A6C17B5" w:rsidR="00AB16E2" w:rsidRPr="008B6891" w:rsidRDefault="00AB16E2">
    <w:pPr>
      <w:pStyle w:val="Stopka"/>
      <w:jc w:val="right"/>
      <w:rPr>
        <w:sz w:val="20"/>
        <w:szCs w:val="20"/>
      </w:rPr>
    </w:pPr>
    <w:r w:rsidRPr="008B6891">
      <w:rPr>
        <w:sz w:val="20"/>
        <w:szCs w:val="20"/>
      </w:rPr>
      <w:fldChar w:fldCharType="begin"/>
    </w:r>
    <w:r w:rsidRPr="008B6891">
      <w:rPr>
        <w:sz w:val="20"/>
        <w:szCs w:val="20"/>
      </w:rPr>
      <w:instrText>PAGE   \* MERGEFORMAT</w:instrText>
    </w:r>
    <w:r w:rsidRPr="008B6891">
      <w:rPr>
        <w:sz w:val="20"/>
        <w:szCs w:val="20"/>
      </w:rPr>
      <w:fldChar w:fldCharType="separate"/>
    </w:r>
    <w:r w:rsidR="00435794">
      <w:rPr>
        <w:noProof/>
        <w:sz w:val="20"/>
        <w:szCs w:val="20"/>
      </w:rPr>
      <w:t>1</w:t>
    </w:r>
    <w:r w:rsidRPr="008B68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8578" w14:textId="77777777" w:rsidR="00735E94" w:rsidRDefault="00735E94" w:rsidP="00D87A32">
      <w:pPr>
        <w:spacing w:after="0" w:line="240" w:lineRule="auto"/>
      </w:pPr>
      <w:r>
        <w:separator/>
      </w:r>
    </w:p>
  </w:footnote>
  <w:footnote w:type="continuationSeparator" w:id="0">
    <w:p w14:paraId="61ED90BD" w14:textId="77777777" w:rsidR="00735E94" w:rsidRDefault="00735E94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6096" w14:textId="5A5E50C8" w:rsidR="00AB16E2" w:rsidRPr="005B0052" w:rsidRDefault="005B0052" w:rsidP="005B0052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  <w:lang w:eastAsia="pl-PL"/>
      </w:rPr>
      <w:drawing>
        <wp:inline distT="0" distB="0" distL="0" distR="0" wp14:anchorId="6A1AF9DA" wp14:editId="27F00FD7">
          <wp:extent cx="6052782" cy="627599"/>
          <wp:effectExtent l="0" t="0" r="5715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7B16D02"/>
    <w:multiLevelType w:val="hybridMultilevel"/>
    <w:tmpl w:val="A5B45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C06"/>
    <w:multiLevelType w:val="hybridMultilevel"/>
    <w:tmpl w:val="231AF2E2"/>
    <w:lvl w:ilvl="0" w:tplc="B72C8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32CE3E7B"/>
    <w:multiLevelType w:val="hybridMultilevel"/>
    <w:tmpl w:val="A5B4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53692884"/>
    <w:multiLevelType w:val="hybridMultilevel"/>
    <w:tmpl w:val="04D0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F"/>
    <w:rsid w:val="00001FAF"/>
    <w:rsid w:val="00006441"/>
    <w:rsid w:val="000138C1"/>
    <w:rsid w:val="000158E2"/>
    <w:rsid w:val="00022E2D"/>
    <w:rsid w:val="0003055F"/>
    <w:rsid w:val="00030675"/>
    <w:rsid w:val="000340C0"/>
    <w:rsid w:val="0004738C"/>
    <w:rsid w:val="00055F5E"/>
    <w:rsid w:val="00060B43"/>
    <w:rsid w:val="000647D8"/>
    <w:rsid w:val="00064DE4"/>
    <w:rsid w:val="00077EE3"/>
    <w:rsid w:val="000941AB"/>
    <w:rsid w:val="000A4D1B"/>
    <w:rsid w:val="000A754D"/>
    <w:rsid w:val="000B40FD"/>
    <w:rsid w:val="000C12D9"/>
    <w:rsid w:val="000C319F"/>
    <w:rsid w:val="000C4A82"/>
    <w:rsid w:val="000C68C1"/>
    <w:rsid w:val="000E335F"/>
    <w:rsid w:val="000E64CA"/>
    <w:rsid w:val="000E76D6"/>
    <w:rsid w:val="000F3F79"/>
    <w:rsid w:val="001213BC"/>
    <w:rsid w:val="001232D9"/>
    <w:rsid w:val="001329C4"/>
    <w:rsid w:val="001509CA"/>
    <w:rsid w:val="00155545"/>
    <w:rsid w:val="00163F1A"/>
    <w:rsid w:val="00165EE6"/>
    <w:rsid w:val="00166050"/>
    <w:rsid w:val="0017521D"/>
    <w:rsid w:val="001844A9"/>
    <w:rsid w:val="00190853"/>
    <w:rsid w:val="0019787E"/>
    <w:rsid w:val="001A0E83"/>
    <w:rsid w:val="001A236B"/>
    <w:rsid w:val="001B0E15"/>
    <w:rsid w:val="001B2067"/>
    <w:rsid w:val="001B7A05"/>
    <w:rsid w:val="001C10A5"/>
    <w:rsid w:val="001C7A9D"/>
    <w:rsid w:val="001D2008"/>
    <w:rsid w:val="001D60F6"/>
    <w:rsid w:val="001F0899"/>
    <w:rsid w:val="002101E0"/>
    <w:rsid w:val="00224132"/>
    <w:rsid w:val="00224D92"/>
    <w:rsid w:val="0023332C"/>
    <w:rsid w:val="00254705"/>
    <w:rsid w:val="00257627"/>
    <w:rsid w:val="00263292"/>
    <w:rsid w:val="00263748"/>
    <w:rsid w:val="0027090B"/>
    <w:rsid w:val="00274764"/>
    <w:rsid w:val="00276B35"/>
    <w:rsid w:val="00280CF7"/>
    <w:rsid w:val="00282EF7"/>
    <w:rsid w:val="002A32CE"/>
    <w:rsid w:val="002A4E1A"/>
    <w:rsid w:val="002A5C4A"/>
    <w:rsid w:val="002C68A5"/>
    <w:rsid w:val="002E6B2D"/>
    <w:rsid w:val="002F2203"/>
    <w:rsid w:val="0031554D"/>
    <w:rsid w:val="003241CD"/>
    <w:rsid w:val="003351B7"/>
    <w:rsid w:val="00344C3E"/>
    <w:rsid w:val="0035217A"/>
    <w:rsid w:val="00367B74"/>
    <w:rsid w:val="00370CD3"/>
    <w:rsid w:val="00373105"/>
    <w:rsid w:val="003732C0"/>
    <w:rsid w:val="0037516B"/>
    <w:rsid w:val="00387766"/>
    <w:rsid w:val="00391D3D"/>
    <w:rsid w:val="003A148A"/>
    <w:rsid w:val="003A6939"/>
    <w:rsid w:val="003B7028"/>
    <w:rsid w:val="003C35DB"/>
    <w:rsid w:val="003C3A23"/>
    <w:rsid w:val="003E3A02"/>
    <w:rsid w:val="004026F9"/>
    <w:rsid w:val="00403271"/>
    <w:rsid w:val="004112EA"/>
    <w:rsid w:val="00411587"/>
    <w:rsid w:val="00417AD8"/>
    <w:rsid w:val="00424349"/>
    <w:rsid w:val="00432B76"/>
    <w:rsid w:val="00433F18"/>
    <w:rsid w:val="00435794"/>
    <w:rsid w:val="0043642E"/>
    <w:rsid w:val="004444BF"/>
    <w:rsid w:val="00450671"/>
    <w:rsid w:val="00464442"/>
    <w:rsid w:val="00467AA5"/>
    <w:rsid w:val="004710DA"/>
    <w:rsid w:val="00472B7B"/>
    <w:rsid w:val="0048348D"/>
    <w:rsid w:val="00483E19"/>
    <w:rsid w:val="00486C0B"/>
    <w:rsid w:val="004A2B55"/>
    <w:rsid w:val="004C249D"/>
    <w:rsid w:val="004C5221"/>
    <w:rsid w:val="004D0888"/>
    <w:rsid w:val="00517CBB"/>
    <w:rsid w:val="00535B48"/>
    <w:rsid w:val="00542EC4"/>
    <w:rsid w:val="005430BD"/>
    <w:rsid w:val="00547A84"/>
    <w:rsid w:val="0055029A"/>
    <w:rsid w:val="00550DD9"/>
    <w:rsid w:val="005762D8"/>
    <w:rsid w:val="00576FB9"/>
    <w:rsid w:val="005A0A7C"/>
    <w:rsid w:val="005B0052"/>
    <w:rsid w:val="005C0F8E"/>
    <w:rsid w:val="005C3578"/>
    <w:rsid w:val="005D7610"/>
    <w:rsid w:val="005F2391"/>
    <w:rsid w:val="005F2E40"/>
    <w:rsid w:val="005F5A16"/>
    <w:rsid w:val="006039A6"/>
    <w:rsid w:val="006205B7"/>
    <w:rsid w:val="0062371C"/>
    <w:rsid w:val="00623FEF"/>
    <w:rsid w:val="006257E8"/>
    <w:rsid w:val="006466C7"/>
    <w:rsid w:val="0065052C"/>
    <w:rsid w:val="00665900"/>
    <w:rsid w:val="006664FE"/>
    <w:rsid w:val="00691301"/>
    <w:rsid w:val="0069189D"/>
    <w:rsid w:val="00693945"/>
    <w:rsid w:val="006B0A54"/>
    <w:rsid w:val="006C2E18"/>
    <w:rsid w:val="006D66CC"/>
    <w:rsid w:val="006E445A"/>
    <w:rsid w:val="006E66EE"/>
    <w:rsid w:val="006F32C7"/>
    <w:rsid w:val="00701E55"/>
    <w:rsid w:val="007037EC"/>
    <w:rsid w:val="007315A6"/>
    <w:rsid w:val="00731742"/>
    <w:rsid w:val="00731B1C"/>
    <w:rsid w:val="00735E94"/>
    <w:rsid w:val="0074373C"/>
    <w:rsid w:val="00752D7C"/>
    <w:rsid w:val="00754AB6"/>
    <w:rsid w:val="00765580"/>
    <w:rsid w:val="00766160"/>
    <w:rsid w:val="00776AFD"/>
    <w:rsid w:val="007851B6"/>
    <w:rsid w:val="0078780E"/>
    <w:rsid w:val="007928D5"/>
    <w:rsid w:val="00795B6B"/>
    <w:rsid w:val="00795C65"/>
    <w:rsid w:val="007A1ED0"/>
    <w:rsid w:val="007A3E15"/>
    <w:rsid w:val="007A52A3"/>
    <w:rsid w:val="007B28CE"/>
    <w:rsid w:val="007B46CB"/>
    <w:rsid w:val="007C3955"/>
    <w:rsid w:val="007C3ABE"/>
    <w:rsid w:val="007D146A"/>
    <w:rsid w:val="007D3316"/>
    <w:rsid w:val="007E246F"/>
    <w:rsid w:val="007E3C0C"/>
    <w:rsid w:val="007F0B2A"/>
    <w:rsid w:val="008166A8"/>
    <w:rsid w:val="00835266"/>
    <w:rsid w:val="00843B7B"/>
    <w:rsid w:val="0084551F"/>
    <w:rsid w:val="00856EC3"/>
    <w:rsid w:val="008649DE"/>
    <w:rsid w:val="008B6891"/>
    <w:rsid w:val="008C4C91"/>
    <w:rsid w:val="008D0A9F"/>
    <w:rsid w:val="008D4DA8"/>
    <w:rsid w:val="008E266C"/>
    <w:rsid w:val="008E4DC2"/>
    <w:rsid w:val="008F3024"/>
    <w:rsid w:val="008F4985"/>
    <w:rsid w:val="008F5A3F"/>
    <w:rsid w:val="009130DB"/>
    <w:rsid w:val="00932891"/>
    <w:rsid w:val="00937DDA"/>
    <w:rsid w:val="009509FF"/>
    <w:rsid w:val="0095257B"/>
    <w:rsid w:val="00962C8C"/>
    <w:rsid w:val="00973D4E"/>
    <w:rsid w:val="009826D8"/>
    <w:rsid w:val="00992E35"/>
    <w:rsid w:val="00994F21"/>
    <w:rsid w:val="009A12ED"/>
    <w:rsid w:val="009A3810"/>
    <w:rsid w:val="009B0CCE"/>
    <w:rsid w:val="009B5C75"/>
    <w:rsid w:val="009D48BC"/>
    <w:rsid w:val="009E3880"/>
    <w:rsid w:val="009E73ED"/>
    <w:rsid w:val="009F4287"/>
    <w:rsid w:val="00A10E2C"/>
    <w:rsid w:val="00A221AC"/>
    <w:rsid w:val="00A320FF"/>
    <w:rsid w:val="00A33763"/>
    <w:rsid w:val="00A34D2D"/>
    <w:rsid w:val="00A35D67"/>
    <w:rsid w:val="00A40D6F"/>
    <w:rsid w:val="00A501F5"/>
    <w:rsid w:val="00A63057"/>
    <w:rsid w:val="00A700FC"/>
    <w:rsid w:val="00A75597"/>
    <w:rsid w:val="00AB16E2"/>
    <w:rsid w:val="00AC2C49"/>
    <w:rsid w:val="00B0577C"/>
    <w:rsid w:val="00B10C3A"/>
    <w:rsid w:val="00B22653"/>
    <w:rsid w:val="00B27D10"/>
    <w:rsid w:val="00B33344"/>
    <w:rsid w:val="00B3603D"/>
    <w:rsid w:val="00B4008C"/>
    <w:rsid w:val="00B41ABC"/>
    <w:rsid w:val="00B45EDD"/>
    <w:rsid w:val="00B51566"/>
    <w:rsid w:val="00B55D39"/>
    <w:rsid w:val="00B67736"/>
    <w:rsid w:val="00B67746"/>
    <w:rsid w:val="00B70D08"/>
    <w:rsid w:val="00B84582"/>
    <w:rsid w:val="00B942F5"/>
    <w:rsid w:val="00B95453"/>
    <w:rsid w:val="00BB29A3"/>
    <w:rsid w:val="00BC0710"/>
    <w:rsid w:val="00BE321C"/>
    <w:rsid w:val="00BF4AA9"/>
    <w:rsid w:val="00BF5259"/>
    <w:rsid w:val="00C03AB7"/>
    <w:rsid w:val="00C140FA"/>
    <w:rsid w:val="00C248C5"/>
    <w:rsid w:val="00C42F08"/>
    <w:rsid w:val="00C45A83"/>
    <w:rsid w:val="00C52023"/>
    <w:rsid w:val="00C53EBE"/>
    <w:rsid w:val="00C5733D"/>
    <w:rsid w:val="00C64224"/>
    <w:rsid w:val="00C70478"/>
    <w:rsid w:val="00C82309"/>
    <w:rsid w:val="00CC20BE"/>
    <w:rsid w:val="00CC3446"/>
    <w:rsid w:val="00CC3BBD"/>
    <w:rsid w:val="00CC6185"/>
    <w:rsid w:val="00CC61A9"/>
    <w:rsid w:val="00CC675D"/>
    <w:rsid w:val="00CD14D5"/>
    <w:rsid w:val="00CE3207"/>
    <w:rsid w:val="00D150C3"/>
    <w:rsid w:val="00D32772"/>
    <w:rsid w:val="00D634AE"/>
    <w:rsid w:val="00D756C3"/>
    <w:rsid w:val="00D87A32"/>
    <w:rsid w:val="00D9525D"/>
    <w:rsid w:val="00D95C34"/>
    <w:rsid w:val="00D95E51"/>
    <w:rsid w:val="00DB0C87"/>
    <w:rsid w:val="00DB680C"/>
    <w:rsid w:val="00DC12F7"/>
    <w:rsid w:val="00DC25C6"/>
    <w:rsid w:val="00DC4CA5"/>
    <w:rsid w:val="00DC7259"/>
    <w:rsid w:val="00DD3488"/>
    <w:rsid w:val="00DD48F8"/>
    <w:rsid w:val="00DE5AB4"/>
    <w:rsid w:val="00DE620E"/>
    <w:rsid w:val="00DF0573"/>
    <w:rsid w:val="00DF6821"/>
    <w:rsid w:val="00DF6DBA"/>
    <w:rsid w:val="00E2074A"/>
    <w:rsid w:val="00E21C53"/>
    <w:rsid w:val="00E23F1A"/>
    <w:rsid w:val="00E3238A"/>
    <w:rsid w:val="00E32D62"/>
    <w:rsid w:val="00E419AE"/>
    <w:rsid w:val="00E44B55"/>
    <w:rsid w:val="00EA1E5C"/>
    <w:rsid w:val="00EB661D"/>
    <w:rsid w:val="00ED6721"/>
    <w:rsid w:val="00ED6F4C"/>
    <w:rsid w:val="00ED7DD3"/>
    <w:rsid w:val="00ED7E9A"/>
    <w:rsid w:val="00EE2319"/>
    <w:rsid w:val="00EE67E9"/>
    <w:rsid w:val="00EF52AB"/>
    <w:rsid w:val="00F07547"/>
    <w:rsid w:val="00F1332A"/>
    <w:rsid w:val="00F167AF"/>
    <w:rsid w:val="00F24866"/>
    <w:rsid w:val="00F272C0"/>
    <w:rsid w:val="00F2762F"/>
    <w:rsid w:val="00F41332"/>
    <w:rsid w:val="00F458FB"/>
    <w:rsid w:val="00F47FF0"/>
    <w:rsid w:val="00F503B3"/>
    <w:rsid w:val="00F5164F"/>
    <w:rsid w:val="00F52E3C"/>
    <w:rsid w:val="00F55F8D"/>
    <w:rsid w:val="00F67336"/>
    <w:rsid w:val="00F764BF"/>
    <w:rsid w:val="00F777AC"/>
    <w:rsid w:val="00F873ED"/>
    <w:rsid w:val="00F901EF"/>
    <w:rsid w:val="00F95DEE"/>
    <w:rsid w:val="00FA608A"/>
    <w:rsid w:val="00FA63BE"/>
    <w:rsid w:val="00FA682D"/>
    <w:rsid w:val="00FB2B37"/>
    <w:rsid w:val="00FB52B3"/>
    <w:rsid w:val="00FC510C"/>
    <w:rsid w:val="00FD2F80"/>
    <w:rsid w:val="00FE467B"/>
    <w:rsid w:val="00FE4FBA"/>
    <w:rsid w:val="00FF3AA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C4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Obiekt,List Paragraph1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qFormat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Obiekt,List Paragraph1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qFormat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zapytania ofertowego: ………………………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zapytania ofertowego: ………………………</dc:title>
  <dc:creator>Fajkis Izabela</dc:creator>
  <cp:lastModifiedBy>Katarzyna Doleszczak-Jakubiec</cp:lastModifiedBy>
  <cp:revision>4</cp:revision>
  <cp:lastPrinted>2021-10-05T07:02:00Z</cp:lastPrinted>
  <dcterms:created xsi:type="dcterms:W3CDTF">2023-06-14T07:17:00Z</dcterms:created>
  <dcterms:modified xsi:type="dcterms:W3CDTF">2023-06-14T07:22:00Z</dcterms:modified>
</cp:coreProperties>
</file>