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0547" w14:textId="7C3CD2F8" w:rsidR="00944C6A" w:rsidRPr="00794E31" w:rsidRDefault="00944C6A" w:rsidP="00944C6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</w:pPr>
      <w:r w:rsidRPr="00794E3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Numer sprawy: </w:t>
      </w:r>
      <w:r w:rsidR="00A366E6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>14</w:t>
      </w:r>
      <w:r w:rsidRPr="00794E3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/P/20</w:t>
      </w:r>
      <w:r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>20</w:t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  <w:t xml:space="preserve"> </w:t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</w:r>
      <w:r w:rsidR="001A0A5A" w:rsidRPr="00794E31">
        <w:rPr>
          <w:rFonts w:ascii="Times New Roman" w:eastAsia="Times New Roman" w:hAnsi="Times New Roman" w:cs="Times New Roman"/>
          <w:b/>
          <w:sz w:val="24"/>
          <w:szCs w:val="24"/>
          <w:lang w:val="pl-PL" w:eastAsia="x-none"/>
        </w:rPr>
        <w:tab/>
        <w:t xml:space="preserve">Załącznik B </w:t>
      </w:r>
    </w:p>
    <w:p w14:paraId="2FAC55D4" w14:textId="77777777" w:rsidR="000D79A1" w:rsidRPr="00794E31" w:rsidRDefault="000D79A1" w:rsidP="000D79A1">
      <w:pPr>
        <w:widowControl w:val="0"/>
        <w:suppressAutoHyphens/>
        <w:autoSpaceDN w:val="0"/>
        <w:spacing w:line="254" w:lineRule="exact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val="pl-PL"/>
        </w:rPr>
      </w:pPr>
      <w:r w:rsidRPr="00794E31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val="pl-PL"/>
        </w:rPr>
        <w:t>FORMULARZ CENOWY</w:t>
      </w:r>
    </w:p>
    <w:p w14:paraId="0165621D" w14:textId="77777777" w:rsidR="00944C6A" w:rsidRPr="00794E31" w:rsidRDefault="00944C6A" w:rsidP="0018366D">
      <w:pPr>
        <w:pStyle w:val="Style"/>
        <w:spacing w:line="254" w:lineRule="exact"/>
        <w:textAlignment w:val="baseline"/>
        <w:rPr>
          <w:rFonts w:eastAsia="Arial"/>
          <w:b/>
          <w:u w:val="single"/>
          <w:lang w:val="pl-PL"/>
        </w:rPr>
      </w:pPr>
    </w:p>
    <w:p w14:paraId="29719993" w14:textId="5F73D21C" w:rsidR="00836C92" w:rsidRPr="00794E31" w:rsidRDefault="007D69E5" w:rsidP="00836C92">
      <w:pPr>
        <w:pStyle w:val="Style"/>
        <w:spacing w:line="254" w:lineRule="exact"/>
        <w:textAlignment w:val="baseline"/>
        <w:rPr>
          <w:rFonts w:eastAsia="Arial"/>
          <w:b/>
        </w:rPr>
      </w:pPr>
      <w:r w:rsidRPr="00794E31">
        <w:rPr>
          <w:rFonts w:eastAsia="Arial"/>
          <w:b/>
        </w:rPr>
        <w:t>Harmonogram d</w:t>
      </w:r>
      <w:r w:rsidR="00836C92" w:rsidRPr="00794E31">
        <w:rPr>
          <w:rFonts w:eastAsia="Arial"/>
          <w:b/>
        </w:rPr>
        <w:t>ziałań i obowiązków Wykonawcy (CRO)</w:t>
      </w:r>
    </w:p>
    <w:p w14:paraId="061D683C" w14:textId="77777777" w:rsidR="00D9001F" w:rsidRPr="00794E31" w:rsidRDefault="00D9001F" w:rsidP="0018366D">
      <w:pPr>
        <w:pStyle w:val="Style"/>
        <w:spacing w:line="254" w:lineRule="exact"/>
        <w:textAlignment w:val="baseline"/>
        <w:rPr>
          <w:rFonts w:eastAsia="Arial"/>
          <w:b/>
          <w:u w:val="single"/>
        </w:rPr>
      </w:pPr>
    </w:p>
    <w:tbl>
      <w:tblPr>
        <w:tblStyle w:val="Tabela-Siatka"/>
        <w:tblW w:w="15609" w:type="dxa"/>
        <w:tblLook w:val="04A0" w:firstRow="1" w:lastRow="0" w:firstColumn="1" w:lastColumn="0" w:noHBand="0" w:noVBand="1"/>
      </w:tblPr>
      <w:tblGrid>
        <w:gridCol w:w="2829"/>
        <w:gridCol w:w="7812"/>
        <w:gridCol w:w="1830"/>
        <w:gridCol w:w="1558"/>
        <w:gridCol w:w="1580"/>
      </w:tblGrid>
      <w:tr w:rsidR="00794E31" w:rsidRPr="00794E31" w14:paraId="48386F78" w14:textId="77777777" w:rsidTr="00FB17E3">
        <w:tc>
          <w:tcPr>
            <w:tcW w:w="2829" w:type="dxa"/>
          </w:tcPr>
          <w:p w14:paraId="31347DE2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bookmarkStart w:id="0" w:name="_Hlk35436903"/>
            <w:r w:rsidRPr="00794E31">
              <w:rPr>
                <w:rFonts w:eastAsia="Arial"/>
                <w:b/>
                <w:u w:val="single"/>
              </w:rPr>
              <w:t>Etap</w:t>
            </w:r>
          </w:p>
        </w:tc>
        <w:tc>
          <w:tcPr>
            <w:tcW w:w="7812" w:type="dxa"/>
          </w:tcPr>
          <w:p w14:paraId="45CE0C26" w14:textId="77777777" w:rsidR="000944C6" w:rsidRPr="00794E31" w:rsidRDefault="000944C6" w:rsidP="00FB17E3">
            <w:pPr>
              <w:pStyle w:val="Style"/>
              <w:tabs>
                <w:tab w:val="left" w:pos="1"/>
                <w:tab w:val="left" w:pos="1094"/>
              </w:tabs>
              <w:spacing w:line="269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  <w:b/>
                <w:u w:val="single"/>
              </w:rPr>
              <w:t>Obowiązki w ramach etapu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CB4E31D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  <w:b/>
                <w:u w:val="single"/>
              </w:rPr>
              <w:t>Wynagrodzenie netto [PLN]</w:t>
            </w:r>
          </w:p>
        </w:tc>
        <w:tc>
          <w:tcPr>
            <w:tcW w:w="1558" w:type="dxa"/>
          </w:tcPr>
          <w:p w14:paraId="12798E7A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  <w:b/>
                <w:u w:val="single"/>
              </w:rPr>
              <w:t>Termin rozpoczęcia zadania</w:t>
            </w:r>
          </w:p>
          <w:p w14:paraId="5C5BA7F9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</w:rPr>
            </w:pPr>
            <w:r w:rsidRPr="00794E31">
              <w:rPr>
                <w:rFonts w:eastAsia="Arial"/>
              </w:rPr>
              <w:t>(okres od podpisania umowy)</w:t>
            </w:r>
          </w:p>
        </w:tc>
        <w:tc>
          <w:tcPr>
            <w:tcW w:w="1580" w:type="dxa"/>
          </w:tcPr>
          <w:p w14:paraId="4347EA80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  <w:b/>
                <w:u w:val="single"/>
              </w:rPr>
              <w:t>Termin realizacji zadania</w:t>
            </w:r>
          </w:p>
          <w:p w14:paraId="38FC11AF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</w:rPr>
            </w:pPr>
            <w:r w:rsidRPr="00794E31">
              <w:rPr>
                <w:rFonts w:eastAsia="Arial"/>
              </w:rPr>
              <w:t>(w dniach/</w:t>
            </w:r>
          </w:p>
          <w:p w14:paraId="393F309B" w14:textId="77777777" w:rsidR="000944C6" w:rsidRPr="00794E31" w:rsidRDefault="000944C6" w:rsidP="00FB17E3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  <w:r w:rsidRPr="00794E31">
              <w:rPr>
                <w:rFonts w:eastAsia="Arial"/>
              </w:rPr>
              <w:t>tygodniach)</w:t>
            </w:r>
          </w:p>
        </w:tc>
      </w:tr>
      <w:tr w:rsidR="00794E31" w:rsidRPr="00794E31" w14:paraId="6215A553" w14:textId="77777777" w:rsidTr="000944C6">
        <w:tc>
          <w:tcPr>
            <w:tcW w:w="2829" w:type="dxa"/>
          </w:tcPr>
          <w:p w14:paraId="38191B2C" w14:textId="77777777" w:rsidR="00A740F1" w:rsidRPr="00794E31" w:rsidRDefault="000944C6" w:rsidP="000944C6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1</w:t>
            </w:r>
          </w:p>
        </w:tc>
        <w:tc>
          <w:tcPr>
            <w:tcW w:w="7812" w:type="dxa"/>
          </w:tcPr>
          <w:p w14:paraId="363432E3" w14:textId="77777777" w:rsidR="00A740F1" w:rsidRPr="00794E31" w:rsidRDefault="000944C6" w:rsidP="000944C6">
            <w:pPr>
              <w:pStyle w:val="Style"/>
              <w:tabs>
                <w:tab w:val="left" w:pos="1"/>
                <w:tab w:val="left" w:pos="1094"/>
              </w:tabs>
              <w:spacing w:line="269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2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B910862" w14:textId="77777777" w:rsidR="00A740F1" w:rsidRPr="00794E31" w:rsidRDefault="000944C6" w:rsidP="000944C6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3</w:t>
            </w:r>
          </w:p>
        </w:tc>
        <w:tc>
          <w:tcPr>
            <w:tcW w:w="1558" w:type="dxa"/>
          </w:tcPr>
          <w:p w14:paraId="55FB49E1" w14:textId="77777777" w:rsidR="000944C6" w:rsidRPr="00794E31" w:rsidRDefault="000944C6" w:rsidP="000944C6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4</w:t>
            </w:r>
          </w:p>
        </w:tc>
        <w:tc>
          <w:tcPr>
            <w:tcW w:w="1580" w:type="dxa"/>
          </w:tcPr>
          <w:p w14:paraId="244E1202" w14:textId="77777777" w:rsidR="000944C6" w:rsidRPr="00794E31" w:rsidRDefault="000944C6" w:rsidP="000944C6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794E31">
              <w:rPr>
                <w:rFonts w:eastAsia="Arial"/>
                <w:b/>
              </w:rPr>
              <w:t>5</w:t>
            </w:r>
          </w:p>
        </w:tc>
      </w:tr>
      <w:bookmarkEnd w:id="0"/>
      <w:tr w:rsidR="00E17045" w:rsidRPr="00E17045" w14:paraId="29644E6A" w14:textId="77777777" w:rsidTr="000944C6">
        <w:trPr>
          <w:trHeight w:val="816"/>
        </w:trPr>
        <w:tc>
          <w:tcPr>
            <w:tcW w:w="2829" w:type="dxa"/>
            <w:vMerge w:val="restart"/>
          </w:tcPr>
          <w:p w14:paraId="73744FBE" w14:textId="77777777" w:rsidR="003C41F9" w:rsidRPr="00E17045" w:rsidRDefault="003C41F9" w:rsidP="003C4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Etap I: Opracowanie protokołu badania klinicznego 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skuteczności spersonalizowanego leczenia chorych na NEN z użyciem mieszanek </w:t>
            </w:r>
            <w:r w:rsidRPr="00E17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177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Lu-DOTATATE i </w:t>
            </w:r>
            <w:r w:rsidRPr="00E17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90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Y-Lu-DOTATATE w porównaniu do standardowego leczenia chorych na NEN z użyciem </w:t>
            </w:r>
            <w:r w:rsidRPr="00E17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177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Lu-DOTATATE u pełnoletnich pacjentów z zaawansowanym, </w:t>
            </w:r>
            <w:proofErr w:type="spellStart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nieresekcyjnym</w:t>
            </w:r>
            <w:proofErr w:type="spellEnd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, potwierdzonym w badaniu histopatologicznym, dobrze i średnio zróżnicowanym (G1 i G2) nowotworem neuroendokrynnym, u 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których potwierdzono wysoką ekspresję receptorów </w:t>
            </w:r>
            <w:proofErr w:type="spellStart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somatostatynowych</w:t>
            </w:r>
            <w:proofErr w:type="spellEnd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4301F" w14:textId="77777777" w:rsidR="00A740F1" w:rsidRPr="00E17045" w:rsidRDefault="00A740F1" w:rsidP="00573E5B">
            <w:pPr>
              <w:pStyle w:val="Style"/>
              <w:tabs>
                <w:tab w:val="left" w:pos="1"/>
                <w:tab w:val="left" w:pos="1094"/>
              </w:tabs>
              <w:spacing w:line="269" w:lineRule="exact"/>
              <w:textAlignment w:val="baseline"/>
              <w:rPr>
                <w:rFonts w:eastAsia="Arial"/>
              </w:rPr>
            </w:pPr>
          </w:p>
          <w:p w14:paraId="1756F818" w14:textId="77777777" w:rsidR="00A740F1" w:rsidRPr="00E17045" w:rsidRDefault="00A740F1" w:rsidP="00573E5B">
            <w:pPr>
              <w:pStyle w:val="Style"/>
              <w:tabs>
                <w:tab w:val="left" w:pos="1"/>
                <w:tab w:val="left" w:pos="1094"/>
              </w:tabs>
              <w:spacing w:line="269" w:lineRule="exact"/>
              <w:textAlignment w:val="baseline"/>
            </w:pPr>
            <w:r w:rsidRPr="00E17045">
              <w:rPr>
                <w:rFonts w:eastAsia="Arial"/>
              </w:rPr>
              <w:t>Zakres zadań w ramach Etapu I będzie obejmował przygotowanie protokołu badania oraz dokumentów opisujących procedury protokołu, tj.:</w:t>
            </w:r>
          </w:p>
          <w:p w14:paraId="7E787A98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F041D2A" w14:textId="77777777" w:rsidR="00A740F1" w:rsidRPr="00E17045" w:rsidRDefault="003A377B" w:rsidP="003A37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Zweryfikowanie finalnej wersji protokołu badania i jego walidację na podstawie wzoru dostarczonego przez Sponsora (POLATOM) z uwzględnieniem uwag badaczy oraz kolejnych jego wersji związanych z poprawkami podczas trwania badania;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F8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428CD2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4C530E9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9D350B6" w14:textId="77777777" w:rsidTr="000944C6">
        <w:tc>
          <w:tcPr>
            <w:tcW w:w="2829" w:type="dxa"/>
            <w:vMerge/>
          </w:tcPr>
          <w:p w14:paraId="082106E3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611E5CA" w14:textId="77777777" w:rsidR="00A740F1" w:rsidRPr="00E17045" w:rsidRDefault="003A377B" w:rsidP="007D69E5">
            <w:pPr>
              <w:pStyle w:val="Style"/>
              <w:numPr>
                <w:ilvl w:val="0"/>
                <w:numId w:val="3"/>
              </w:numPr>
              <w:spacing w:line="278" w:lineRule="exact"/>
              <w:textAlignment w:val="baseline"/>
            </w:pPr>
            <w:r w:rsidRPr="00E17045">
              <w:rPr>
                <w:rFonts w:eastAsia="Arial"/>
              </w:rPr>
              <w:t>Zweryfikowanie</w:t>
            </w:r>
            <w:r w:rsidR="00A740F1" w:rsidRPr="00E17045">
              <w:rPr>
                <w:rFonts w:eastAsia="Arial"/>
              </w:rPr>
              <w:t xml:space="preserve"> dokumentu streszczenia protokołu w języku polskim i angielskim;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07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7E7305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6B3560E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5F9A5D2" w14:textId="77777777" w:rsidTr="000944C6">
        <w:tc>
          <w:tcPr>
            <w:tcW w:w="2829" w:type="dxa"/>
            <w:vMerge/>
          </w:tcPr>
          <w:p w14:paraId="3ACC4B61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A74AC6B" w14:textId="77777777" w:rsidR="00A740F1" w:rsidRPr="00E17045" w:rsidRDefault="00A740F1" w:rsidP="007D69E5">
            <w:pPr>
              <w:pStyle w:val="Style"/>
              <w:numPr>
                <w:ilvl w:val="0"/>
                <w:numId w:val="3"/>
              </w:numPr>
              <w:spacing w:line="278" w:lineRule="exact"/>
              <w:textAlignment w:val="baseline"/>
            </w:pPr>
            <w:r w:rsidRPr="00E17045">
              <w:rPr>
                <w:rFonts w:eastAsia="Arial"/>
              </w:rPr>
              <w:t xml:space="preserve">Przygotowanie planu analizy statystycznej;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91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9F1A77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6B3420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0F068D0" w14:textId="77777777" w:rsidTr="000944C6">
        <w:tc>
          <w:tcPr>
            <w:tcW w:w="2829" w:type="dxa"/>
            <w:vMerge/>
          </w:tcPr>
          <w:p w14:paraId="255B2C8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5C701B8" w14:textId="77777777" w:rsidR="00A740F1" w:rsidRPr="00E17045" w:rsidRDefault="003A377B" w:rsidP="003A37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Przygotowanie kodów randomizacyjnych;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3C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993B60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2BA523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39E1CB6" w14:textId="77777777" w:rsidTr="000944C6">
        <w:tc>
          <w:tcPr>
            <w:tcW w:w="2829" w:type="dxa"/>
            <w:vMerge/>
          </w:tcPr>
          <w:p w14:paraId="71F1B7D2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125DF55" w14:textId="77777777" w:rsidR="00A740F1" w:rsidRPr="00E17045" w:rsidRDefault="003A377B" w:rsidP="003A37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we współpracy ze Sponsorem procedury centralnej oceny procedur medycznych w badaniu klinicznym;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D6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26F3BF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605BFA4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6E7D5E3" w14:textId="77777777" w:rsidTr="000944C6">
        <w:tc>
          <w:tcPr>
            <w:tcW w:w="2829" w:type="dxa"/>
            <w:vMerge/>
          </w:tcPr>
          <w:p w14:paraId="23C0499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22D2CBD1" w14:textId="77777777" w:rsidR="00A740F1" w:rsidRPr="00E17045" w:rsidRDefault="003A377B" w:rsidP="003A377B">
            <w:pPr>
              <w:pStyle w:val="Akapitzlist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Przygotowanie planu zapewnienia bezpieczeństwa i monitoringu medycznego obejmującego dokonywanie bieżącej oceny bezpieczeństwa i skuteczności stosowania produktu badanego realizowanego przez wykwalifikowany personel medyczny;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4B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1AB18E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4BE6F8E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627F181" w14:textId="77777777" w:rsidTr="000944C6">
        <w:tc>
          <w:tcPr>
            <w:tcW w:w="2829" w:type="dxa"/>
            <w:vMerge/>
          </w:tcPr>
          <w:p w14:paraId="37055E1A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3F7D001" w14:textId="77777777" w:rsidR="00A740F1" w:rsidRPr="00E17045" w:rsidRDefault="00273EFA" w:rsidP="007D69E5">
            <w:pPr>
              <w:pStyle w:val="Style"/>
              <w:numPr>
                <w:ilvl w:val="0"/>
                <w:numId w:val="3"/>
              </w:numPr>
              <w:spacing w:before="13" w:line="269" w:lineRule="exact"/>
              <w:textAlignment w:val="baseline"/>
            </w:pPr>
            <w:r w:rsidRPr="00E17045">
              <w:t>Współpraca ze Sponsorem (POLATOM) w celu przygotowania niezbędnej dokumentacji produktu leczniczego m.in. IMPD/charakterystyki produktu leczniczego, finalnej wersji broszury badacza, wzoru etykiety, dokumentacji zarządzania lekiem) polegająca na konsultacjach i opiniowaniu;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7E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017FF3F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3A7C47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A098B01" w14:textId="77777777" w:rsidTr="000944C6">
        <w:tc>
          <w:tcPr>
            <w:tcW w:w="2829" w:type="dxa"/>
            <w:vMerge/>
          </w:tcPr>
          <w:p w14:paraId="0568A9CC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B46B8F9" w14:textId="77777777" w:rsidR="00A740F1" w:rsidRPr="00E17045" w:rsidRDefault="00951032" w:rsidP="0095103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planu zapewnienia jakości badania określającego systematyczną, niezależną kontrolę procedur i dokumentacji badania </w:t>
            </w:r>
            <w:r w:rsidRPr="00E1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prowadzoną przez CRO i Sponsora (POLATOM) lub wskazane osoby na każdym etapie badania;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55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4FAA5A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EB1E77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AA48C33" w14:textId="77777777" w:rsidTr="000944C6">
        <w:tc>
          <w:tcPr>
            <w:tcW w:w="2829" w:type="dxa"/>
            <w:vMerge/>
          </w:tcPr>
          <w:p w14:paraId="5B26B034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642AB0E" w14:textId="77777777" w:rsidR="00A740F1" w:rsidRPr="00E17045" w:rsidRDefault="00D637F6" w:rsidP="007D69E5">
            <w:pPr>
              <w:pStyle w:val="Style"/>
              <w:numPr>
                <w:ilvl w:val="0"/>
                <w:numId w:val="3"/>
              </w:numPr>
              <w:spacing w:line="278" w:lineRule="exact"/>
              <w:textAlignment w:val="baseline"/>
            </w:pPr>
            <w:r w:rsidRPr="00E17045">
              <w:rPr>
                <w:rFonts w:eastAsia="Arial"/>
              </w:rPr>
              <w:t xml:space="preserve">niezależny audyt GMP/GLP u </w:t>
            </w:r>
            <w:r w:rsidR="000D79A1" w:rsidRPr="00E17045">
              <w:rPr>
                <w:rFonts w:eastAsia="Arial"/>
              </w:rPr>
              <w:t xml:space="preserve">Sponsora (POLATOM) </w:t>
            </w:r>
            <w:r w:rsidRPr="00E17045">
              <w:rPr>
                <w:rFonts w:eastAsia="Arial"/>
              </w:rPr>
              <w:t xml:space="preserve"> przed zwolnieniem serii badanego produktu leczniczego do badania klinicznego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51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465A61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AA297C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3BF62AD" w14:textId="77777777" w:rsidTr="000944C6">
        <w:trPr>
          <w:trHeight w:val="820"/>
        </w:trPr>
        <w:tc>
          <w:tcPr>
            <w:tcW w:w="2829" w:type="dxa"/>
            <w:vMerge w:val="restart"/>
          </w:tcPr>
          <w:p w14:paraId="05A34624" w14:textId="77777777" w:rsidR="002476E4" w:rsidRPr="00E17045" w:rsidRDefault="002476E4" w:rsidP="002476E4">
            <w:pPr>
              <w:pStyle w:val="Style"/>
              <w:rPr>
                <w:rFonts w:eastAsia="Arial"/>
                <w:b/>
              </w:rPr>
            </w:pPr>
            <w:bookmarkStart w:id="1" w:name="_Hlk35436691"/>
            <w:r w:rsidRPr="00E17045">
              <w:rPr>
                <w:rFonts w:eastAsia="Arial"/>
                <w:b/>
              </w:rPr>
              <w:t xml:space="preserve">Etap II a:   Inicjowanie badania klinicznego </w:t>
            </w:r>
            <w:r w:rsidRPr="00E17045">
              <w:rPr>
                <w:rFonts w:eastAsia="Arial"/>
              </w:rPr>
              <w:t xml:space="preserve">skuteczności spersonalizowanego leczenia chorych na NEN z użyciem mieszanek </w:t>
            </w:r>
            <w:r w:rsidRPr="00E17045">
              <w:rPr>
                <w:rFonts w:eastAsia="Arial"/>
                <w:vertAlign w:val="superscript"/>
              </w:rPr>
              <w:t>177</w:t>
            </w:r>
            <w:r w:rsidRPr="00E17045">
              <w:rPr>
                <w:rFonts w:eastAsia="Arial"/>
              </w:rPr>
              <w:t xml:space="preserve">Lu-DOTATATE i </w:t>
            </w:r>
            <w:r w:rsidRPr="00E17045">
              <w:rPr>
                <w:rFonts w:eastAsia="Arial"/>
                <w:vertAlign w:val="superscript"/>
              </w:rPr>
              <w:t>90</w:t>
            </w:r>
            <w:r w:rsidRPr="00E17045">
              <w:rPr>
                <w:rFonts w:eastAsia="Arial"/>
              </w:rPr>
              <w:t xml:space="preserve">Y-Lu-DOTATATE w porównaniu do standardowego leczenia chorych na NEN z użyciem </w:t>
            </w:r>
            <w:r w:rsidRPr="00E17045">
              <w:rPr>
                <w:rFonts w:eastAsia="Arial"/>
                <w:vertAlign w:val="superscript"/>
              </w:rPr>
              <w:t>177</w:t>
            </w:r>
            <w:r w:rsidRPr="00E17045">
              <w:rPr>
                <w:rFonts w:eastAsia="Arial"/>
              </w:rPr>
              <w:t xml:space="preserve">Lu-DOTATATE u pełnoletnich pacjentów z zaawansowanym, </w:t>
            </w:r>
            <w:proofErr w:type="spellStart"/>
            <w:r w:rsidRPr="00E17045">
              <w:rPr>
                <w:rFonts w:eastAsia="Arial"/>
              </w:rPr>
              <w:t>nieresekcyjnym</w:t>
            </w:r>
            <w:proofErr w:type="spellEnd"/>
            <w:r w:rsidRPr="00E17045">
              <w:rPr>
                <w:rFonts w:eastAsia="Arial"/>
              </w:rPr>
              <w:t xml:space="preserve">, potwierdzonym w badaniu histopatologicznym, dobrze i średnio zróżnicowanym (G1 i G2) nowotworem </w:t>
            </w:r>
            <w:r w:rsidRPr="00E17045">
              <w:rPr>
                <w:rFonts w:eastAsia="Arial"/>
              </w:rPr>
              <w:lastRenderedPageBreak/>
              <w:t xml:space="preserve">neuroendokrynnym, u których potwierdzono wysoką ekspresję receptorów </w:t>
            </w:r>
            <w:proofErr w:type="spellStart"/>
            <w:r w:rsidRPr="00E17045">
              <w:rPr>
                <w:rFonts w:eastAsia="Arial"/>
              </w:rPr>
              <w:t>somatostatynowych</w:t>
            </w:r>
            <w:proofErr w:type="spellEnd"/>
            <w:r w:rsidRPr="00E17045">
              <w:rPr>
                <w:rFonts w:eastAsia="Arial"/>
              </w:rPr>
              <w:t>.</w:t>
            </w:r>
            <w:r w:rsidRPr="00E17045">
              <w:rPr>
                <w:rFonts w:eastAsia="Arial"/>
                <w:b/>
              </w:rPr>
              <w:t xml:space="preserve"> </w:t>
            </w:r>
          </w:p>
          <w:p w14:paraId="63C67CBD" w14:textId="77777777" w:rsidR="002476E4" w:rsidRPr="00E17045" w:rsidRDefault="002476E4" w:rsidP="00573E5B">
            <w:pPr>
              <w:pStyle w:val="Style"/>
              <w:tabs>
                <w:tab w:val="left" w:pos="0"/>
              </w:tabs>
              <w:spacing w:line="269" w:lineRule="exact"/>
              <w:textAlignment w:val="baseline"/>
              <w:rPr>
                <w:rFonts w:eastAsia="Arial"/>
                <w:b/>
              </w:rPr>
            </w:pPr>
          </w:p>
          <w:p w14:paraId="50AC3833" w14:textId="77777777" w:rsidR="002476E4" w:rsidRPr="00E17045" w:rsidRDefault="002476E4" w:rsidP="00573E5B">
            <w:pPr>
              <w:pStyle w:val="Style"/>
              <w:tabs>
                <w:tab w:val="left" w:pos="0"/>
              </w:tabs>
              <w:spacing w:line="269" w:lineRule="exact"/>
              <w:textAlignment w:val="baseline"/>
              <w:rPr>
                <w:rFonts w:eastAsia="Arial"/>
              </w:rPr>
            </w:pPr>
          </w:p>
          <w:p w14:paraId="79F4D8B0" w14:textId="77777777" w:rsidR="00A740F1" w:rsidRPr="00E17045" w:rsidRDefault="00A740F1" w:rsidP="00573E5B">
            <w:pPr>
              <w:pStyle w:val="Style"/>
              <w:tabs>
                <w:tab w:val="left" w:pos="0"/>
              </w:tabs>
              <w:spacing w:line="269" w:lineRule="exact"/>
              <w:textAlignment w:val="baseline"/>
            </w:pPr>
            <w:r w:rsidRPr="00E17045">
              <w:rPr>
                <w:rFonts w:eastAsia="Arial"/>
              </w:rPr>
              <w:t xml:space="preserve">Zakres zadań w ramach Etapu </w:t>
            </w:r>
            <w:proofErr w:type="spellStart"/>
            <w:r w:rsidRPr="00E17045">
              <w:rPr>
                <w:rFonts w:eastAsia="Arial"/>
              </w:rPr>
              <w:t>IIa</w:t>
            </w:r>
            <w:proofErr w:type="spellEnd"/>
            <w:r w:rsidRPr="00E17045">
              <w:rPr>
                <w:rFonts w:eastAsia="Arial"/>
              </w:rPr>
              <w:t xml:space="preserve"> będzie obejmował przeprowadzenie procedur niezbędnych do rozpoczęcia badania klinicznego, tj.:</w:t>
            </w:r>
          </w:p>
          <w:p w14:paraId="4129C1D0" w14:textId="77777777" w:rsidR="00A740F1" w:rsidRPr="00E17045" w:rsidRDefault="00A740F1" w:rsidP="00573E5B">
            <w:pPr>
              <w:pStyle w:val="Style"/>
              <w:tabs>
                <w:tab w:val="left" w:pos="0"/>
              </w:tabs>
              <w:spacing w:line="269" w:lineRule="exact"/>
              <w:textAlignment w:val="baseline"/>
              <w:rPr>
                <w:rFonts w:eastAsia="Arial"/>
                <w:b/>
              </w:rPr>
            </w:pPr>
          </w:p>
          <w:p w14:paraId="79FD155C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D297197" w14:textId="77777777" w:rsidR="00A740F1" w:rsidRPr="00E17045" w:rsidRDefault="00A740F1" w:rsidP="007D69E5">
            <w:pPr>
              <w:pStyle w:val="Style"/>
              <w:numPr>
                <w:ilvl w:val="0"/>
                <w:numId w:val="4"/>
              </w:numPr>
              <w:tabs>
                <w:tab w:val="left" w:pos="851"/>
              </w:tabs>
              <w:spacing w:before="13"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lastRenderedPageBreak/>
              <w:t xml:space="preserve">Rejestracja i administrowanie badaniem w centralnej bazie badań klinicznych dla państw członkowskich UE - </w:t>
            </w:r>
            <w:proofErr w:type="spellStart"/>
            <w:r w:rsidRPr="00E17045">
              <w:rPr>
                <w:rFonts w:eastAsia="Arial"/>
              </w:rPr>
              <w:t>European</w:t>
            </w:r>
            <w:proofErr w:type="spellEnd"/>
            <w:r w:rsidRPr="00E17045">
              <w:rPr>
                <w:rFonts w:eastAsia="Arial"/>
              </w:rPr>
              <w:t xml:space="preserve"> </w:t>
            </w:r>
            <w:proofErr w:type="spellStart"/>
            <w:r w:rsidRPr="00E17045">
              <w:rPr>
                <w:rFonts w:eastAsia="Arial"/>
              </w:rPr>
              <w:t>Drug</w:t>
            </w:r>
            <w:proofErr w:type="spellEnd"/>
            <w:r w:rsidRPr="00E17045">
              <w:rPr>
                <w:rFonts w:eastAsia="Arial"/>
              </w:rPr>
              <w:t xml:space="preserve"> Regulatory </w:t>
            </w:r>
            <w:proofErr w:type="spellStart"/>
            <w:r w:rsidRPr="00E17045">
              <w:rPr>
                <w:rFonts w:eastAsia="Arial"/>
              </w:rPr>
              <w:t>Authorities</w:t>
            </w:r>
            <w:proofErr w:type="spellEnd"/>
            <w:r w:rsidRPr="00E17045">
              <w:rPr>
                <w:rFonts w:eastAsia="Arial"/>
              </w:rPr>
              <w:t xml:space="preserve"> </w:t>
            </w:r>
            <w:proofErr w:type="spellStart"/>
            <w:r w:rsidRPr="00E17045">
              <w:rPr>
                <w:rFonts w:eastAsia="Arial"/>
              </w:rPr>
              <w:t>Clinical</w:t>
            </w:r>
            <w:proofErr w:type="spellEnd"/>
            <w:r w:rsidRPr="00E17045">
              <w:rPr>
                <w:rFonts w:eastAsia="Arial"/>
              </w:rPr>
              <w:t xml:space="preserve"> </w:t>
            </w:r>
            <w:proofErr w:type="spellStart"/>
            <w:r w:rsidRPr="00E17045">
              <w:rPr>
                <w:rFonts w:eastAsia="Arial"/>
              </w:rPr>
              <w:t>Trials</w:t>
            </w:r>
            <w:proofErr w:type="spellEnd"/>
            <w:r w:rsidRPr="00E17045">
              <w:rPr>
                <w:rFonts w:eastAsia="Arial"/>
              </w:rPr>
              <w:t xml:space="preserve">. Uzyskanie numeru </w:t>
            </w:r>
            <w:proofErr w:type="spellStart"/>
            <w:r w:rsidRPr="00E17045">
              <w:rPr>
                <w:rFonts w:eastAsia="Arial"/>
              </w:rPr>
              <w:t>EudraCT</w:t>
            </w:r>
            <w:proofErr w:type="spellEnd"/>
            <w:r w:rsidRPr="00E17045">
              <w:rPr>
                <w:rFonts w:eastAsia="Arial"/>
              </w:rPr>
              <w:t xml:space="preserve">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1C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C05DC6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7E5537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0B4550E2" w14:textId="77777777" w:rsidTr="000944C6">
        <w:tc>
          <w:tcPr>
            <w:tcW w:w="2829" w:type="dxa"/>
            <w:vMerge/>
          </w:tcPr>
          <w:p w14:paraId="1039896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A57EB8A" w14:textId="77777777" w:rsidR="00A740F1" w:rsidRPr="00E17045" w:rsidRDefault="00A740F1" w:rsidP="007D69E5">
            <w:pPr>
              <w:pStyle w:val="Style"/>
              <w:numPr>
                <w:ilvl w:val="0"/>
                <w:numId w:val="4"/>
              </w:numPr>
              <w:tabs>
                <w:tab w:val="left" w:pos="851"/>
              </w:tabs>
              <w:spacing w:line="278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 xml:space="preserve">Zapewnienie systemu monitorowania działań niepożądanych - przygotowanie niezbędnych procedur/instrukcji także tych, które powinny być wdrożone u </w:t>
            </w:r>
            <w:r w:rsidR="000D79A1" w:rsidRPr="00E17045">
              <w:rPr>
                <w:rFonts w:eastAsia="Arial"/>
              </w:rPr>
              <w:t>Sponsora (POLATOM)</w:t>
            </w:r>
            <w:r w:rsidRPr="00E17045">
              <w:rPr>
                <w:rFonts w:eastAsia="Arial"/>
              </w:rPr>
              <w:t xml:space="preserve">, przeprowadzenie szkoleń dla pracowników </w:t>
            </w:r>
            <w:r w:rsidR="000D79A1" w:rsidRPr="00E17045">
              <w:rPr>
                <w:rFonts w:eastAsia="Arial"/>
              </w:rPr>
              <w:t>Sponsora (POLATOM)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16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75090E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8D4802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5A4AD63" w14:textId="77777777" w:rsidTr="000944C6">
        <w:tc>
          <w:tcPr>
            <w:tcW w:w="2829" w:type="dxa"/>
            <w:vMerge/>
          </w:tcPr>
          <w:p w14:paraId="7D3C933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7E79545" w14:textId="77777777" w:rsidR="00A740F1" w:rsidRPr="00E17045" w:rsidRDefault="00A740F1" w:rsidP="007D69E5">
            <w:pPr>
              <w:pStyle w:val="Style"/>
              <w:numPr>
                <w:ilvl w:val="0"/>
                <w:numId w:val="4"/>
              </w:numPr>
              <w:tabs>
                <w:tab w:val="left" w:pos="851"/>
              </w:tabs>
              <w:spacing w:before="13"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 xml:space="preserve">Przygotowanie wzoru formularza zgody na udział pacjenta w badaniu, formularza zgody na przetwarzanie danych osobowych uczestnika badania klinicznego, zgody na przekazanie i przechowywanie (bankowanie) próbek biologicznych pacjenta związanych z jego udziałem w badaniu oraz wzorów wszystkich innych dokumentów przekazywanych pacjentowi (dzienniczki, inne dokumenty informacyjne);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33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A5D9C4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442117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8365D25" w14:textId="77777777" w:rsidTr="000944C6">
        <w:tc>
          <w:tcPr>
            <w:tcW w:w="2829" w:type="dxa"/>
            <w:vMerge/>
          </w:tcPr>
          <w:p w14:paraId="499CA0C8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8D0EF33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Wybór i negocjacje w imieniu Zamawiającego umowy ubezpieczenia Sponsora oraz Badacza;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98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891826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144672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681A01A7" w14:textId="77777777" w:rsidTr="000944C6">
        <w:tc>
          <w:tcPr>
            <w:tcW w:w="2829" w:type="dxa"/>
            <w:vMerge/>
          </w:tcPr>
          <w:p w14:paraId="68A038B1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5ABDFDA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Wybór i negocjacje w imieniu Sponsora umowy z dostawcą systemu </w:t>
            </w:r>
            <w:proofErr w:type="spellStart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eCRF</w:t>
            </w:r>
            <w:proofErr w:type="spellEnd"/>
            <w:r w:rsidRPr="00E17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A3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53DEF3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440DFFC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98D22BA" w14:textId="77777777" w:rsidTr="000944C6">
        <w:tc>
          <w:tcPr>
            <w:tcW w:w="2829" w:type="dxa"/>
            <w:vMerge/>
          </w:tcPr>
          <w:p w14:paraId="48BE62BF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ADF15A0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Przygotowanie wzoru karty obserwacji klinicznej oraz instrukcji dotyczących jej wypełniania na podstawie protokołu badania łącznie ze strukturą danych (zaprogramowanie </w:t>
            </w:r>
            <w:proofErr w:type="spellStart"/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>eCRF</w:t>
            </w:r>
            <w:proofErr w:type="spellEnd"/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przygotowanie instrukcji dla </w:t>
            </w:r>
            <w:proofErr w:type="spellStart"/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>eCRF</w:t>
            </w:r>
            <w:proofErr w:type="spellEnd"/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59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33FB3E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DE5F24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634D08BE" w14:textId="77777777" w:rsidTr="000944C6">
        <w:tc>
          <w:tcPr>
            <w:tcW w:w="2829" w:type="dxa"/>
            <w:vMerge/>
          </w:tcPr>
          <w:p w14:paraId="467A2099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6415E0E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Przygotowanie systemu gospodarki lekiem badanym, raportowania i monitorowania poważnych zdarzeń niepożądanych;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C1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5BBC85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001775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8F90E34" w14:textId="77777777" w:rsidTr="000944C6">
        <w:tc>
          <w:tcPr>
            <w:tcW w:w="2829" w:type="dxa"/>
            <w:vMerge/>
          </w:tcPr>
          <w:p w14:paraId="1D5558B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E380E7C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Przygotowanie/skompletowanie wszystkich wymaganych dokumentów do zgłoszenia do Komisji Bioetycznej (KE) oraz złożenie tych  dokumentów do właściwej KE w imieniu Sponsora (POLATOM);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DE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F9FBAB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DC9FCE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7202B70" w14:textId="77777777" w:rsidTr="000944C6">
        <w:tc>
          <w:tcPr>
            <w:tcW w:w="2829" w:type="dxa"/>
            <w:vMerge/>
          </w:tcPr>
          <w:p w14:paraId="45A2AF44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D2A9D65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Przygotowanie/skompletowanie wszystkich wymaganych dokumentów do rejestracji badania w Urzędzie Rejestracji Produktów Leczniczych, Wyrobów Medycznych i Produktów Biobójczych (URPL) oraz złożenie tych dokumentów do URPL w imieniu Sponsora (NCBJ Ośrodek Radioizotopów POLATOM);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F6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7C20A3C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A0F46E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FCA27D6" w14:textId="77777777" w:rsidTr="000944C6">
        <w:tc>
          <w:tcPr>
            <w:tcW w:w="2829" w:type="dxa"/>
            <w:vMerge/>
          </w:tcPr>
          <w:p w14:paraId="282F5CE1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C0ADA83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projektów umów, pomoc przy negocjacjach i zawieraniu umów z ośrodkami, badaczami, lokalnymi laboratoriami i innymi jednostkami/organizacjami niezbędnymi do realizacji badania. Wymagana jest finalizacja Umów z ośrodkami i  badaczami  - w tym krajowym koordynatorem badania, która umożliwi złożenie dokumentacji badania do URPL i KE;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4F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45E554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1F9309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0C217B1" w14:textId="77777777" w:rsidTr="000944C6">
        <w:tc>
          <w:tcPr>
            <w:tcW w:w="2829" w:type="dxa"/>
            <w:vMerge/>
          </w:tcPr>
          <w:p w14:paraId="196716D0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22E2DA6B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projektów umów, negocjacje i pomoc przy zawieraniu umów z badaczami i/lub ośrodkami odpowiedzialnymi za przeprowadzenie procedur medycznych;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ED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FFA018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51A65D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A6F4F87" w14:textId="77777777" w:rsidTr="000944C6">
        <w:tc>
          <w:tcPr>
            <w:tcW w:w="2829" w:type="dxa"/>
            <w:vMerge/>
          </w:tcPr>
          <w:p w14:paraId="01139D79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88CD8F6" w14:textId="77777777" w:rsidR="00A740F1" w:rsidRPr="00E17045" w:rsidRDefault="00786991" w:rsidP="0078699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Bieżące administrowanie realizacją Projektu obejmujące wszystkie działania niezbędne do utrzymania Projektu w określonych terminach, jakości i budżecie;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36F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A63FE7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926394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0D6685E9" w14:textId="77777777" w:rsidTr="000944C6">
        <w:tc>
          <w:tcPr>
            <w:tcW w:w="2829" w:type="dxa"/>
            <w:vMerge/>
          </w:tcPr>
          <w:p w14:paraId="3B4AAA83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A7C2D78" w14:textId="77777777" w:rsidR="00A740F1" w:rsidRPr="00E17045" w:rsidRDefault="00512C5A" w:rsidP="00512C5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Przygotowanie i przesyłanie miesięcznego sprawozdania do Sponsora (POLATOM) z przebiegu realizowanych procesów w Projekcie;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22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536E38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5C3A39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3C542B0" w14:textId="77777777" w:rsidTr="000944C6">
        <w:tc>
          <w:tcPr>
            <w:tcW w:w="2829" w:type="dxa"/>
            <w:vMerge/>
          </w:tcPr>
          <w:p w14:paraId="312BF0C5" w14:textId="77777777" w:rsidR="00512C5A" w:rsidRPr="00E17045" w:rsidRDefault="00512C5A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DC08716" w14:textId="77777777" w:rsidR="00512C5A" w:rsidRPr="00E17045" w:rsidRDefault="00512C5A" w:rsidP="00512C5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hAnsi="Times New Roman" w:cs="Times New Roman"/>
                <w:sz w:val="24"/>
                <w:szCs w:val="24"/>
              </w:rPr>
              <w:t xml:space="preserve">Bieżąca komunikacja z URPL oraz Komisjami Bioetycznymi;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8CF" w14:textId="77777777" w:rsidR="00512C5A" w:rsidRPr="00E17045" w:rsidRDefault="00512C5A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1F503BD" w14:textId="77777777" w:rsidR="00512C5A" w:rsidRPr="00E17045" w:rsidRDefault="00512C5A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F9D61FE" w14:textId="77777777" w:rsidR="00512C5A" w:rsidRPr="00E17045" w:rsidRDefault="00512C5A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D153D5E" w14:textId="77777777" w:rsidTr="000944C6">
        <w:tc>
          <w:tcPr>
            <w:tcW w:w="2829" w:type="dxa"/>
            <w:vMerge/>
          </w:tcPr>
          <w:p w14:paraId="319C259E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E5BE368" w14:textId="77777777" w:rsidR="00512C5A" w:rsidRPr="00E17045" w:rsidRDefault="00FB79FA" w:rsidP="00512C5A">
            <w:pPr>
              <w:pStyle w:val="Style"/>
              <w:numPr>
                <w:ilvl w:val="0"/>
                <w:numId w:val="4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 </w:t>
            </w:r>
            <w:r w:rsidR="00512C5A" w:rsidRPr="00E17045">
              <w:rPr>
                <w:rFonts w:eastAsia="Arial"/>
              </w:rPr>
              <w:t xml:space="preserve">Opracowanie niezbędnych dokumentów do prowadzenia Projektu oraz planów Projektu obejmujących m.in.: </w:t>
            </w:r>
          </w:p>
          <w:p w14:paraId="362FF1C9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Projektu; </w:t>
            </w:r>
          </w:p>
          <w:p w14:paraId="685B8029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monitoringu; </w:t>
            </w:r>
          </w:p>
          <w:p w14:paraId="1950A46D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komunikacji w Projekcie; </w:t>
            </w:r>
          </w:p>
          <w:p w14:paraId="45C0A2EB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utrzymywania i bieżącej archiwizacji dokumentacji Projektu; </w:t>
            </w:r>
          </w:p>
          <w:p w14:paraId="0A36E97E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rekrutacji pacjentów (obejmujący 92 pacjentów włączonych do badania i podlegających analizie danych oraz przewidywany odsetek </w:t>
            </w:r>
            <w:r w:rsidRPr="00E17045">
              <w:rPr>
                <w:rFonts w:eastAsia="Arial"/>
              </w:rPr>
              <w:lastRenderedPageBreak/>
              <w:t xml:space="preserve">niepowodzenia włączenia pacjentów do badania na etapie wizyty przesiewowej); </w:t>
            </w:r>
          </w:p>
          <w:p w14:paraId="77A82B43" w14:textId="77777777" w:rsidR="00512C5A" w:rsidRPr="00E17045" w:rsidRDefault="00512C5A" w:rsidP="00512C5A">
            <w:pPr>
              <w:pStyle w:val="Style"/>
              <w:numPr>
                <w:ilvl w:val="0"/>
                <w:numId w:val="10"/>
              </w:numPr>
              <w:spacing w:before="13"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plan monitoringu danych badania obejmujący przygotowanie oraz administrowanie bazą danych (dokument powinien obejmować konfigurację systemu, instalację i użytkowanie, powinien opisywać walidację systemu i testowanie funkcjonalności, zbieranie i postępowanie z danymi, utrzymanie systemu, środki bezpieczeństwa systemu, kontrolę zmian, tworzenie kopii zapasowych danych, odzyskiwanie </w:t>
            </w:r>
            <w:proofErr w:type="spellStart"/>
            <w:r w:rsidRPr="00E17045">
              <w:rPr>
                <w:rFonts w:eastAsia="Arial"/>
              </w:rPr>
              <w:t>danych,planowanie</w:t>
            </w:r>
            <w:proofErr w:type="spellEnd"/>
            <w:r w:rsidRPr="00E17045">
              <w:rPr>
                <w:rFonts w:eastAsia="Arial"/>
              </w:rPr>
              <w:t xml:space="preserve"> awaryjne i likwidację). </w:t>
            </w:r>
          </w:p>
          <w:p w14:paraId="099094CA" w14:textId="77777777" w:rsidR="00FB79FA" w:rsidRPr="00E17045" w:rsidRDefault="00FB79FA" w:rsidP="00512C5A">
            <w:pPr>
              <w:pStyle w:val="Style"/>
              <w:spacing w:before="13" w:line="269" w:lineRule="exact"/>
              <w:ind w:left="360"/>
              <w:textAlignment w:val="baseline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F25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91F760B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7002EEF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314AD79" w14:textId="77777777" w:rsidTr="000944C6">
        <w:trPr>
          <w:trHeight w:val="1074"/>
        </w:trPr>
        <w:tc>
          <w:tcPr>
            <w:tcW w:w="2829" w:type="dxa"/>
            <w:vMerge w:val="restart"/>
          </w:tcPr>
          <w:p w14:paraId="32E04858" w14:textId="77777777" w:rsidR="001A3848" w:rsidRPr="00E17045" w:rsidRDefault="001A3848" w:rsidP="001A3848">
            <w:pPr>
              <w:pStyle w:val="Style"/>
              <w:rPr>
                <w:rFonts w:eastAsia="Arial"/>
                <w:b/>
              </w:rPr>
            </w:pPr>
            <w:r w:rsidRPr="00E17045">
              <w:rPr>
                <w:rFonts w:eastAsia="Arial"/>
                <w:b/>
              </w:rPr>
              <w:t xml:space="preserve">Etap II b: Inicjowanie badania klinicznego </w:t>
            </w:r>
            <w:r w:rsidRPr="00E17045">
              <w:rPr>
                <w:rFonts w:eastAsia="Arial"/>
              </w:rPr>
              <w:t xml:space="preserve">skuteczności spersonalizowanego leczenia chorych na NEN z użyciem mieszanek </w:t>
            </w:r>
            <w:r w:rsidRPr="00E17045">
              <w:rPr>
                <w:rFonts w:eastAsia="Arial"/>
                <w:vertAlign w:val="superscript"/>
              </w:rPr>
              <w:t>177</w:t>
            </w:r>
            <w:r w:rsidRPr="00E17045">
              <w:rPr>
                <w:rFonts w:eastAsia="Arial"/>
              </w:rPr>
              <w:t xml:space="preserve">Lu-DOTATATE i </w:t>
            </w:r>
            <w:r w:rsidRPr="00E17045">
              <w:rPr>
                <w:rFonts w:eastAsia="Arial"/>
                <w:vertAlign w:val="superscript"/>
              </w:rPr>
              <w:t>90</w:t>
            </w:r>
            <w:r w:rsidRPr="00E17045">
              <w:rPr>
                <w:rFonts w:eastAsia="Arial"/>
              </w:rPr>
              <w:t xml:space="preserve">Y-Lu-DOTATATE w porównaniu do standardowego leczenia chorych na NEN z użyciem </w:t>
            </w:r>
            <w:r w:rsidRPr="00E17045">
              <w:rPr>
                <w:rFonts w:eastAsia="Arial"/>
                <w:vertAlign w:val="superscript"/>
              </w:rPr>
              <w:t>177</w:t>
            </w:r>
            <w:r w:rsidRPr="00E17045">
              <w:rPr>
                <w:rFonts w:eastAsia="Arial"/>
              </w:rPr>
              <w:t xml:space="preserve">Lu-DOTATATE u pełnoletnich pacjentów z zaawansowanym, </w:t>
            </w:r>
            <w:proofErr w:type="spellStart"/>
            <w:r w:rsidRPr="00E17045">
              <w:rPr>
                <w:rFonts w:eastAsia="Arial"/>
              </w:rPr>
              <w:t>nieresekcyjnym</w:t>
            </w:r>
            <w:proofErr w:type="spellEnd"/>
            <w:r w:rsidRPr="00E17045">
              <w:rPr>
                <w:rFonts w:eastAsia="Arial"/>
              </w:rPr>
              <w:t xml:space="preserve">, potwierdzonym w badaniu histopatologicznym, dobrze i średnio zróżnicowanym (G1 i G2) nowotworem neuroendokrynnym, u których potwierdzono wysoką ekspresję </w:t>
            </w:r>
            <w:r w:rsidRPr="00E17045">
              <w:rPr>
                <w:rFonts w:eastAsia="Arial"/>
              </w:rPr>
              <w:lastRenderedPageBreak/>
              <w:t xml:space="preserve">receptorów </w:t>
            </w:r>
            <w:proofErr w:type="spellStart"/>
            <w:r w:rsidRPr="00E17045">
              <w:rPr>
                <w:rFonts w:eastAsia="Arial"/>
              </w:rPr>
              <w:t>somatostatynowych</w:t>
            </w:r>
            <w:proofErr w:type="spellEnd"/>
            <w:r w:rsidRPr="00E17045">
              <w:rPr>
                <w:rFonts w:eastAsia="Arial"/>
                <w:b/>
              </w:rPr>
              <w:t>.</w:t>
            </w:r>
          </w:p>
          <w:p w14:paraId="614421EC" w14:textId="77777777" w:rsidR="00FB79FA" w:rsidRPr="00E17045" w:rsidRDefault="00FB79FA" w:rsidP="00FB79FA">
            <w:pPr>
              <w:pStyle w:val="Style"/>
              <w:spacing w:before="273" w:line="269" w:lineRule="exact"/>
              <w:textAlignment w:val="baseline"/>
            </w:pPr>
            <w:r w:rsidRPr="00E17045">
              <w:rPr>
                <w:rFonts w:eastAsia="Arial"/>
              </w:rPr>
              <w:t xml:space="preserve">Zakres zadań w ramach Etapu </w:t>
            </w:r>
            <w:proofErr w:type="spellStart"/>
            <w:r w:rsidRPr="00E17045">
              <w:rPr>
                <w:w w:val="76"/>
              </w:rPr>
              <w:t>II</w:t>
            </w:r>
            <w:r w:rsidRPr="00E17045">
              <w:rPr>
                <w:rFonts w:eastAsia="Arial"/>
              </w:rPr>
              <w:t>b</w:t>
            </w:r>
            <w:proofErr w:type="spellEnd"/>
            <w:r w:rsidRPr="00E17045">
              <w:rPr>
                <w:rFonts w:eastAsia="Arial"/>
              </w:rPr>
              <w:t xml:space="preserve"> będzie obejmował przeprowadzenie procedur niezbędnych do rozpoczęcia badania klinicznego po złożeniu niezbędnej dokumentacji do URPL i KE, tj.:</w:t>
            </w: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DD63F4B" w14:textId="77777777" w:rsidR="00FB79FA" w:rsidRPr="00E17045" w:rsidRDefault="00FB79FA" w:rsidP="00FB79FA">
            <w:pPr>
              <w:pStyle w:val="Style"/>
              <w:numPr>
                <w:ilvl w:val="0"/>
                <w:numId w:val="6"/>
              </w:numPr>
              <w:spacing w:before="13"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lastRenderedPageBreak/>
              <w:t xml:space="preserve">Organizacja spotkania badaczy </w:t>
            </w:r>
            <w:r w:rsidRPr="00E17045">
              <w:rPr>
                <w:rFonts w:eastAsia="Arial"/>
                <w:b/>
              </w:rPr>
              <w:t>(instruktaż merytoryczny tj. przekazanie instrukcji dotyczących badania monitorom badań klinicznych, badaczom i innym niezbędnym do realizacji badania osobom)</w:t>
            </w:r>
            <w:r w:rsidRPr="00E17045">
              <w:rPr>
                <w:rFonts w:eastAsia="Arial"/>
              </w:rPr>
              <w:t xml:space="preserve">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A94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9D681A9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538E779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94A43A8" w14:textId="77777777" w:rsidTr="000944C6">
        <w:tc>
          <w:tcPr>
            <w:tcW w:w="2829" w:type="dxa"/>
            <w:vMerge/>
          </w:tcPr>
          <w:p w14:paraId="7B4FF4B6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56BF0C3" w14:textId="77777777" w:rsidR="00A740F1" w:rsidRPr="00E17045" w:rsidRDefault="00A740F1" w:rsidP="007D69E5">
            <w:pPr>
              <w:pStyle w:val="Style"/>
              <w:numPr>
                <w:ilvl w:val="0"/>
                <w:numId w:val="6"/>
              </w:numPr>
              <w:spacing w:line="283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>Przygotowanie dokumentacji badania</w:t>
            </w:r>
            <w:r w:rsidR="004D34A6" w:rsidRPr="00E17045">
              <w:rPr>
                <w:rFonts w:eastAsia="Arial"/>
              </w:rPr>
              <w:t>,</w:t>
            </w:r>
            <w:r w:rsidRPr="00E17045">
              <w:rPr>
                <w:rFonts w:eastAsia="Arial"/>
              </w:rPr>
              <w:t xml:space="preserve"> w tym m.in. Trial Master File, ISF dla Ośrodk</w:t>
            </w:r>
            <w:r w:rsidR="001A3848" w:rsidRPr="00E17045">
              <w:rPr>
                <w:rFonts w:eastAsia="Arial"/>
              </w:rPr>
              <w:t>ów</w:t>
            </w:r>
            <w:r w:rsidRPr="00E17045">
              <w:rPr>
                <w:rFonts w:eastAsia="Arial"/>
              </w:rPr>
              <w:t xml:space="preserve">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26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C6683B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3D83A8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E32AFA0" w14:textId="77777777" w:rsidTr="000944C6">
        <w:tc>
          <w:tcPr>
            <w:tcW w:w="2829" w:type="dxa"/>
            <w:vMerge/>
          </w:tcPr>
          <w:p w14:paraId="51124C1D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5FEC455" w14:textId="77777777" w:rsidR="00A740F1" w:rsidRPr="00E17045" w:rsidRDefault="00FB79FA" w:rsidP="007D69E5">
            <w:pPr>
              <w:pStyle w:val="Style"/>
              <w:numPr>
                <w:ilvl w:val="0"/>
                <w:numId w:val="6"/>
              </w:numPr>
              <w:spacing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>Przygotowanie projektów umów, pomoc w  negocjacjach  i zawieraniu umów z pozostałymi Ośrodkami i Badaczami wybranymi do współpracy;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BE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A0608E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490484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42D5943" w14:textId="77777777" w:rsidTr="000944C6">
        <w:tc>
          <w:tcPr>
            <w:tcW w:w="2829" w:type="dxa"/>
            <w:vMerge/>
          </w:tcPr>
          <w:p w14:paraId="09887E6C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4669AEC" w14:textId="77777777" w:rsidR="00A740F1" w:rsidRPr="00E17045" w:rsidRDefault="00A740F1" w:rsidP="007D69E5">
            <w:pPr>
              <w:pStyle w:val="Akapitzlist"/>
              <w:numPr>
                <w:ilvl w:val="0"/>
                <w:numId w:val="6"/>
              </w:numPr>
              <w:ind w:left="34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Złożenie wymaganej dokumentacji do URPL i Komisji Bioetycznych w przypadku zgłoszenia zmian istotnych dot. badanego produktu leczniczego oraz dotyczących nowych Ośrodków i Badaczy;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79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02B45E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672511E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511AF347" w14:textId="77777777" w:rsidTr="000944C6">
        <w:tc>
          <w:tcPr>
            <w:tcW w:w="2829" w:type="dxa"/>
            <w:vMerge/>
          </w:tcPr>
          <w:p w14:paraId="2AC6209B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DDD95CE" w14:textId="77777777" w:rsidR="00A740F1" w:rsidRPr="00E17045" w:rsidRDefault="00FB79FA" w:rsidP="007D69E5">
            <w:pPr>
              <w:pStyle w:val="Style"/>
              <w:numPr>
                <w:ilvl w:val="0"/>
                <w:numId w:val="6"/>
              </w:numPr>
              <w:spacing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>Bieżące administrowanie realizacją Projektu obejmujące wszystkie działania niezbędne do utrzymania Projektu w określonych terminach, jakości i budżecie;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BD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7DB86F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BD68E3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AE670F0" w14:textId="77777777" w:rsidTr="000944C6">
        <w:tc>
          <w:tcPr>
            <w:tcW w:w="2829" w:type="dxa"/>
            <w:vMerge/>
          </w:tcPr>
          <w:p w14:paraId="11F3CB14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0C28167" w14:textId="77777777" w:rsidR="00A740F1" w:rsidRPr="00E17045" w:rsidRDefault="00A740F1" w:rsidP="007D69E5">
            <w:pPr>
              <w:pStyle w:val="Style"/>
              <w:numPr>
                <w:ilvl w:val="0"/>
                <w:numId w:val="6"/>
              </w:numPr>
              <w:spacing w:line="269" w:lineRule="exact"/>
              <w:ind w:left="426" w:hanging="426"/>
              <w:textAlignment w:val="baseline"/>
            </w:pPr>
            <w:r w:rsidRPr="00E17045">
              <w:rPr>
                <w:rFonts w:eastAsia="Arial"/>
              </w:rPr>
              <w:t xml:space="preserve">Bieżąca komunikacja z URPL oraz Komisją Bioetyczną.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CA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6B7943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BBD5EB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22116DD" w14:textId="77777777" w:rsidTr="000944C6">
        <w:tc>
          <w:tcPr>
            <w:tcW w:w="2829" w:type="dxa"/>
            <w:vMerge w:val="restart"/>
          </w:tcPr>
          <w:p w14:paraId="1587695A" w14:textId="77777777" w:rsidR="00A740F1" w:rsidRPr="00E17045" w:rsidRDefault="001A3848" w:rsidP="00573E5B">
            <w:pPr>
              <w:pStyle w:val="Style"/>
              <w:spacing w:line="269" w:lineRule="exact"/>
              <w:textAlignment w:val="baseline"/>
              <w:rPr>
                <w:rFonts w:eastAsia="Arial"/>
              </w:rPr>
            </w:pPr>
            <w:r w:rsidRPr="00E17045">
              <w:rPr>
                <w:rFonts w:eastAsia="Arial"/>
                <w:b/>
              </w:rPr>
              <w:t xml:space="preserve">Etap III:  Przeprowadzenie i monitorowanie badania klinicznego </w:t>
            </w:r>
            <w:r w:rsidRPr="00E17045">
              <w:rPr>
                <w:rFonts w:eastAsia="Arial"/>
              </w:rPr>
              <w:t xml:space="preserve">skuteczności spersonalizowanego leczenia chorych na NEN z użyciem mieszanek 177Lu-DOTATATE i 90Y-Lu-DOTATATE w porównaniu do standardowego leczenia chorych na NEN z użyciem 177Lu-DOTATATE u pełnoletnich pacjentów z zaawansowanym, </w:t>
            </w:r>
            <w:proofErr w:type="spellStart"/>
            <w:r w:rsidRPr="00E17045">
              <w:rPr>
                <w:rFonts w:eastAsia="Arial"/>
              </w:rPr>
              <w:t>nieresekcyjnym</w:t>
            </w:r>
            <w:proofErr w:type="spellEnd"/>
            <w:r w:rsidRPr="00E17045">
              <w:rPr>
                <w:rFonts w:eastAsia="Arial"/>
              </w:rPr>
              <w:t xml:space="preserve">, potwierdzonym w badaniu histopatologicznym, dobrze i średnio zróżnicowanym (G1 i G2) nowotworem </w:t>
            </w:r>
            <w:r w:rsidRPr="00E17045">
              <w:rPr>
                <w:rFonts w:eastAsia="Arial"/>
              </w:rPr>
              <w:lastRenderedPageBreak/>
              <w:t xml:space="preserve">neuroendokrynnym, u których potwierdzono wysoką ekspresję receptorów </w:t>
            </w:r>
            <w:proofErr w:type="spellStart"/>
            <w:r w:rsidRPr="00E17045">
              <w:rPr>
                <w:rFonts w:eastAsia="Arial"/>
              </w:rPr>
              <w:t>somatostatynowych</w:t>
            </w:r>
            <w:proofErr w:type="spellEnd"/>
            <w:r w:rsidRPr="00E17045">
              <w:rPr>
                <w:rFonts w:eastAsia="Arial"/>
              </w:rPr>
              <w:t>.</w:t>
            </w:r>
          </w:p>
          <w:p w14:paraId="06E16416" w14:textId="77777777" w:rsidR="001A3848" w:rsidRPr="00E17045" w:rsidRDefault="001A3848" w:rsidP="00573E5B">
            <w:pPr>
              <w:pStyle w:val="Style"/>
              <w:spacing w:line="269" w:lineRule="exact"/>
              <w:textAlignment w:val="baseline"/>
              <w:rPr>
                <w:rFonts w:eastAsia="Arial"/>
              </w:rPr>
            </w:pPr>
          </w:p>
          <w:p w14:paraId="0FC950EC" w14:textId="77777777" w:rsidR="005A7C1E" w:rsidRPr="00E17045" w:rsidRDefault="005A7C1E" w:rsidP="005A7C1E">
            <w:pPr>
              <w:pStyle w:val="Style"/>
              <w:rPr>
                <w:rFonts w:eastAsia="Arial"/>
              </w:rPr>
            </w:pPr>
            <w:r w:rsidRPr="00E17045">
              <w:rPr>
                <w:rFonts w:eastAsia="Arial"/>
              </w:rPr>
              <w:t xml:space="preserve">Etap może rozpocząć się pod warunkiem uprzedniego uzyskania pozytywnej opinii Komisji Bioetycznej na prowadzenie prac w ramach badania i uzyskanie zezwolenia na rozpoczęcie badania klinicznego z URPL. Bieżące monitorowanie badania obejmować będzie: </w:t>
            </w:r>
          </w:p>
          <w:p w14:paraId="393238AA" w14:textId="77777777" w:rsidR="005A7C1E" w:rsidRPr="00E17045" w:rsidRDefault="005A7C1E" w:rsidP="005A7C1E">
            <w:pPr>
              <w:pStyle w:val="Style"/>
              <w:spacing w:line="269" w:lineRule="exact"/>
              <w:textAlignment w:val="baseline"/>
              <w:rPr>
                <w:rFonts w:eastAsia="Arial"/>
                <w:lang w:val="pl-PL"/>
              </w:rPr>
            </w:pPr>
            <w:r w:rsidRPr="00E17045">
              <w:rPr>
                <w:rFonts w:eastAsia="Arial"/>
                <w:lang w:val="pl-PL"/>
              </w:rPr>
              <w:t xml:space="preserve">Przeprowadzenie co najmniej 4 wizyt monitorujących w Ośrodkach oraz bieżący monitoring elektroniczny, weryfikacja dokumentacji badania w Ośrodkach na poziomie pozwalającym na rzetelną weryfikację danych źródłowych (SDV na poziomie min 70%), w tym 100% weryfikację kryteriów włączenia i wyłączenia badania oraz wszystkich danych </w:t>
            </w:r>
            <w:r w:rsidRPr="00E17045">
              <w:rPr>
                <w:rFonts w:eastAsia="Arial"/>
                <w:lang w:val="pl-PL"/>
              </w:rPr>
              <w:lastRenderedPageBreak/>
              <w:t>dotyczących bezpieczeństwa każdego pacjenta uczestniczącego w badaniu; Zamawiający dopuszcza przeprowadzenie części wizyt monitorujących zdalnie, zgodnie z aktualnymi zaleceniami;</w:t>
            </w:r>
          </w:p>
          <w:p w14:paraId="56B49DCF" w14:textId="77777777" w:rsidR="00A740F1" w:rsidRPr="00E17045" w:rsidRDefault="00A740F1" w:rsidP="005A7C1E">
            <w:pPr>
              <w:pStyle w:val="Style"/>
              <w:spacing w:line="269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A16F60C" w14:textId="77777777" w:rsidR="00A740F1" w:rsidRPr="00E17045" w:rsidRDefault="00A740F1" w:rsidP="005A7C1E">
            <w:pPr>
              <w:pStyle w:val="Style"/>
              <w:spacing w:before="9" w:line="269" w:lineRule="exact"/>
              <w:ind w:left="426"/>
              <w:textAlignment w:val="baseline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12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A05784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6EE429B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D887EE6" w14:textId="77777777" w:rsidTr="000944C6">
        <w:tc>
          <w:tcPr>
            <w:tcW w:w="2829" w:type="dxa"/>
            <w:vMerge/>
          </w:tcPr>
          <w:p w14:paraId="0A76FDEC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1F7EDDA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Utrzymywanie bieżącego kontaktu z ośrodkiem (w tym kontakt telefoniczny, mailowy);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70A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E299F5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DD19D3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03D1CEFA" w14:textId="77777777" w:rsidTr="000944C6">
        <w:tc>
          <w:tcPr>
            <w:tcW w:w="2829" w:type="dxa"/>
            <w:vMerge/>
          </w:tcPr>
          <w:p w14:paraId="3879216F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A047E09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Bieżące rozwiązywanie zapytań dla ośrodka w bazie danych;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98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90293B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2EAC69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4EBB9EA" w14:textId="77777777" w:rsidTr="000944C6">
        <w:tc>
          <w:tcPr>
            <w:tcW w:w="2829" w:type="dxa"/>
            <w:vMerge/>
          </w:tcPr>
          <w:p w14:paraId="22FDF5CF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03CBDE62" w14:textId="77777777" w:rsidR="00A740F1" w:rsidRPr="00E17045" w:rsidRDefault="00E17F7C" w:rsidP="00E17F7C">
            <w:pPr>
              <w:pStyle w:val="Style"/>
              <w:numPr>
                <w:ilvl w:val="0"/>
                <w:numId w:val="7"/>
              </w:numPr>
              <w:spacing w:before="9" w:line="269" w:lineRule="exact"/>
              <w:ind w:left="426"/>
              <w:jc w:val="both"/>
              <w:textAlignment w:val="baseline"/>
            </w:pPr>
            <w:r w:rsidRPr="00E17045">
              <w:rPr>
                <w:rFonts w:eastAsia="Arial"/>
              </w:rPr>
              <w:t xml:space="preserve">Wsparcie Zamawiającego w prowadzeniu kompleksowej gospodarki lekiem badanym w tym m.in. w zapewnieniu produktu badanego zgodnie z postępem rekrutacji w ośrodku, utrzymywaniu pełnej, niezbędnej i aktualnej dokumentacji związanej z gospodarką produktem badanym m.in. wytwarzaniem, pakowaniem, transportem, badaniem serii, oceną zgodności dokumentacji z zatwierdzonym skróconym IMPD oraz inną dokumentacją badania klinicznego; wystawienie certyfikatu serii, zwolnienie serii do badania klinicznego;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82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6EF4BE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453ECA8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87F3EC7" w14:textId="77777777" w:rsidTr="000944C6">
        <w:tc>
          <w:tcPr>
            <w:tcW w:w="2829" w:type="dxa"/>
            <w:vMerge/>
          </w:tcPr>
          <w:p w14:paraId="324813EF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2318E12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before="9"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Bieżące administrowanie bazą danych badania (min. sprawdzanie poprawności danych, rozwiązywanie rozbieżności i zapytań, kodowanie zdarzeń niepożądanych i leczenia dodatkowego);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EA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9EC929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3C0DA3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50029FB1" w14:textId="77777777" w:rsidTr="000944C6">
        <w:tc>
          <w:tcPr>
            <w:tcW w:w="2829" w:type="dxa"/>
            <w:vMerge/>
          </w:tcPr>
          <w:p w14:paraId="34981BE1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A725A6F" w14:textId="77777777" w:rsidR="00E17F7C" w:rsidRPr="00E17045" w:rsidRDefault="00E17F7C" w:rsidP="00E17F7C">
            <w:pPr>
              <w:pStyle w:val="Style"/>
              <w:numPr>
                <w:ilvl w:val="0"/>
                <w:numId w:val="7"/>
              </w:numPr>
              <w:spacing w:before="9" w:line="269" w:lineRule="exact"/>
              <w:ind w:left="426"/>
              <w:jc w:val="both"/>
              <w:textAlignment w:val="baseline"/>
            </w:pPr>
            <w:bookmarkStart w:id="2" w:name="_Hlk36814333"/>
            <w:r w:rsidRPr="00E17045">
              <w:rPr>
                <w:rFonts w:eastAsia="Arial"/>
              </w:rPr>
              <w:t xml:space="preserve">Monitoring bezpieczeństwa pacjentów uczestniczących w badaniu i monitoring medyczny obejmujący m.in. </w:t>
            </w:r>
            <w:r w:rsidRPr="00E17045">
              <w:rPr>
                <w:w w:val="85"/>
              </w:rPr>
              <w:t xml:space="preserve"> </w:t>
            </w:r>
            <w:r w:rsidRPr="00E17045">
              <w:rPr>
                <w:rFonts w:eastAsia="Arial"/>
              </w:rPr>
              <w:t xml:space="preserve">zgłaszane zdarzenia niepożądane, w tym poważne zdarzenia niepożądane (SAE), </w:t>
            </w:r>
            <w:r w:rsidRPr="00E17045">
              <w:rPr>
                <w:w w:val="85"/>
              </w:rPr>
              <w:t xml:space="preserve">(i) </w:t>
            </w:r>
            <w:r w:rsidRPr="00E17045">
              <w:rPr>
                <w:rFonts w:eastAsia="Arial"/>
              </w:rPr>
              <w:t xml:space="preserve">odbieranie formularzy SAE od zespołów badawczych, </w:t>
            </w:r>
            <w:r w:rsidRPr="00E17045">
              <w:rPr>
                <w:w w:val="91"/>
              </w:rPr>
              <w:t xml:space="preserve">(ii) </w:t>
            </w:r>
            <w:r w:rsidRPr="00E17045">
              <w:rPr>
                <w:rFonts w:eastAsia="Arial"/>
              </w:rPr>
              <w:t>przeglądanie w celu uzyskania ich kompletności i spójności, (iii)</w:t>
            </w:r>
            <w:r w:rsidRPr="00E17045">
              <w:rPr>
                <w:rFonts w:eastAsia="Arial"/>
                <w:b/>
              </w:rPr>
              <w:t xml:space="preserve"> </w:t>
            </w:r>
            <w:r w:rsidRPr="00E17045">
              <w:rPr>
                <w:rFonts w:eastAsia="Arial"/>
              </w:rPr>
              <w:t>kontakt z badaczem w celu uzyskania brakujących informacji i/lub informacji wymagających wyjaśnienia, (iv)</w:t>
            </w:r>
            <w:r w:rsidRPr="00E17045">
              <w:rPr>
                <w:rFonts w:eastAsia="Arial"/>
                <w:b/>
              </w:rPr>
              <w:t xml:space="preserve"> </w:t>
            </w:r>
            <w:r w:rsidRPr="00E17045">
              <w:rPr>
                <w:rFonts w:eastAsia="Arial"/>
              </w:rPr>
              <w:t xml:space="preserve">przeprowadzenie analizy/oceny zgłoszenia / SAE i oceny związku </w:t>
            </w:r>
            <w:r w:rsidRPr="00E17045">
              <w:rPr>
                <w:rFonts w:eastAsia="Arial"/>
              </w:rPr>
              <w:lastRenderedPageBreak/>
              <w:t xml:space="preserve">przyczynowego SAE z produktem badania oraz zapewnienie monitorowania medycznego, (v) kodowanie i terminowe zgłaszanie raportów SAE do bazy </w:t>
            </w:r>
            <w:proofErr w:type="spellStart"/>
            <w:r w:rsidRPr="00E17045">
              <w:rPr>
                <w:rFonts w:eastAsia="Arial"/>
              </w:rPr>
              <w:t>Pharmacovigilance</w:t>
            </w:r>
            <w:proofErr w:type="spellEnd"/>
            <w:r w:rsidRPr="00E17045">
              <w:rPr>
                <w:rFonts w:eastAsia="Arial"/>
              </w:rPr>
              <w:t xml:space="preserve"> oraz do URPL i KE zgodnie z wymaganiami; </w:t>
            </w:r>
          </w:p>
          <w:bookmarkEnd w:id="2"/>
          <w:p w14:paraId="20042A0B" w14:textId="77777777" w:rsidR="00A740F1" w:rsidRPr="00E17045" w:rsidRDefault="00A740F1" w:rsidP="00E17F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A0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21670DD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98BB74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913F8CC" w14:textId="77777777" w:rsidTr="000944C6">
        <w:tc>
          <w:tcPr>
            <w:tcW w:w="2829" w:type="dxa"/>
            <w:vMerge/>
          </w:tcPr>
          <w:p w14:paraId="0FB52A09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41A61DA" w14:textId="77777777" w:rsidR="00A740F1" w:rsidRPr="00E17045" w:rsidRDefault="00A740F1" w:rsidP="007D69E5">
            <w:pPr>
              <w:pStyle w:val="Akapitzlist"/>
              <w:numPr>
                <w:ilvl w:val="0"/>
                <w:numId w:val="7"/>
              </w:numPr>
              <w:ind w:left="34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>Przygotowanie okresowych raportów nt. bezpieczeństwa pacjentów oraz przesyłanie ich  do odpowiedzialnych organów regulacyjnych oraz komisji bioetycznych;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61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E43DDF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CA6E10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313DB82" w14:textId="77777777" w:rsidTr="000944C6">
        <w:tc>
          <w:tcPr>
            <w:tcW w:w="2829" w:type="dxa"/>
            <w:vMerge/>
          </w:tcPr>
          <w:p w14:paraId="0E3CA4D8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78CBA53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rocznego sprawozdania o postępie badania klinicznego;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36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E250425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D1CC08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4BEF018" w14:textId="77777777" w:rsidTr="000944C6">
        <w:tc>
          <w:tcPr>
            <w:tcW w:w="2829" w:type="dxa"/>
            <w:vMerge/>
          </w:tcPr>
          <w:p w14:paraId="7BD8CE7C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47765718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i przesyłanie (dystrybucja) powiadomień do badaczy oraz do </w:t>
            </w:r>
            <w:r w:rsidR="000D79A1" w:rsidRPr="00E17045">
              <w:rPr>
                <w:rFonts w:eastAsia="Arial"/>
              </w:rPr>
              <w:t xml:space="preserve">Sponsora (POLATOM) </w:t>
            </w:r>
            <w:r w:rsidRPr="00E17045">
              <w:rPr>
                <w:rFonts w:eastAsia="Arial"/>
              </w:rPr>
              <w:t xml:space="preserve">raportów o bezpieczeństwie;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AD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3C57D4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A63E11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8C61A63" w14:textId="77777777" w:rsidTr="000944C6">
        <w:tc>
          <w:tcPr>
            <w:tcW w:w="2829" w:type="dxa"/>
            <w:vMerge/>
          </w:tcPr>
          <w:p w14:paraId="1C0DA02A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1C61DC2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Bieżąca realizacja planu zapewniania jakości badania - w tym min. 1 dwudniowy audyt niezależny badania obejmujący </w:t>
            </w:r>
            <w:r w:rsidR="000D79A1" w:rsidRPr="00E17045">
              <w:rPr>
                <w:rFonts w:eastAsia="Arial"/>
              </w:rPr>
              <w:t>Sponsora (POLATOM)</w:t>
            </w:r>
            <w:r w:rsidRPr="00E17045">
              <w:rPr>
                <w:rFonts w:eastAsia="Arial"/>
              </w:rPr>
              <w:t>, CRO oraz Ośrod</w:t>
            </w:r>
            <w:r w:rsidR="00E17F7C" w:rsidRPr="00E17045">
              <w:rPr>
                <w:rFonts w:eastAsia="Arial"/>
              </w:rPr>
              <w:t>ki</w:t>
            </w:r>
            <w:r w:rsidRPr="00E17045">
              <w:rPr>
                <w:rFonts w:eastAsia="Arial"/>
              </w:rPr>
              <w:t xml:space="preserve"> Badawcz</w:t>
            </w:r>
            <w:r w:rsidR="00E17F7C" w:rsidRPr="00E17045">
              <w:rPr>
                <w:rFonts w:eastAsia="Arial"/>
              </w:rPr>
              <w:t>e w tym zakresie</w:t>
            </w:r>
            <w:r w:rsidRPr="00E17045">
              <w:rPr>
                <w:rFonts w:eastAsia="Arial"/>
              </w:rPr>
              <w:t>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5A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FC419E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122A2A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5A87D14C" w14:textId="77777777" w:rsidTr="000944C6">
        <w:tc>
          <w:tcPr>
            <w:tcW w:w="2829" w:type="dxa"/>
            <w:vMerge/>
          </w:tcPr>
          <w:p w14:paraId="02EF1346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28C30699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Bieżąca komunikacja z URPL oraz Komisją Bioetyczną;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ED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C37244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A780C9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62B9482" w14:textId="77777777" w:rsidTr="000944C6">
        <w:tc>
          <w:tcPr>
            <w:tcW w:w="2829" w:type="dxa"/>
            <w:vMerge/>
          </w:tcPr>
          <w:p w14:paraId="277545A6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58FDC081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Bieżące monitorowanie bazy danych; 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9CEEE7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</w:tcPr>
          <w:p w14:paraId="329FA17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31019E88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A58AD58" w14:textId="77777777" w:rsidTr="000944C6">
        <w:tc>
          <w:tcPr>
            <w:tcW w:w="2829" w:type="dxa"/>
            <w:vMerge/>
          </w:tcPr>
          <w:p w14:paraId="70ED158B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526058ED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Okresowa analiza statystyczna bazy danych; </w:t>
            </w:r>
          </w:p>
        </w:tc>
        <w:tc>
          <w:tcPr>
            <w:tcW w:w="1830" w:type="dxa"/>
          </w:tcPr>
          <w:p w14:paraId="5540576F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</w:tcPr>
          <w:p w14:paraId="2067274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305A7C20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640AC472" w14:textId="77777777" w:rsidTr="000944C6">
        <w:tc>
          <w:tcPr>
            <w:tcW w:w="2829" w:type="dxa"/>
            <w:vMerge/>
          </w:tcPr>
          <w:p w14:paraId="56FEDB04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0A24FE53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0" w:lineRule="atLeas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Bieżąca współpraca z organizacjami, instytucjami zaangażowanymi w prowadzenie badania w tym laboratorium centralne i laboratoria lokalne; </w:t>
            </w:r>
          </w:p>
        </w:tc>
        <w:tc>
          <w:tcPr>
            <w:tcW w:w="1830" w:type="dxa"/>
          </w:tcPr>
          <w:p w14:paraId="483D6FC6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u w:val="single"/>
              </w:rPr>
            </w:pPr>
          </w:p>
        </w:tc>
        <w:tc>
          <w:tcPr>
            <w:tcW w:w="1558" w:type="dxa"/>
          </w:tcPr>
          <w:p w14:paraId="77F5CC8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2BB5445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7DF9BF6C" w14:textId="77777777" w:rsidTr="000944C6">
        <w:tc>
          <w:tcPr>
            <w:tcW w:w="2829" w:type="dxa"/>
            <w:vMerge/>
          </w:tcPr>
          <w:p w14:paraId="0C1F2E45" w14:textId="77777777" w:rsidR="00FB79FA" w:rsidRPr="00E17045" w:rsidRDefault="00FB79FA" w:rsidP="00FB79FA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233ED347" w14:textId="77777777" w:rsidR="00FB79FA" w:rsidRPr="00E17045" w:rsidRDefault="00FB79FA" w:rsidP="00FB79FA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Bieżące administrowanie realizacją Usługi obejmujące wszystkie działania niezbędne do utrzymania Projektu w określonych terminach, jakości i budżecie; </w:t>
            </w:r>
          </w:p>
        </w:tc>
        <w:tc>
          <w:tcPr>
            <w:tcW w:w="1830" w:type="dxa"/>
          </w:tcPr>
          <w:p w14:paraId="3C3C05D6" w14:textId="77777777" w:rsidR="00FB79FA" w:rsidRPr="00E17045" w:rsidRDefault="00FB79FA" w:rsidP="00FB79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65B8C1AD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7BEAE901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C248ADD" w14:textId="77777777" w:rsidTr="000944C6">
        <w:tc>
          <w:tcPr>
            <w:tcW w:w="2829" w:type="dxa"/>
            <w:vMerge/>
          </w:tcPr>
          <w:p w14:paraId="7131A05F" w14:textId="77777777" w:rsidR="00FB79FA" w:rsidRPr="00E17045" w:rsidRDefault="00FB79FA" w:rsidP="00FB79FA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17E24C62" w14:textId="77777777" w:rsidR="00FB79FA" w:rsidRPr="00E17045" w:rsidRDefault="00FB79FA" w:rsidP="00FB79FA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Bieżąca realizacja Projektu według wszystkich standardowych procedur postępowania oraz planów projektowych; </w:t>
            </w:r>
          </w:p>
        </w:tc>
        <w:tc>
          <w:tcPr>
            <w:tcW w:w="1830" w:type="dxa"/>
          </w:tcPr>
          <w:p w14:paraId="5F99066B" w14:textId="77777777" w:rsidR="00FB79FA" w:rsidRPr="00E17045" w:rsidRDefault="00FB79FA" w:rsidP="00FB79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0C982744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442720DD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6470809" w14:textId="77777777" w:rsidTr="000944C6">
        <w:tc>
          <w:tcPr>
            <w:tcW w:w="2829" w:type="dxa"/>
            <w:vMerge/>
          </w:tcPr>
          <w:p w14:paraId="10F00C31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</w:tcPr>
          <w:p w14:paraId="64106759" w14:textId="77777777" w:rsidR="00A740F1" w:rsidRPr="00E17045" w:rsidRDefault="00A740F1" w:rsidP="007D69E5">
            <w:pPr>
              <w:pStyle w:val="Style"/>
              <w:numPr>
                <w:ilvl w:val="0"/>
                <w:numId w:val="7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i przesyłanie miesięcznego sprawozdania do </w:t>
            </w:r>
            <w:r w:rsidR="000D79A1" w:rsidRPr="00E17045">
              <w:rPr>
                <w:rFonts w:eastAsia="Arial"/>
              </w:rPr>
              <w:t xml:space="preserve">Sponsora (POLATOM) </w:t>
            </w:r>
            <w:r w:rsidRPr="00E17045">
              <w:rPr>
                <w:rFonts w:eastAsia="Arial"/>
              </w:rPr>
              <w:t xml:space="preserve"> z przebiegu realizowanych procesów </w:t>
            </w:r>
            <w:r w:rsidRPr="00E17045">
              <w:rPr>
                <w:b/>
              </w:rPr>
              <w:t>w</w:t>
            </w:r>
            <w:r w:rsidR="008D4356" w:rsidRPr="00E17045">
              <w:rPr>
                <w:b/>
              </w:rPr>
              <w:t xml:space="preserve"> </w:t>
            </w:r>
            <w:r w:rsidR="00E17F7C" w:rsidRPr="00E17045">
              <w:rPr>
                <w:rFonts w:eastAsia="Arial"/>
              </w:rPr>
              <w:t>Projekcie</w:t>
            </w:r>
            <w:r w:rsidRPr="00E17045">
              <w:rPr>
                <w:rFonts w:eastAsia="Arial"/>
              </w:rPr>
              <w:t xml:space="preserve">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459C055" w14:textId="77777777" w:rsidR="00A740F1" w:rsidRPr="00E17045" w:rsidRDefault="00A740F1" w:rsidP="00A740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6234788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</w:tcPr>
          <w:p w14:paraId="1200083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0EDDE107" w14:textId="77777777" w:rsidTr="000944C6">
        <w:trPr>
          <w:trHeight w:val="523"/>
        </w:trPr>
        <w:tc>
          <w:tcPr>
            <w:tcW w:w="2829" w:type="dxa"/>
            <w:vMerge w:val="restart"/>
          </w:tcPr>
          <w:p w14:paraId="0E0BF8A5" w14:textId="77777777" w:rsidR="00A740F1" w:rsidRPr="00E17045" w:rsidRDefault="00A740F1" w:rsidP="00573E5B">
            <w:pPr>
              <w:pStyle w:val="Style"/>
              <w:spacing w:line="264" w:lineRule="exact"/>
              <w:ind w:right="840"/>
              <w:textAlignment w:val="baseline"/>
              <w:rPr>
                <w:rFonts w:eastAsia="Arial"/>
                <w:b/>
              </w:rPr>
            </w:pPr>
            <w:r w:rsidRPr="00E17045">
              <w:rPr>
                <w:rFonts w:eastAsia="Arial"/>
                <w:b/>
              </w:rPr>
              <w:t>Etap IV - Przeprowadzenie analizy statystycznej wyników badań fazy klinicznej.</w:t>
            </w:r>
          </w:p>
          <w:p w14:paraId="7C4E8E55" w14:textId="77777777" w:rsidR="00A740F1" w:rsidRPr="00E17045" w:rsidRDefault="00A740F1" w:rsidP="00573E5B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  <w:r w:rsidRPr="00E17045">
              <w:rPr>
                <w:rFonts w:eastAsia="Arial"/>
              </w:rPr>
              <w:t>Zakres prac w ramach Etapu IV obejmuje:</w:t>
            </w: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6CB73C27" w14:textId="77777777" w:rsidR="00A740F1" w:rsidRPr="00E17045" w:rsidRDefault="00A740F1" w:rsidP="007D69E5">
            <w:pPr>
              <w:pStyle w:val="Style"/>
              <w:numPr>
                <w:ilvl w:val="0"/>
                <w:numId w:val="8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>Zamkni</w:t>
            </w:r>
            <w:r w:rsidR="008D4356" w:rsidRPr="00E17045">
              <w:rPr>
                <w:rFonts w:eastAsia="Arial"/>
              </w:rPr>
              <w:t>ę</w:t>
            </w:r>
            <w:r w:rsidRPr="00E17045">
              <w:rPr>
                <w:rFonts w:eastAsia="Arial"/>
              </w:rPr>
              <w:t>cie bazy danych oraz analiza danych z badania;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5F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1F9E96C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20AAEBA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334DEC0C" w14:textId="77777777" w:rsidTr="000944C6">
        <w:tc>
          <w:tcPr>
            <w:tcW w:w="2829" w:type="dxa"/>
            <w:vMerge/>
          </w:tcPr>
          <w:p w14:paraId="710E79A5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35DA04F" w14:textId="77777777" w:rsidR="00A740F1" w:rsidRPr="00E17045" w:rsidRDefault="00A740F1" w:rsidP="007D69E5">
            <w:pPr>
              <w:pStyle w:val="Style"/>
              <w:numPr>
                <w:ilvl w:val="0"/>
                <w:numId w:val="8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raportu końcowego badania i przekazanie odnośnym władzom wraz z zawiadomieniem o zakończeniu badania;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9CB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FD95B7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2095F111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2CB39F2A" w14:textId="77777777" w:rsidTr="000944C6">
        <w:tc>
          <w:tcPr>
            <w:tcW w:w="2829" w:type="dxa"/>
            <w:vMerge/>
          </w:tcPr>
          <w:p w14:paraId="4F655E27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ED9D72E" w14:textId="77777777" w:rsidR="00A740F1" w:rsidRPr="00E17045" w:rsidRDefault="00A740F1" w:rsidP="007D69E5">
            <w:pPr>
              <w:pStyle w:val="Style"/>
              <w:numPr>
                <w:ilvl w:val="0"/>
                <w:numId w:val="8"/>
              </w:numPr>
              <w:spacing w:line="274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Współudział w napisaniu publikacji z badania;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7D3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9D013B9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E91714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4B361BBA" w14:textId="77777777" w:rsidTr="000944C6">
        <w:tc>
          <w:tcPr>
            <w:tcW w:w="2829" w:type="dxa"/>
            <w:vMerge/>
          </w:tcPr>
          <w:p w14:paraId="01EDD72B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1C6435FC" w14:textId="77777777" w:rsidR="00A740F1" w:rsidRPr="00E17045" w:rsidRDefault="00A740F1" w:rsidP="007D69E5">
            <w:pPr>
              <w:pStyle w:val="Style"/>
              <w:numPr>
                <w:ilvl w:val="0"/>
                <w:numId w:val="8"/>
              </w:numPr>
              <w:spacing w:line="269" w:lineRule="exact"/>
              <w:ind w:left="426"/>
              <w:textAlignment w:val="baseline"/>
            </w:pPr>
            <w:r w:rsidRPr="00E17045">
              <w:rPr>
                <w:rFonts w:eastAsia="Arial"/>
              </w:rPr>
              <w:t xml:space="preserve">Przygotowanie dokumentacji badania do archiwizacji.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23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C62954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D053102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5E3244EC" w14:textId="77777777" w:rsidTr="000944C6">
        <w:tc>
          <w:tcPr>
            <w:tcW w:w="2829" w:type="dxa"/>
            <w:vMerge w:val="restart"/>
          </w:tcPr>
          <w:p w14:paraId="75D28E1A" w14:textId="77777777" w:rsidR="00A740F1" w:rsidRPr="00E17045" w:rsidRDefault="00A740F1" w:rsidP="00573E5B">
            <w:pPr>
              <w:pStyle w:val="Style"/>
              <w:spacing w:line="269" w:lineRule="exact"/>
              <w:textAlignment w:val="baseline"/>
              <w:rPr>
                <w:b/>
              </w:rPr>
            </w:pPr>
            <w:bookmarkStart w:id="3" w:name="_Hlk38367541"/>
            <w:r w:rsidRPr="00E17045">
              <w:rPr>
                <w:b/>
              </w:rPr>
              <w:t>Inne działania:</w:t>
            </w:r>
          </w:p>
          <w:p w14:paraId="29A26BFD" w14:textId="77777777" w:rsidR="00A740F1" w:rsidRPr="00E17045" w:rsidRDefault="00A740F1" w:rsidP="00573E5B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57159C28" w14:textId="77777777" w:rsidR="00A740F1" w:rsidRPr="00E17045" w:rsidRDefault="00A740F1" w:rsidP="007D69E5">
            <w:pPr>
              <w:pStyle w:val="Style"/>
              <w:numPr>
                <w:ilvl w:val="0"/>
                <w:numId w:val="1"/>
              </w:numPr>
              <w:spacing w:before="4" w:line="264" w:lineRule="exact"/>
              <w:ind w:left="355" w:hanging="355"/>
              <w:textAlignment w:val="baseline"/>
            </w:pPr>
            <w:r w:rsidRPr="00E17045">
              <w:rPr>
                <w:rFonts w:eastAsia="Arial"/>
              </w:rPr>
              <w:t xml:space="preserve">Wykonawca zapewni Hosting, administrację serwerem i bezpieczeństwem.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CCD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7404AF3E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2C3D794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bookmarkEnd w:id="3"/>
      <w:tr w:rsidR="00E17045" w:rsidRPr="00E17045" w14:paraId="032CACCC" w14:textId="77777777" w:rsidTr="000944C6">
        <w:tc>
          <w:tcPr>
            <w:tcW w:w="2829" w:type="dxa"/>
            <w:vMerge/>
          </w:tcPr>
          <w:p w14:paraId="498AEAD3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715F795D" w14:textId="77777777" w:rsidR="00FB79FA" w:rsidRPr="00E17045" w:rsidRDefault="00FB79FA" w:rsidP="00FB79FA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70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Wykonawca opracuje projekt ewentualnych zmian harmonogramu Usługi z uwzględnieniem już wykonanych czynności i terminów ich zakończenia.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62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3B1C8B85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51213CF7" w14:textId="77777777" w:rsidR="00FB79FA" w:rsidRPr="00E17045" w:rsidRDefault="00FB79FA" w:rsidP="00FB79FA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tr w:rsidR="00E17045" w:rsidRPr="00E17045" w14:paraId="19C628ED" w14:textId="77777777" w:rsidTr="000944C6">
        <w:tc>
          <w:tcPr>
            <w:tcW w:w="2829" w:type="dxa"/>
            <w:vMerge/>
          </w:tcPr>
          <w:p w14:paraId="63EDB226" w14:textId="77777777" w:rsidR="00A740F1" w:rsidRPr="00E17045" w:rsidRDefault="00A740F1" w:rsidP="000944C6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30D843CF" w14:textId="77777777" w:rsidR="00A740F1" w:rsidRPr="00E17045" w:rsidRDefault="00A740F1" w:rsidP="000D79A1">
            <w:pPr>
              <w:pStyle w:val="Style"/>
              <w:numPr>
                <w:ilvl w:val="0"/>
                <w:numId w:val="1"/>
              </w:numPr>
              <w:spacing w:line="269" w:lineRule="exact"/>
              <w:ind w:left="360" w:hanging="355"/>
              <w:textAlignment w:val="baseline"/>
            </w:pPr>
            <w:r w:rsidRPr="00E17045">
              <w:rPr>
                <w:rFonts w:eastAsia="Arial"/>
              </w:rPr>
              <w:t xml:space="preserve">Wykonawca dostarczy pełną dokumentację dotyczącą prowadzonych badań w formie wydruku oraz w wersji elektronicznej (na nośniku), przesłanej w formacie do odczytu i edycji w pakiecie MS Office, w dwóch wersjach językowych (polskiej i angielskiej): </w:t>
            </w:r>
          </w:p>
          <w:p w14:paraId="73AE2B2C" w14:textId="77777777" w:rsidR="00A740F1" w:rsidRPr="00E17045" w:rsidRDefault="00A740F1" w:rsidP="000D79A1">
            <w:pPr>
              <w:pStyle w:val="Style"/>
              <w:numPr>
                <w:ilvl w:val="0"/>
                <w:numId w:val="2"/>
              </w:numPr>
              <w:spacing w:before="23" w:line="269" w:lineRule="exact"/>
              <w:ind w:left="859" w:hanging="355"/>
              <w:textAlignment w:val="baseline"/>
            </w:pPr>
            <w:r w:rsidRPr="00E17045">
              <w:rPr>
                <w:rFonts w:eastAsia="Arial"/>
              </w:rPr>
              <w:t xml:space="preserve">Raportów częściowych - </w:t>
            </w:r>
            <w:r w:rsidR="00235792" w:rsidRPr="00E17045">
              <w:rPr>
                <w:rFonts w:eastAsia="Arial"/>
              </w:rPr>
              <w:t xml:space="preserve">zapisów/notatek </w:t>
            </w:r>
            <w:r w:rsidR="005C4050" w:rsidRPr="00E17045">
              <w:rPr>
                <w:rFonts w:eastAsia="Arial"/>
              </w:rPr>
              <w:t>z regularnych telekonferencji Sponsor (POLATOM)</w:t>
            </w:r>
            <w:r w:rsidR="00CF5FA9" w:rsidRPr="00E17045">
              <w:rPr>
                <w:rFonts w:eastAsia="Arial"/>
              </w:rPr>
              <w:t xml:space="preserve"> vs CRO</w:t>
            </w:r>
            <w:r w:rsidR="005C4050" w:rsidRPr="00E17045">
              <w:rPr>
                <w:rFonts w:eastAsia="Arial"/>
              </w:rPr>
              <w:t xml:space="preserve"> oraz </w:t>
            </w:r>
            <w:r w:rsidR="003032EC" w:rsidRPr="00E17045">
              <w:rPr>
                <w:rFonts w:eastAsia="Arial"/>
              </w:rPr>
              <w:t xml:space="preserve">raportów z otrzymanych wyników badań z systemów </w:t>
            </w:r>
            <w:proofErr w:type="spellStart"/>
            <w:r w:rsidR="003032EC" w:rsidRPr="00E17045">
              <w:rPr>
                <w:rFonts w:eastAsia="Arial"/>
              </w:rPr>
              <w:t>eCRF</w:t>
            </w:r>
            <w:proofErr w:type="spellEnd"/>
            <w:r w:rsidRPr="00E17045">
              <w:rPr>
                <w:rFonts w:eastAsia="Arial"/>
              </w:rPr>
              <w:t xml:space="preserve"> </w:t>
            </w:r>
          </w:p>
          <w:p w14:paraId="7BBB220E" w14:textId="77777777" w:rsidR="00A740F1" w:rsidRPr="00E17045" w:rsidRDefault="00CF5FA9" w:rsidP="000D79A1">
            <w:pPr>
              <w:pStyle w:val="Style"/>
              <w:numPr>
                <w:ilvl w:val="0"/>
                <w:numId w:val="2"/>
              </w:numPr>
              <w:spacing w:before="23" w:line="269" w:lineRule="exact"/>
              <w:ind w:hanging="355"/>
              <w:textAlignment w:val="baseline"/>
            </w:pPr>
            <w:r w:rsidRPr="00E17045">
              <w:rPr>
                <w:rFonts w:eastAsia="Arial"/>
              </w:rPr>
              <w:t xml:space="preserve">b)   </w:t>
            </w:r>
            <w:r w:rsidR="00A740F1" w:rsidRPr="00E17045">
              <w:rPr>
                <w:rFonts w:eastAsia="Arial"/>
              </w:rPr>
              <w:t xml:space="preserve">Raportu końcowego - CSR - raport końcowy z badania klinicznego, przekazany nie później niż 5 miesięcy od zamknięcia bazy danych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2A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6D38C57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0CBBC01F" w14:textId="77777777" w:rsidR="00A740F1" w:rsidRPr="00E17045" w:rsidRDefault="00A740F1" w:rsidP="00A740F1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</w:tr>
      <w:bookmarkEnd w:id="1"/>
      <w:tr w:rsidR="00BD0EF0" w:rsidRPr="00E17045" w14:paraId="73F82410" w14:textId="77777777" w:rsidTr="004763B9">
        <w:tc>
          <w:tcPr>
            <w:tcW w:w="10641" w:type="dxa"/>
            <w:gridSpan w:val="2"/>
          </w:tcPr>
          <w:p w14:paraId="621CC065" w14:textId="77777777" w:rsidR="00BD0EF0" w:rsidRPr="00E17045" w:rsidRDefault="00BD0EF0" w:rsidP="00BD0EF0">
            <w:pPr>
              <w:pStyle w:val="Style"/>
              <w:spacing w:line="269" w:lineRule="exact"/>
              <w:jc w:val="center"/>
              <w:textAlignment w:val="baseline"/>
              <w:rPr>
                <w:b/>
              </w:rPr>
            </w:pPr>
            <w:r w:rsidRPr="00E17045">
              <w:rPr>
                <w:b/>
              </w:rPr>
              <w:t>RAZEM</w:t>
            </w:r>
          </w:p>
          <w:p w14:paraId="040DDAA8" w14:textId="77777777" w:rsidR="00BD0EF0" w:rsidRPr="00E17045" w:rsidRDefault="00BD0EF0" w:rsidP="00BD0EF0">
            <w:pPr>
              <w:pStyle w:val="Style"/>
              <w:spacing w:before="4" w:line="264" w:lineRule="exact"/>
              <w:jc w:val="center"/>
              <w:textAlignment w:val="baseline"/>
            </w:pPr>
            <w:r w:rsidRPr="00E17045">
              <w:rPr>
                <w:rFonts w:eastAsia="Arial"/>
              </w:rPr>
              <w:t>(suma wynagrodzeń wykazanych w kolumnie 3)</w:t>
            </w:r>
          </w:p>
        </w:tc>
        <w:tc>
          <w:tcPr>
            <w:tcW w:w="1830" w:type="dxa"/>
          </w:tcPr>
          <w:p w14:paraId="228A0B17" w14:textId="77777777" w:rsidR="00BD0EF0" w:rsidRPr="00E17045" w:rsidRDefault="00BD0EF0" w:rsidP="00FB17E3">
            <w:pPr>
              <w:pStyle w:val="Style"/>
              <w:spacing w:line="254" w:lineRule="exact"/>
              <w:textAlignment w:val="baseline"/>
              <w:rPr>
                <w:rFonts w:eastAsia="Arial"/>
                <w:b/>
                <w:u w:val="single"/>
              </w:rPr>
            </w:pPr>
          </w:p>
        </w:tc>
        <w:tc>
          <w:tcPr>
            <w:tcW w:w="1558" w:type="dxa"/>
          </w:tcPr>
          <w:p w14:paraId="24D843B4" w14:textId="77777777" w:rsidR="00BD0EF0" w:rsidRPr="00E17045" w:rsidRDefault="00BD0EF0" w:rsidP="00BD0EF0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E17045">
              <w:rPr>
                <w:rFonts w:eastAsia="Arial"/>
                <w:b/>
              </w:rPr>
              <w:t>---</w:t>
            </w:r>
          </w:p>
        </w:tc>
        <w:tc>
          <w:tcPr>
            <w:tcW w:w="1580" w:type="dxa"/>
          </w:tcPr>
          <w:p w14:paraId="17AA1BC5" w14:textId="77777777" w:rsidR="00BD0EF0" w:rsidRPr="00E17045" w:rsidRDefault="00BD0EF0" w:rsidP="00BD0EF0">
            <w:pPr>
              <w:pStyle w:val="Style"/>
              <w:spacing w:line="254" w:lineRule="exact"/>
              <w:jc w:val="center"/>
              <w:textAlignment w:val="baseline"/>
              <w:rPr>
                <w:rFonts w:eastAsia="Arial"/>
                <w:b/>
              </w:rPr>
            </w:pPr>
            <w:r w:rsidRPr="00E17045">
              <w:rPr>
                <w:rFonts w:eastAsia="Arial"/>
                <w:b/>
              </w:rPr>
              <w:t>---</w:t>
            </w:r>
          </w:p>
        </w:tc>
      </w:tr>
    </w:tbl>
    <w:p w14:paraId="118C6F4E" w14:textId="77777777" w:rsidR="0018366D" w:rsidRPr="00E17045" w:rsidRDefault="0018366D" w:rsidP="0018366D">
      <w:pPr>
        <w:pStyle w:val="Style"/>
        <w:spacing w:line="254" w:lineRule="exact"/>
        <w:textAlignment w:val="baseline"/>
        <w:rPr>
          <w:rFonts w:eastAsia="Arial"/>
          <w:b/>
        </w:rPr>
      </w:pPr>
    </w:p>
    <w:p w14:paraId="5396AF9E" w14:textId="77777777" w:rsidR="00BA4E06" w:rsidRPr="00E17045" w:rsidRDefault="00BA4E06" w:rsidP="0018366D">
      <w:pPr>
        <w:pStyle w:val="Style"/>
        <w:spacing w:line="254" w:lineRule="exact"/>
        <w:textAlignment w:val="baseline"/>
        <w:rPr>
          <w:rFonts w:eastAsia="Arial"/>
          <w:b/>
        </w:rPr>
      </w:pPr>
      <w:r w:rsidRPr="00E17045">
        <w:rPr>
          <w:rFonts w:eastAsia="Arial"/>
          <w:b/>
        </w:rPr>
        <w:t>Kwotę z kolumny 3 należy przenieść do formularza ofertowego</w:t>
      </w:r>
      <w:r w:rsidR="000D79A1" w:rsidRPr="00E17045">
        <w:rPr>
          <w:rFonts w:eastAsia="Arial"/>
          <w:b/>
        </w:rPr>
        <w:t xml:space="preserve"> (załącznik nr 1)</w:t>
      </w:r>
      <w:r w:rsidRPr="00E17045">
        <w:rPr>
          <w:rFonts w:eastAsia="Arial"/>
          <w:b/>
        </w:rPr>
        <w:t xml:space="preserve"> na str</w:t>
      </w:r>
      <w:r w:rsidR="00573E5B" w:rsidRPr="00E17045">
        <w:rPr>
          <w:rFonts w:eastAsia="Arial"/>
          <w:b/>
        </w:rPr>
        <w:t>.</w:t>
      </w:r>
      <w:r w:rsidRPr="00E17045">
        <w:rPr>
          <w:rFonts w:eastAsia="Arial"/>
          <w:b/>
        </w:rPr>
        <w:t xml:space="preserve"> 2.</w:t>
      </w:r>
    </w:p>
    <w:p w14:paraId="56DC27A6" w14:textId="77777777" w:rsidR="00EB4477" w:rsidRPr="00E17045" w:rsidRDefault="00A21BFD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  <w:rPr>
          <w:rFonts w:eastAsia="Arial"/>
          <w:w w:val="80"/>
        </w:rPr>
      </w:pPr>
      <w:bookmarkStart w:id="4" w:name="_Hlk34399020"/>
      <w:r w:rsidRPr="00E17045">
        <w:rPr>
          <w:rFonts w:eastAsia="Arial"/>
          <w:w w:val="80"/>
        </w:rPr>
        <w:lastRenderedPageBreak/>
        <w:tab/>
      </w:r>
    </w:p>
    <w:p w14:paraId="56E9F0AE" w14:textId="77777777" w:rsidR="00A740F1" w:rsidRPr="00E17045" w:rsidRDefault="00A740F1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67C33A32" w14:textId="77777777" w:rsidR="007D69E5" w:rsidRPr="00E17045" w:rsidRDefault="007D69E5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479C7B16" w14:textId="77777777" w:rsidR="007D69E5" w:rsidRPr="00E17045" w:rsidRDefault="007D69E5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592ADC8C" w14:textId="77777777" w:rsidR="00D637F6" w:rsidRPr="00E17045" w:rsidRDefault="00D637F6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5C5BD3BB" w14:textId="77777777" w:rsidR="000D79A1" w:rsidRPr="00E17045" w:rsidRDefault="000D79A1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49D683DA" w14:textId="77777777" w:rsidR="000D79A1" w:rsidRPr="00E17045" w:rsidRDefault="000D79A1" w:rsidP="003E4FFD">
      <w:pPr>
        <w:pStyle w:val="Style"/>
        <w:tabs>
          <w:tab w:val="left" w:pos="1"/>
          <w:tab w:val="left" w:pos="1094"/>
        </w:tabs>
        <w:spacing w:line="269" w:lineRule="exact"/>
        <w:jc w:val="both"/>
        <w:textAlignment w:val="baseline"/>
      </w:pPr>
    </w:p>
    <w:p w14:paraId="458D10A5" w14:textId="77777777" w:rsidR="007B7000" w:rsidRPr="00E17045" w:rsidRDefault="00B63A6F" w:rsidP="00C77C07">
      <w:pPr>
        <w:pStyle w:val="Style"/>
        <w:spacing w:line="280" w:lineRule="atLeast"/>
        <w:jc w:val="both"/>
        <w:rPr>
          <w:b/>
        </w:rPr>
      </w:pPr>
      <w:r w:rsidRPr="00E17045">
        <w:rPr>
          <w:b/>
        </w:rPr>
        <w:t>Zakres Działań i obowiązków Zamawiającego:</w:t>
      </w:r>
    </w:p>
    <w:p w14:paraId="4FC46A99" w14:textId="77777777" w:rsidR="00B63A6F" w:rsidRPr="00E17045" w:rsidRDefault="00B63A6F" w:rsidP="00C77C07">
      <w:pPr>
        <w:pStyle w:val="Style"/>
        <w:spacing w:line="280" w:lineRule="atLeast"/>
        <w:jc w:val="both"/>
        <w:rPr>
          <w:b/>
        </w:rPr>
      </w:pPr>
    </w:p>
    <w:p w14:paraId="3D3A558F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/>
        <w:jc w:val="both"/>
        <w:rPr>
          <w:rFonts w:eastAsia="Arial"/>
        </w:rPr>
      </w:pPr>
      <w:r w:rsidRPr="00E17045">
        <w:rPr>
          <w:rFonts w:eastAsia="Arial"/>
        </w:rPr>
        <w:t xml:space="preserve">Zamawiający zapewni badany produkt leczniczy do przeprowadzenia badania. </w:t>
      </w:r>
    </w:p>
    <w:p w14:paraId="01F130F6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 w:line="269" w:lineRule="exact"/>
        <w:jc w:val="both"/>
        <w:rPr>
          <w:rFonts w:eastAsia="Arial"/>
        </w:rPr>
      </w:pPr>
      <w:r w:rsidRPr="00E17045">
        <w:rPr>
          <w:rFonts w:eastAsia="Arial"/>
        </w:rPr>
        <w:t>Zamawiający zapewni transport materiału badawczego i dokumentacji badawczej podczas trwania Usługi.</w:t>
      </w:r>
    </w:p>
    <w:p w14:paraId="1CEFF0F6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 w:line="269" w:lineRule="exact"/>
        <w:jc w:val="both"/>
        <w:rPr>
          <w:rFonts w:eastAsia="Arial"/>
        </w:rPr>
      </w:pPr>
      <w:bookmarkStart w:id="5" w:name="_Hlk49856712"/>
      <w:r w:rsidRPr="00E17045">
        <w:rPr>
          <w:rFonts w:eastAsia="Arial"/>
        </w:rPr>
        <w:t xml:space="preserve">Zamawiający pokryje koszty opłat wynikające z realizacji zamówionej usługi CRO,  takie jak ubezpieczenie  odpowiedzialności cywilnej sponsora i badacza klinicznego w związku z prowadzeniem badania klinicznego, urzędowe opłaty rejestracji badania, inne koszty niezbędne do osiągnięcia celu usługi, nie wynikające z bieżącej działalności Wykonawcy. </w:t>
      </w:r>
    </w:p>
    <w:p w14:paraId="3BFBCB90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 w:line="269" w:lineRule="exact"/>
        <w:jc w:val="both"/>
        <w:rPr>
          <w:rFonts w:eastAsia="Arial"/>
        </w:rPr>
      </w:pPr>
      <w:r w:rsidRPr="00E17045">
        <w:rPr>
          <w:rFonts w:eastAsia="Arial"/>
        </w:rPr>
        <w:t xml:space="preserve">Partnerzy pokryją koszty wynagrodzenia badaczy, opłaty za przeprowadzone procedury medyczne i inne koszty wynikające z protokołu badania, z budżetu dostępnego w ramach Projektu.   </w:t>
      </w:r>
    </w:p>
    <w:bookmarkEnd w:id="5"/>
    <w:p w14:paraId="45BD14A6" w14:textId="77777777" w:rsidR="00410932" w:rsidRPr="00E17045" w:rsidRDefault="00410932" w:rsidP="00A84337">
      <w:pPr>
        <w:pStyle w:val="Style"/>
        <w:numPr>
          <w:ilvl w:val="0"/>
          <w:numId w:val="9"/>
        </w:numPr>
        <w:spacing w:before="23" w:line="269" w:lineRule="exact"/>
        <w:jc w:val="both"/>
        <w:rPr>
          <w:rFonts w:eastAsia="Arial"/>
        </w:rPr>
      </w:pPr>
      <w:r w:rsidRPr="00E17045">
        <w:rPr>
          <w:rFonts w:eastAsia="Arial"/>
        </w:rPr>
        <w:t>Zamawiający podejmuje decyzje o kontynuacji lub rezygnacji z kontynuowania projektu biorąc pod uwagę otrzymane dotychczas wyniki badań, wymagania prawne lub względy ekonomiczne.</w:t>
      </w:r>
    </w:p>
    <w:p w14:paraId="01CE0D22" w14:textId="77777777" w:rsidR="00B63A6F" w:rsidRPr="00E17045" w:rsidRDefault="00B63A6F" w:rsidP="00C77C07">
      <w:pPr>
        <w:pStyle w:val="Style"/>
        <w:spacing w:before="23" w:line="269" w:lineRule="exact"/>
        <w:jc w:val="both"/>
        <w:textAlignment w:val="baseline"/>
      </w:pPr>
    </w:p>
    <w:p w14:paraId="58DA893F" w14:textId="77777777" w:rsidR="00B63A6F" w:rsidRPr="00E17045" w:rsidRDefault="00B63A6F" w:rsidP="00C77C07">
      <w:pPr>
        <w:pStyle w:val="Style"/>
        <w:spacing w:before="23" w:line="269" w:lineRule="exact"/>
        <w:jc w:val="both"/>
        <w:textAlignment w:val="baseline"/>
      </w:pPr>
    </w:p>
    <w:bookmarkEnd w:id="4"/>
    <w:p w14:paraId="52D0230F" w14:textId="77777777" w:rsidR="00460A70" w:rsidRPr="00E17045" w:rsidRDefault="00460A70" w:rsidP="00E34736">
      <w:pPr>
        <w:pStyle w:val="Style"/>
        <w:spacing w:line="283" w:lineRule="exact"/>
        <w:textAlignment w:val="baseline"/>
      </w:pPr>
    </w:p>
    <w:bookmarkStart w:id="6" w:name="_GoBack"/>
    <w:bookmarkEnd w:id="6"/>
    <w:p w14:paraId="15DDD9E2" w14:textId="77777777" w:rsidR="007B7000" w:rsidRPr="00E17045" w:rsidRDefault="001E3214" w:rsidP="00460A70">
      <w:pPr>
        <w:pStyle w:val="Style"/>
        <w:spacing w:line="283" w:lineRule="exact"/>
        <w:textAlignment w:val="baseline"/>
      </w:pPr>
      <w:r w:rsidRPr="00E17045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AFC67FF" wp14:editId="402EAAFB">
                <wp:simplePos x="0" y="0"/>
                <wp:positionH relativeFrom="page">
                  <wp:posOffset>6350</wp:posOffset>
                </wp:positionH>
                <wp:positionV relativeFrom="page">
                  <wp:posOffset>3672840</wp:posOffset>
                </wp:positionV>
                <wp:extent cx="0" cy="2085340"/>
                <wp:effectExtent l="6350" t="5715" r="1270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53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ECE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A1F5" id="Line 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289.2pt" to=".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" strokecolor="#cecece" strokeweight=".7pt">
                <w10:wrap anchorx="page" anchory="page"/>
              </v:line>
            </w:pict>
          </mc:Fallback>
        </mc:AlternateContent>
      </w:r>
      <w:r w:rsidRPr="00E17045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9623713" wp14:editId="27E7B037">
                <wp:simplePos x="0" y="0"/>
                <wp:positionH relativeFrom="page">
                  <wp:posOffset>18415</wp:posOffset>
                </wp:positionH>
                <wp:positionV relativeFrom="page">
                  <wp:posOffset>1673225</wp:posOffset>
                </wp:positionV>
                <wp:extent cx="0" cy="1182370"/>
                <wp:effectExtent l="8890" t="6350" r="1016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23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ECE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B302B" id="Line 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5pt,131.75pt" to="1.4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" strokecolor="#cecece" strokeweight=".7pt">
                <w10:wrap anchorx="page" anchory="page"/>
              </v:line>
            </w:pict>
          </mc:Fallback>
        </mc:AlternateContent>
      </w:r>
    </w:p>
    <w:sectPr w:rsidR="007B7000" w:rsidRPr="00E17045" w:rsidSect="001A0A5A">
      <w:headerReference w:type="default" r:id="rId8"/>
      <w:type w:val="continuous"/>
      <w:pgSz w:w="16840" w:h="11900" w:orient="landscape"/>
      <w:pgMar w:top="1042" w:right="1296" w:bottom="1416" w:left="36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E27D" w14:textId="77777777" w:rsidR="00944C6A" w:rsidRDefault="00944C6A" w:rsidP="00944C6A">
      <w:r>
        <w:separator/>
      </w:r>
    </w:p>
  </w:endnote>
  <w:endnote w:type="continuationSeparator" w:id="0">
    <w:p w14:paraId="258C668B" w14:textId="77777777" w:rsidR="00944C6A" w:rsidRDefault="00944C6A" w:rsidP="0094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A980" w14:textId="77777777" w:rsidR="00944C6A" w:rsidRDefault="00944C6A" w:rsidP="00944C6A">
      <w:r>
        <w:separator/>
      </w:r>
    </w:p>
  </w:footnote>
  <w:footnote w:type="continuationSeparator" w:id="0">
    <w:p w14:paraId="6C26024C" w14:textId="77777777" w:rsidR="00944C6A" w:rsidRDefault="00944C6A" w:rsidP="0094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E2DB" w14:textId="77777777" w:rsidR="00944C6A" w:rsidRDefault="00944C6A">
    <w:pPr>
      <w:pStyle w:val="Nagwek"/>
    </w:pPr>
  </w:p>
  <w:p w14:paraId="4873B60A" w14:textId="3DBA2DA4" w:rsidR="00944C6A" w:rsidRPr="00944C6A" w:rsidRDefault="00944C6A" w:rsidP="00944C6A">
    <w:pPr>
      <w:outlineLvl w:val="0"/>
      <w:rPr>
        <w:rFonts w:ascii="Times New Roman" w:eastAsia="Times New Roman" w:hAnsi="Times New Roman" w:cs="Times New Roman"/>
        <w:b/>
        <w:sz w:val="24"/>
        <w:szCs w:val="24"/>
        <w:lang w:val="pl-PL" w:eastAsia="pl-PL"/>
      </w:rPr>
    </w:pPr>
    <w:r w:rsidRPr="00944C6A">
      <w:rPr>
        <w:rFonts w:ascii="Calibri" w:eastAsia="Times New Roman" w:hAnsi="Calibri" w:cs="Times New Roman"/>
        <w:b/>
        <w:lang w:val="pl-PL" w:eastAsia="pl-PL"/>
      </w:rPr>
      <w:t>OR.DZP.270.</w:t>
    </w:r>
    <w:r w:rsidR="00A366E6">
      <w:rPr>
        <w:rFonts w:ascii="Calibri" w:eastAsia="Times New Roman" w:hAnsi="Calibri" w:cs="Times New Roman"/>
        <w:b/>
        <w:lang w:val="pl-PL" w:eastAsia="pl-PL"/>
      </w:rPr>
      <w:t>14</w:t>
    </w:r>
    <w:r w:rsidRPr="00944C6A">
      <w:rPr>
        <w:rFonts w:ascii="Calibri" w:eastAsia="Times New Roman" w:hAnsi="Calibri" w:cs="Times New Roman"/>
        <w:b/>
        <w:lang w:val="pl-PL" w:eastAsia="pl-PL"/>
      </w:rPr>
      <w:t>.2020.</w:t>
    </w:r>
  </w:p>
  <w:p w14:paraId="1A1B663E" w14:textId="77777777" w:rsidR="00944C6A" w:rsidRDefault="00944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6CC"/>
    <w:multiLevelType w:val="singleLevel"/>
    <w:tmpl w:val="4424A6F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" w15:restartNumberingAfterBreak="0">
    <w:nsid w:val="32F51965"/>
    <w:multiLevelType w:val="hybridMultilevel"/>
    <w:tmpl w:val="B6DEF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0E8"/>
    <w:multiLevelType w:val="hybridMultilevel"/>
    <w:tmpl w:val="D0D07592"/>
    <w:lvl w:ilvl="0" w:tplc="BD42455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B0A03"/>
    <w:multiLevelType w:val="singleLevel"/>
    <w:tmpl w:val="8AF8B8AE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Arial" w:hAnsi="Times New Roman" w:cs="Times New Roman"/>
        <w:b/>
        <w:sz w:val="24"/>
        <w:szCs w:val="24"/>
      </w:rPr>
    </w:lvl>
  </w:abstractNum>
  <w:abstractNum w:abstractNumId="4" w15:restartNumberingAfterBreak="0">
    <w:nsid w:val="437B0E62"/>
    <w:multiLevelType w:val="hybridMultilevel"/>
    <w:tmpl w:val="D4C4F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101A"/>
    <w:multiLevelType w:val="hybridMultilevel"/>
    <w:tmpl w:val="BFEC7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009A"/>
    <w:multiLevelType w:val="hybridMultilevel"/>
    <w:tmpl w:val="738082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416BF"/>
    <w:multiLevelType w:val="hybridMultilevel"/>
    <w:tmpl w:val="AA3898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F0146"/>
    <w:multiLevelType w:val="hybridMultilevel"/>
    <w:tmpl w:val="6F8A8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6D1D"/>
    <w:multiLevelType w:val="hybridMultilevel"/>
    <w:tmpl w:val="92043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00"/>
    <w:rsid w:val="000944C6"/>
    <w:rsid w:val="000B0C45"/>
    <w:rsid w:val="000D79A1"/>
    <w:rsid w:val="00101C86"/>
    <w:rsid w:val="00151642"/>
    <w:rsid w:val="0018366D"/>
    <w:rsid w:val="001A0A5A"/>
    <w:rsid w:val="001A3848"/>
    <w:rsid w:val="001E3214"/>
    <w:rsid w:val="00235792"/>
    <w:rsid w:val="002476E4"/>
    <w:rsid w:val="0026375D"/>
    <w:rsid w:val="00273EFA"/>
    <w:rsid w:val="002D6AEA"/>
    <w:rsid w:val="002E77A3"/>
    <w:rsid w:val="002F70BF"/>
    <w:rsid w:val="003032EC"/>
    <w:rsid w:val="00306346"/>
    <w:rsid w:val="00333844"/>
    <w:rsid w:val="00374D62"/>
    <w:rsid w:val="00393AF9"/>
    <w:rsid w:val="003A2B1C"/>
    <w:rsid w:val="003A377B"/>
    <w:rsid w:val="003C41F9"/>
    <w:rsid w:val="003D5968"/>
    <w:rsid w:val="003E4FFD"/>
    <w:rsid w:val="00401F57"/>
    <w:rsid w:val="00410932"/>
    <w:rsid w:val="00436141"/>
    <w:rsid w:val="004470BD"/>
    <w:rsid w:val="00460A70"/>
    <w:rsid w:val="00493C4B"/>
    <w:rsid w:val="004D34A6"/>
    <w:rsid w:val="00512C5A"/>
    <w:rsid w:val="00541A7D"/>
    <w:rsid w:val="005678AD"/>
    <w:rsid w:val="00573E5B"/>
    <w:rsid w:val="0059475B"/>
    <w:rsid w:val="005A7C1E"/>
    <w:rsid w:val="005C4050"/>
    <w:rsid w:val="0061337F"/>
    <w:rsid w:val="00677863"/>
    <w:rsid w:val="006F1D8A"/>
    <w:rsid w:val="00736645"/>
    <w:rsid w:val="00750E8A"/>
    <w:rsid w:val="00775245"/>
    <w:rsid w:val="00786991"/>
    <w:rsid w:val="00794E31"/>
    <w:rsid w:val="007B7000"/>
    <w:rsid w:val="007D69E5"/>
    <w:rsid w:val="00827369"/>
    <w:rsid w:val="00836C92"/>
    <w:rsid w:val="008D4356"/>
    <w:rsid w:val="00944C6A"/>
    <w:rsid w:val="00951032"/>
    <w:rsid w:val="00956FAD"/>
    <w:rsid w:val="00963A5A"/>
    <w:rsid w:val="009A374D"/>
    <w:rsid w:val="00A21BFD"/>
    <w:rsid w:val="00A366E6"/>
    <w:rsid w:val="00A740F1"/>
    <w:rsid w:val="00A84337"/>
    <w:rsid w:val="00B63A6F"/>
    <w:rsid w:val="00B81DD5"/>
    <w:rsid w:val="00BA4E06"/>
    <w:rsid w:val="00BD0EF0"/>
    <w:rsid w:val="00BF3496"/>
    <w:rsid w:val="00C23F04"/>
    <w:rsid w:val="00C24124"/>
    <w:rsid w:val="00C40B16"/>
    <w:rsid w:val="00C77C07"/>
    <w:rsid w:val="00C80C8C"/>
    <w:rsid w:val="00CF5FA9"/>
    <w:rsid w:val="00CF7E20"/>
    <w:rsid w:val="00D3785C"/>
    <w:rsid w:val="00D41E25"/>
    <w:rsid w:val="00D637F6"/>
    <w:rsid w:val="00D75371"/>
    <w:rsid w:val="00D87985"/>
    <w:rsid w:val="00D9001F"/>
    <w:rsid w:val="00E17045"/>
    <w:rsid w:val="00E17D77"/>
    <w:rsid w:val="00E17F7C"/>
    <w:rsid w:val="00E26868"/>
    <w:rsid w:val="00E34736"/>
    <w:rsid w:val="00E55338"/>
    <w:rsid w:val="00EA3EAC"/>
    <w:rsid w:val="00EB4477"/>
    <w:rsid w:val="00F13032"/>
    <w:rsid w:val="00F2258F"/>
    <w:rsid w:val="00F23634"/>
    <w:rsid w:val="00F46D37"/>
    <w:rsid w:val="00F87003"/>
    <w:rsid w:val="00FB79FA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089E"/>
  <w15:docId w15:val="{ACEB3D69-9208-4522-BECE-7B3A51C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6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C6A"/>
  </w:style>
  <w:style w:type="paragraph" w:styleId="Stopka">
    <w:name w:val="footer"/>
    <w:basedOn w:val="Normalny"/>
    <w:link w:val="StopkaZnak"/>
    <w:uiPriority w:val="99"/>
    <w:unhideWhenUsed/>
    <w:rsid w:val="00944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C6A"/>
  </w:style>
  <w:style w:type="paragraph" w:styleId="Akapitzlist">
    <w:name w:val="List Paragraph"/>
    <w:basedOn w:val="Normalny"/>
    <w:uiPriority w:val="34"/>
    <w:qFormat/>
    <w:rsid w:val="001516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6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A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A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A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1700-0B2E-41E1-A0AC-AD40E779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2024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Małetka</dc:creator>
  <cp:lastModifiedBy>Magdalena Popińska</cp:lastModifiedBy>
  <cp:revision>22</cp:revision>
  <dcterms:created xsi:type="dcterms:W3CDTF">2020-10-30T13:17:00Z</dcterms:created>
  <dcterms:modified xsi:type="dcterms:W3CDTF">2020-11-05T10:13:00Z</dcterms:modified>
</cp:coreProperties>
</file>