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right"/>
      </w:pPr>
      <w:r>
        <w:rPr/>
      </w:r>
    </w:p>
    <w:p>
      <w:pPr>
        <w:pStyle w:val="style0"/>
        <w:jc w:val="both"/>
      </w:pPr>
      <w:r>
        <w:rPr>
          <w:rFonts w:ascii="Verdana" w:cs="Tahoma" w:hAnsi="Verdana"/>
          <w:sz w:val="16"/>
          <w:szCs w:val="16"/>
        </w:rPr>
      </w:r>
    </w:p>
    <w:p>
      <w:pPr>
        <w:pStyle w:val="style0"/>
        <w:spacing w:line="360" w:lineRule="auto"/>
      </w:pPr>
      <w:r>
        <w:rPr>
          <w:rFonts w:ascii="Verdana" w:cs="Tahoma" w:hAnsi="Verdana"/>
          <w:b/>
          <w:sz w:val="16"/>
          <w:szCs w:val="16"/>
          <w:u w:val="single"/>
        </w:rPr>
        <w:t>Opis konstrukcji UNIWERSALNEGO ZESTAWU OGLĘDZINOWEGO</w:t>
      </w:r>
    </w:p>
    <w:p>
      <w:pPr>
        <w:pStyle w:val="style30"/>
        <w:numPr>
          <w:ilvl w:val="0"/>
          <w:numId w:val="4"/>
        </w:numPr>
        <w:ind w:hanging="567" w:left="567" w:right="0"/>
      </w:pPr>
      <w:r>
        <w:rPr>
          <w:rFonts w:ascii="Verdana" w:hAnsi="Verdana"/>
          <w:b/>
          <w:sz w:val="16"/>
          <w:szCs w:val="16"/>
        </w:rPr>
        <w:t>Walizka dostosowana do specyficznych warunków pracy technika kryminalistyki na miejscu zdarzenia</w:t>
      </w:r>
      <w:r>
        <w:rPr>
          <w:rFonts w:ascii="Verdana" w:hAnsi="Verdana"/>
          <w:sz w:val="16"/>
          <w:szCs w:val="16"/>
        </w:rPr>
        <w:t xml:space="preserve"> </w:t>
      </w:r>
    </w:p>
    <w:p>
      <w:pPr>
        <w:pStyle w:val="style30"/>
        <w:numPr>
          <w:ilvl w:val="0"/>
          <w:numId w:val="3"/>
        </w:numPr>
        <w:ind w:hanging="567" w:left="1134" w:right="0"/>
      </w:pPr>
      <w:r>
        <w:rPr>
          <w:rFonts w:ascii="Verdana" w:hAnsi="Verdana"/>
          <w:sz w:val="16"/>
          <w:szCs w:val="16"/>
        </w:rPr>
        <w:t>boki walizki wykonane z wodoodpornej sklejki 4 mm typu „STUCCO” tj. z wprasowaną zewnętrznie blachą aluminiową,</w:t>
      </w:r>
    </w:p>
    <w:p>
      <w:pPr>
        <w:pStyle w:val="style30"/>
        <w:numPr>
          <w:ilvl w:val="0"/>
          <w:numId w:val="3"/>
        </w:numPr>
        <w:ind w:hanging="567" w:left="1134" w:right="0"/>
      </w:pPr>
      <w:r>
        <w:rPr>
          <w:rFonts w:ascii="Verdana" w:hAnsi="Verdana"/>
          <w:sz w:val="16"/>
          <w:szCs w:val="16"/>
        </w:rPr>
        <w:t>krawędzie walizki wzmocnione kątownikami aluminiowymi 25 x 25  x 1,5 mm i stalowymi okuciami na narożnikach,</w:t>
      </w:r>
    </w:p>
    <w:p>
      <w:pPr>
        <w:pStyle w:val="style30"/>
        <w:numPr>
          <w:ilvl w:val="0"/>
          <w:numId w:val="3"/>
        </w:numPr>
        <w:ind w:hanging="567" w:left="1134" w:right="0"/>
      </w:pPr>
      <w:r>
        <w:rPr>
          <w:rFonts w:ascii="Verdana" w:hAnsi="Verdana"/>
          <w:sz w:val="16"/>
          <w:szCs w:val="16"/>
        </w:rPr>
        <w:t>krawędzie wieka i dna walizki wzmocnione aluminiowym profilami zamykającymi  U-hybrydowymi oraz stalowymi kątownikami</w:t>
      </w:r>
    </w:p>
    <w:p>
      <w:pPr>
        <w:pStyle w:val="style30"/>
        <w:numPr>
          <w:ilvl w:val="0"/>
          <w:numId w:val="3"/>
        </w:numPr>
        <w:ind w:hanging="567" w:left="1134" w:right="0"/>
      </w:pPr>
      <w:r>
        <w:rPr>
          <w:rFonts w:ascii="Verdana" w:hAnsi="Verdana"/>
          <w:sz w:val="16"/>
          <w:szCs w:val="16"/>
        </w:rPr>
        <w:t>walizka wyposażona w dwa zamki typu UNICLIP,</w:t>
      </w:r>
    </w:p>
    <w:p>
      <w:pPr>
        <w:pStyle w:val="style30"/>
        <w:numPr>
          <w:ilvl w:val="0"/>
          <w:numId w:val="3"/>
        </w:numPr>
        <w:ind w:hanging="567" w:left="1134" w:right="0"/>
      </w:pPr>
      <w:r>
        <w:rPr>
          <w:rFonts w:ascii="Verdana" w:hAnsi="Verdana"/>
          <w:sz w:val="16"/>
          <w:szCs w:val="16"/>
        </w:rPr>
        <w:t>wewnątrz walizki zamontowane blokady wieka zapobiegające jego samoistnemu zamykaniu się,</w:t>
      </w:r>
    </w:p>
    <w:p>
      <w:pPr>
        <w:pStyle w:val="style30"/>
        <w:numPr>
          <w:ilvl w:val="0"/>
          <w:numId w:val="3"/>
        </w:numPr>
        <w:ind w:hanging="567" w:left="1134" w:right="0"/>
      </w:pPr>
      <w:r>
        <w:rPr>
          <w:rFonts w:ascii="Verdana" w:hAnsi="Verdana"/>
          <w:sz w:val="16"/>
          <w:szCs w:val="16"/>
        </w:rPr>
        <w:t>ścianki wewnętrzne walizki pokryte pianką techniczną czarną LD 5 mm,</w:t>
      </w:r>
    </w:p>
    <w:p>
      <w:pPr>
        <w:pStyle w:val="style30"/>
        <w:numPr>
          <w:ilvl w:val="0"/>
          <w:numId w:val="3"/>
        </w:numPr>
        <w:ind w:hanging="567" w:left="1134" w:right="0"/>
      </w:pPr>
      <w:r>
        <w:rPr>
          <w:rFonts w:ascii="Verdana" w:hAnsi="Verdana"/>
          <w:sz w:val="16"/>
          <w:szCs w:val="16"/>
        </w:rPr>
        <w:t>na dwóch płaszczyznach walizki gumowe nóżki,</w:t>
      </w:r>
    </w:p>
    <w:p>
      <w:pPr>
        <w:pStyle w:val="style30"/>
        <w:numPr>
          <w:ilvl w:val="0"/>
          <w:numId w:val="3"/>
        </w:numPr>
        <w:ind w:hanging="567" w:left="1134" w:right="0"/>
      </w:pPr>
      <w:r>
        <w:rPr>
          <w:rFonts w:ascii="Verdana" w:hAnsi="Verdana"/>
          <w:sz w:val="16"/>
          <w:szCs w:val="16"/>
        </w:rPr>
        <w:t>stopień ochrony IP54.</w:t>
      </w:r>
    </w:p>
    <w:p>
      <w:pPr>
        <w:pStyle w:val="style0"/>
        <w:ind w:hanging="567" w:left="1134" w:right="0"/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W celu zapewnienia szybkiego dostępu do wyposażenia, elementy wyposażenia rozmieszczone zostały:</w:t>
      </w:r>
    </w:p>
    <w:p>
      <w:pPr>
        <w:pStyle w:val="style0"/>
        <w:numPr>
          <w:ilvl w:val="0"/>
          <w:numId w:val="2"/>
        </w:numPr>
        <w:ind w:hanging="567" w:left="1134" w:right="0"/>
      </w:pPr>
      <w:r>
        <w:rPr>
          <w:rFonts w:ascii="Verdana" w:hAnsi="Verdana"/>
          <w:sz w:val="16"/>
          <w:szCs w:val="16"/>
        </w:rPr>
        <w:t>na palecie w wieku,</w:t>
      </w:r>
    </w:p>
    <w:p>
      <w:pPr>
        <w:pStyle w:val="style0"/>
        <w:numPr>
          <w:ilvl w:val="0"/>
          <w:numId w:val="2"/>
        </w:numPr>
        <w:ind w:hanging="567" w:left="1134" w:right="0"/>
      </w:pPr>
      <w:r>
        <w:rPr>
          <w:rFonts w:ascii="Verdana" w:hAnsi="Verdana"/>
          <w:sz w:val="16"/>
          <w:szCs w:val="16"/>
        </w:rPr>
        <w:t>na palecie uchylnej,</w:t>
      </w:r>
    </w:p>
    <w:p>
      <w:pPr>
        <w:pStyle w:val="style0"/>
        <w:numPr>
          <w:ilvl w:val="0"/>
          <w:numId w:val="2"/>
        </w:numPr>
        <w:ind w:hanging="567" w:left="1134" w:right="0"/>
      </w:pPr>
      <w:r>
        <w:rPr>
          <w:rFonts w:ascii="Verdana" w:hAnsi="Verdana"/>
          <w:sz w:val="16"/>
          <w:szCs w:val="16"/>
        </w:rPr>
        <w:t xml:space="preserve">w pyłoszczelnym organizerze daktyloskopijnym, </w:t>
      </w:r>
    </w:p>
    <w:p>
      <w:pPr>
        <w:pStyle w:val="style0"/>
        <w:numPr>
          <w:ilvl w:val="0"/>
          <w:numId w:val="2"/>
        </w:numPr>
        <w:ind w:hanging="567" w:left="1134" w:right="0"/>
      </w:pPr>
      <w:r>
        <w:rPr>
          <w:rFonts w:ascii="Verdana" w:hAnsi="Verdana"/>
          <w:sz w:val="16"/>
          <w:szCs w:val="16"/>
        </w:rPr>
        <w:t>organizerze mechanoskopijnym,</w:t>
      </w:r>
    </w:p>
    <w:p>
      <w:pPr>
        <w:pStyle w:val="style0"/>
        <w:numPr>
          <w:ilvl w:val="0"/>
          <w:numId w:val="2"/>
        </w:numPr>
        <w:ind w:hanging="567" w:left="1134" w:right="0"/>
      </w:pPr>
      <w:r>
        <w:rPr>
          <w:rFonts w:ascii="Verdana" w:hAnsi="Verdana"/>
          <w:sz w:val="16"/>
          <w:szCs w:val="16"/>
        </w:rPr>
        <w:t>pyłoszczelnym organizerze na pędzle daktyloskopijne,</w:t>
      </w:r>
    </w:p>
    <w:p>
      <w:pPr>
        <w:pStyle w:val="style0"/>
        <w:numPr>
          <w:ilvl w:val="0"/>
          <w:numId w:val="2"/>
        </w:numPr>
        <w:ind w:hanging="567" w:left="1134" w:right="0"/>
      </w:pPr>
      <w:r>
        <w:rPr>
          <w:rFonts w:ascii="Verdana" w:hAnsi="Verdana"/>
          <w:sz w:val="16"/>
          <w:szCs w:val="16"/>
        </w:rPr>
        <w:t>organizerze na numerki.</w:t>
      </w:r>
    </w:p>
    <w:p>
      <w:pPr>
        <w:pStyle w:val="style0"/>
        <w:ind w:hanging="0" w:left="318" w:right="0"/>
      </w:pPr>
      <w:r>
        <w:rPr>
          <w:rFonts w:ascii="Verdana" w:hAnsi="Verdana"/>
          <w:sz w:val="16"/>
          <w:szCs w:val="16"/>
        </w:rPr>
      </w:r>
    </w:p>
    <w:p>
      <w:pPr>
        <w:pStyle w:val="style30"/>
        <w:numPr>
          <w:ilvl w:val="0"/>
          <w:numId w:val="4"/>
        </w:numPr>
        <w:spacing w:line="360" w:lineRule="auto"/>
        <w:ind w:hanging="567" w:left="567" w:right="0"/>
      </w:pPr>
      <w:r>
        <w:rPr>
          <w:rFonts w:ascii="Verdana" w:cs="Tahoma" w:hAnsi="Verdana"/>
          <w:b/>
          <w:sz w:val="16"/>
          <w:szCs w:val="16"/>
        </w:rPr>
        <w:t>Rozmieszczenie wyposażenia walizki:</w:t>
      </w:r>
    </w:p>
    <w:p>
      <w:pPr>
        <w:pStyle w:val="style0"/>
        <w:jc w:val="both"/>
      </w:pPr>
      <w:r>
        <w:rPr>
          <w:rFonts w:ascii="Verdana" w:cs="Tahoma" w:hAnsi="Verdana"/>
          <w:sz w:val="16"/>
          <w:szCs w:val="16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34"/>
        <w:gridCol w:w="8220"/>
        <w:gridCol w:w="1135"/>
      </w:tblGrid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LP</w:t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NAZWA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ILOŚĆ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9889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Organizer mechanoskopijny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 xml:space="preserve">młotek 300 g 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ind w:hanging="0" w:left="0" w:right="-288"/>
            </w:pPr>
            <w:r>
              <w:rPr>
                <w:rFonts w:ascii="Verdana" w:hAnsi="Verdana"/>
                <w:sz w:val="16"/>
                <w:szCs w:val="16"/>
              </w:rPr>
              <w:t xml:space="preserve">szczypce płaskie uniwersalne 160 mm, klasa izolacji min. 500 V 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 xml:space="preserve">szczypce boczne 160 mm, klasa izolacji min. 500 V, 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 xml:space="preserve">próbnik napięć („neonówka”) 100-250 V, 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 xml:space="preserve">przecinak szer. 20 mm, dł. całk. 150 mm </w:t>
            </w:r>
            <w:r>
              <w:rPr>
                <w:rFonts w:ascii="Symbol" w:hAnsi="Symbol"/>
                <w:sz w:val="16"/>
                <w:szCs w:val="16"/>
              </w:rPr>
              <w:t>±</w:t>
            </w:r>
            <w:r>
              <w:rPr>
                <w:rFonts w:ascii="Verdana" w:hAnsi="Verdana"/>
                <w:sz w:val="16"/>
                <w:szCs w:val="16"/>
              </w:rPr>
              <w:t xml:space="preserve"> 10 mm, utwardzany 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 xml:space="preserve">dłuto stolarskie 12 mm, dł. całk. 250 mm </w:t>
            </w:r>
            <w:r>
              <w:rPr>
                <w:rFonts w:ascii="Symbol" w:hAnsi="Symbol"/>
                <w:sz w:val="16"/>
                <w:szCs w:val="16"/>
              </w:rPr>
              <w:t>±</w:t>
            </w:r>
            <w:r>
              <w:rPr>
                <w:rFonts w:ascii="Verdana" w:hAnsi="Verdana"/>
                <w:sz w:val="16"/>
                <w:szCs w:val="16"/>
              </w:rPr>
              <w:t xml:space="preserve"> 10 mm, 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 xml:space="preserve">szpachelka szer. 30 - 40 mm, 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 xml:space="preserve">piłka do metalu w uchwycie, dł. 15 cm., 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zapasowe ostrza do piłki do metalu,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5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nóż do szkła,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klucz nastawny „szwedzki” 8”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suwmiarka 150 mm z podziałką noniusza o dokładności min 0,1 mm,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taśma miernicza metalowa 2 m.,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taśma miernicza parciana z kołowrotkiem, 10 m,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rękawice robocze „nakrapiane”, rozmiar nr 8-9,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para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komplet kluczy i nasadek:</w:t>
              <w:br/>
              <w:t>-  pokrętło ręczne,</w:t>
              <w:br/>
              <w:t>-  adaptery, 3 szt.,</w:t>
              <w:br/>
              <w:t>-  klucze nasadkowe 4 – 13 mm, 12 szt</w:t>
              <w:br/>
              <w:t>-  bity H1, H2, H3, H4,</w:t>
            </w:r>
          </w:p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 xml:space="preserve">-  bity T10 T15, TT20, T25, </w:t>
            </w:r>
          </w:p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-  bity płaskie 4, 5, 6, 7 mm</w:t>
            </w:r>
          </w:p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-  bity PH1, PH2, PH3,</w:t>
            </w:r>
          </w:p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-  bity PZ1, PZ2, PZ3,</w:t>
              <w:br/>
              <w:t>-  klucze ampulowe 1,5 mm – 10 mm długie, 9 szt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kpl.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9889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Organizer daktyloskopijny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proszek daktyloskopijny argentorat, 30 ml,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op.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 xml:space="preserve">proszek daktyloskopijny magnetyczny srebrny 30 ml, 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op.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 xml:space="preserve">proszek daktyloskopijny magnetyczny czarny, 30 ml, 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op.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 xml:space="preserve">proszek daktyloskopijny magnetyczny biały, 30 ml, 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op.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 xml:space="preserve">proszek daktyloskopijny antystatyczny srebrny, 30 ml, 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op.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 xml:space="preserve">proszek daktyloskopijny antystatyczny czarny 30 ml, 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op.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 xml:space="preserve">proszek daktyloskopijny bichromatyczny 30 ml, 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op.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 xml:space="preserve">proszek daktyloskopijny bichromatyczny magnetyczny 30 ml, 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op.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 xml:space="preserve">folia daktyloskopijna przezroczysta, w rolce szer. 5 cm i dł. 9,1 m., 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folia daktyloskopijna przezroczysta, w rolce szer. 10 cm i dł. 9,1 m.,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folia daktyloskopijna przezroczysta rozciągliwa, w rolce szer. 5 cm i dł. 9,1 m.,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poduszka daktyloskopijna do daktyloskopowania EZID300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łyżka do daktyloskopowania zwłok tzw "trupia łyżka"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rękawiczki bawełniane, rozmiar nr 8-9,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2 pary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tampony higieniczne, op. min 50 szt.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op.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9889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Organizer na pędzle daktyloskopijne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pędzel daktyloskopijny, płaski, szer. skuwki 2,5 cm,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pędzel daktyloskopijny z włókna szklanego, okrągły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2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 xml:space="preserve">pędzel-aplikator do proszków magnetycznych, 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9889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Organizer traseologiczny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 xml:space="preserve">ramka składana do wykonywania gipsowych i silikonowych odlewów, o wym. min 120 x 220 mm </w:t>
            </w:r>
            <w:r>
              <w:rPr>
                <w:rFonts w:ascii="Symbol" w:hAnsi="Symbol"/>
                <w:sz w:val="16"/>
                <w:szCs w:val="16"/>
              </w:rPr>
              <w:t>±</w:t>
            </w:r>
            <w:r>
              <w:rPr>
                <w:rFonts w:ascii="Verdana" w:hAnsi="Verdana"/>
                <w:sz w:val="16"/>
                <w:szCs w:val="16"/>
              </w:rPr>
              <w:t xml:space="preserve"> 20 mm i max 240 x 440 mm </w:t>
            </w:r>
            <w:r>
              <w:rPr>
                <w:rFonts w:ascii="Symbol" w:hAnsi="Symbol"/>
                <w:sz w:val="16"/>
                <w:szCs w:val="16"/>
              </w:rPr>
              <w:t>±</w:t>
            </w:r>
            <w:r>
              <w:rPr>
                <w:rFonts w:ascii="Verdana" w:hAnsi="Verdana"/>
                <w:sz w:val="16"/>
                <w:szCs w:val="16"/>
              </w:rPr>
              <w:t xml:space="preserve"> 20 mm,               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 xml:space="preserve">miseczka do mieszania gipsu i masy silikonowej, 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 xml:space="preserve">spryskiwacz z atomizerem, poj. 200 ml, 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 xml:space="preserve">olej silikonowy w aerozolu, min. 200 ml, 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op.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 xml:space="preserve">lakier w aerozolu, min. 200 ml 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op.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masa silikonowa „MIKROSIL”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op.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 xml:space="preserve">plastikowa szpatułka do mieszania silikonu, 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szpatułki drewniane,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5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fiolki plastikowe z korkiem, 1,5 ml,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10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słoiczki plastikowe zakręcane, 60 ml,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3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słoiczki plastikowe zakręcane, 120 ml,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3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9889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Organizer na numerki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 xml:space="preserve">znaczniki – numery ewidencyjne dwustronne do sporządzania dokumentacji fotograficznej od 1-20, wym. 7 x 10 cm., 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kpl.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 xml:space="preserve">znaczniki – numery ewidencyjne „magnetyczne” do sporządzania dokumentacji fotograficznej od 1-20, wym. 7 x 10 cm., 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kpl.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znaczniki – strzałki „magnetyczne” do sporządzania dokumentacji fotograficznej, - 10 szt. w tym jedna z napisem „NORTH”,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kpl.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 xml:space="preserve">znaczniki – strzałki dwustronne do sporządzania dokumentacji fotograficznej, - 10 szt. w tym jedna z napisem „NORTH”,. 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kpl.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 xml:space="preserve">znaczniki – skala fotograficzna plastikowa, z kątem prostym, 15/30 cm., 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9889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Paleta w wieku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 xml:space="preserve">znaczniki – skala fotograficzna "magnetyczna" 50 cm., 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 xml:space="preserve">znaczniki – skala fotograficzna plastikowa 50 cm., 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podkładka z "klipsem" pod dokumenty,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szt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probówki z korkiem, 10 ml,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2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probówki z korkiem, 15 ml,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2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dalmierz laserowy, zakres pomiaru min 50 m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termometr z wyświetlaczem ciekłokrystalicznym, zakres pomiaru – 50 °C do + 300 °C, dokładność odczytu 0,1 ºC, możliwość odczytu temperatury w ºC i ºF (do pomiaru temperatury otoczenia)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pędzel daktyloskopijny z puchu marabuta z aplikatorem w opakowaniu ochronnym typu „piórnik”,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kpl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kompas,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sączki z bibuły, 10 szt. w op,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op.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kompresy z gazy jałowej, w opakowaniach po 3 sztuki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2 op.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plastry opatrunkowe.,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op.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szalki Petriego., śr. 50 mm,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kpl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9889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Paleta uchylbna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folia daktyloskopijna przezroczysta, 13 x 18 cm., - 10 szt. w op.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op.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folia daktyloskopijna czarna, 13 x 18 cm,  - 10 szt. w op.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op.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folia daktyloskopijna biała, 13 x 18 cm,  - 10 szt. w op.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op.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folia pozytywowa klejowa przeżroczysta, 10 x 15 cm,  - 10 szt. w op.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op.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podkłady do folii negatywowej przeźroczyste, 10 x 15 cm,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10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podkłady do folii pozytywowej białe, 10 x 15 cm,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10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podkłady do folii pozytywowej czarne, 10 x 15 cm,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10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markery wodoodporne (różne kolory),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2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kreda specjalna wodoodporna do rysowania na murach, betonie, asfalcie,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2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 xml:space="preserve">nożyczki., 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 xml:space="preserve">taśma klejąca biurowa przezroczysta, rolka, 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nóż techniczny,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komplet ostrzy do noża technicznego okr. w poz. 109,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op.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scyzoryk, min 8 funkcji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oprawka do ostrzy ze stali chirurgicznej, Nr 3 lub 4,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ostrza chirurgiczne do oprawki okr. w poz. 112,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2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pinceta metalowa płaska ze stali chirurgicznej, 15 cm.,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pinceta metalowa spiczasta ze stali chirurgicznej, 15 cm.,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 xml:space="preserve">pinceta plastikowa zaokrąglona, 11 cm.,  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2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szpatułka metalowa dwustronna ze stali nierdzewnej,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 xml:space="preserve">szkło powiększające śr. 50 mm, pow. x 5, 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 xml:space="preserve">lusterko kątowe, 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 xml:space="preserve">latarka diodowa tzw. "czołówka" 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 xml:space="preserve">magnes z uchwytem, 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9889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Dno walizki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organizer mechanoskopijny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organizer daktyloskopijny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organizer na pędzle daktyloskopijne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organizer traseologiczny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kpl.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organizer na numerki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folia traseologiczna czarna, 13 x 36 cm, - 10 szt. w op.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op.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pudełka plastikowe z zamknięciem, poj. 250 ml,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3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pudełka plastikowe z zamknięciem, poj. 500 ml,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3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akumulatorowa latarka LED ładowalna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szt.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5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</w:pPr>
            <w:r>
              <w:rPr>
                <w:rFonts w:ascii="Verdana" w:hAnsi="Verdana"/>
                <w:color w:val="FF0000"/>
                <w:sz w:val="16"/>
                <w:szCs w:val="16"/>
              </w:rPr>
            </w:r>
          </w:p>
        </w:tc>
        <w:tc>
          <w:tcPr>
            <w:tcW w:type="dxa" w:w="8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sz w:val="16"/>
                <w:szCs w:val="16"/>
              </w:rPr>
              <w:t>walizka z paletą w wieku i paletą uchylną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1 kpl.</w:t>
            </w:r>
          </w:p>
        </w:tc>
      </w:tr>
    </w:tbl>
    <w:p>
      <w:pPr>
        <w:pStyle w:val="style0"/>
        <w:spacing w:line="360" w:lineRule="auto"/>
        <w:jc w:val="both"/>
      </w:pPr>
      <w:r>
        <w:rPr>
          <w:rFonts w:ascii="Verdana" w:cs="Tahoma" w:hAnsi="Verdana"/>
          <w:sz w:val="16"/>
          <w:szCs w:val="16"/>
        </w:rPr>
      </w:r>
    </w:p>
    <w:p>
      <w:pPr>
        <w:pStyle w:val="style0"/>
        <w:spacing w:line="360" w:lineRule="auto"/>
      </w:pPr>
      <w:r>
        <w:rPr>
          <w:rFonts w:ascii="Verdana" w:cs="Tahoma" w:hAnsi="Verdana"/>
          <w:sz w:val="16"/>
          <w:szCs w:val="16"/>
        </w:rPr>
        <w:t>Wymiary wewnętrzne walizki – 51cm x 38cm x 19cm</w:t>
      </w:r>
    </w:p>
    <w:p>
      <w:pPr>
        <w:pStyle w:val="style0"/>
        <w:spacing w:line="360" w:lineRule="auto"/>
      </w:pPr>
      <w:r>
        <w:rPr>
          <w:rFonts w:ascii="Verdana" w:cs="Tahoma" w:hAnsi="Verdana"/>
          <w:sz w:val="16"/>
          <w:szCs w:val="16"/>
        </w:rPr>
        <w:t>Palety i organizery walizki muszą umożliwiać jej rozbudowę o inne pozostające w posiadaniu jednostki techniki kryminalistycznej elementy, do łącznej ilości 136 szt.</w:t>
      </w:r>
    </w:p>
    <w:p>
      <w:pPr>
        <w:pStyle w:val="style0"/>
        <w:spacing w:line="360" w:lineRule="auto"/>
        <w:jc w:val="both"/>
      </w:pPr>
      <w:r>
        <w:rPr>
          <w:rFonts w:ascii="Verdana" w:cs="Tahoma" w:hAnsi="Verdana"/>
          <w:sz w:val="16"/>
          <w:szCs w:val="16"/>
        </w:rPr>
      </w:r>
    </w:p>
    <w:p>
      <w:pPr>
        <w:pStyle w:val="style0"/>
        <w:jc w:val="both"/>
      </w:pPr>
      <w:r>
        <w:rPr/>
      </w:r>
    </w:p>
    <w:sectPr>
      <w:headerReference r:id="rId2" w:type="first"/>
      <w:footerReference r:id="rId3" w:type="first"/>
      <w:type w:val="nextPage"/>
      <w:pgSz w:h="16838" w:w="11906"/>
      <w:pgMar w:bottom="124" w:footer="67" w:gutter="0" w:header="426" w:left="1134" w:right="1134" w:top="1134"/>
      <w:pgNumType w:fmt="decimal"/>
      <w:formProt w:val="false"/>
      <w:titlePg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Symbol">
    <w:charset w:val="ee"/>
    <w:family w:val="roman"/>
    <w:pitch w:val="variable"/>
  </w:font>
  <w:font w:name="Calibri Light">
    <w:charset w:val="ee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  <w:ind w:hanging="1700" w:left="1416" w:right="-1134"/>
    </w:pPr>
    <w:r>
      <w:rPr/>
      <w:drawing>
        <wp:inline distB="0" distL="0" distR="0" distT="0">
          <wp:extent cx="6115050" cy="14605"/>
          <wp:effectExtent b="0" l="0" r="0" t="0"/>
          <wp:docPr descr="C:\Users\Piotr\Desktop\linia.wmf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C:\Users\Piotr\Desktop\linia.wmf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28"/>
      <w:ind w:hanging="1700" w:left="1416" w:right="-1134"/>
    </w:pPr>
    <w:r>
      <w:rPr/>
    </w:r>
  </w:p>
  <w:p>
    <w:pPr>
      <w:pStyle w:val="style28"/>
      <w:ind w:hanging="0" w:left="-1080" w:right="-1134"/>
    </w:pPr>
    <w:r>
      <w:rPr>
        <w:rFonts w:ascii="Calibri Light" w:hAnsi="Calibri Light"/>
        <w:sz w:val="16"/>
        <w:szCs w:val="16"/>
      </w:rPr>
      <w:t xml:space="preserve">  </w:t>
    </w:r>
  </w:p>
  <w:p>
    <w:pPr>
      <w:pStyle w:val="style28"/>
      <w:ind w:hanging="0" w:left="-1080" w:right="-1134"/>
    </w:pPr>
    <w:r>
      <w:rPr>
        <w:rFonts w:ascii="Calibri Light" w:hAnsi="Calibri Light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  <w:ind w:hanging="0" w:left="-1080" w:right="-1134"/>
      <w:jc w:val="center"/>
    </w:pPr>
    <w:r>
      <w:rPr/>
    </w:r>
  </w:p>
  <w:p>
    <w:pPr>
      <w:pStyle w:val="style27"/>
      <w:ind w:hanging="0" w:left="-1080" w:right="-1134"/>
      <w:jc w:val="both"/>
    </w:pPr>
    <w:r>
      <w:rPr/>
    </w:r>
  </w:p>
  <w:p>
    <w:pPr>
      <w:pStyle w:val="style27"/>
      <w:ind w:hanging="0" w:left="-1080" w:right="-1134"/>
      <w:jc w:val="both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0" w:left="0"/>
      </w:pPr>
      <w:rPr>
        <w:color w:val="00000A"/>
        <w:sz w:val="16"/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2">
    <w:lvl w:ilvl="0">
      <w:start w:val="1"/>
      <w:numFmt w:val="bullet"/>
      <w:lvlText w:val=""/>
      <w:lvlJc w:val="left"/>
      <w:pPr>
        <w:ind w:hanging="360" w:left="77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9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21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93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5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7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9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81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53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TrueTypeFonts/>
  <w:embedSystemFonts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y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character">
    <w:name w:val="page number"/>
    <w:basedOn w:val="style15"/>
    <w:next w:val="style16"/>
    <w:rPr/>
  </w:style>
  <w:style w:styleId="style17" w:type="character">
    <w:name w:val="Stopka Znak"/>
    <w:basedOn w:val="style15"/>
    <w:next w:val="style17"/>
    <w:rPr>
      <w:sz w:val="24"/>
      <w:szCs w:val="24"/>
    </w:rPr>
  </w:style>
  <w:style w:styleId="style18" w:type="character">
    <w:name w:val="Tekst dymka Znak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Łącze internetowe"/>
    <w:basedOn w:val="style15"/>
    <w:next w:val="style19"/>
    <w:rPr>
      <w:color w:val="0563C1"/>
      <w:u w:val="single"/>
      <w:lang w:bidi="zxx-" w:eastAsia="zxx-" w:val="zxx-"/>
    </w:rPr>
  </w:style>
  <w:style w:styleId="style20" w:type="character">
    <w:name w:val="ListLabel 1"/>
    <w:next w:val="style20"/>
    <w:rPr>
      <w:rFonts w:cs="Times New Roman"/>
      <w:b w:val="false"/>
      <w:i w:val="false"/>
      <w:color w:val="00000A"/>
      <w:sz w:val="16"/>
    </w:rPr>
  </w:style>
  <w:style w:styleId="style21" w:type="character">
    <w:name w:val="ListLabel 2"/>
    <w:next w:val="style21"/>
    <w:rPr>
      <w:rFonts w:cs="Courier New"/>
    </w:rPr>
  </w:style>
  <w:style w:styleId="style22" w:type="paragraph">
    <w:name w:val="Nagłówek"/>
    <w:basedOn w:val="style0"/>
    <w:next w:val="style2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3" w:type="paragraph">
    <w:name w:val="Treść tekstu"/>
    <w:basedOn w:val="style0"/>
    <w:next w:val="style23"/>
    <w:pPr>
      <w:spacing w:after="120" w:before="0"/>
      <w:contextualSpacing w:val="false"/>
    </w:pPr>
    <w:rPr/>
  </w:style>
  <w:style w:styleId="style24" w:type="paragraph">
    <w:name w:val="Lista"/>
    <w:basedOn w:val="style23"/>
    <w:next w:val="style24"/>
    <w:pPr/>
    <w:rPr>
      <w:rFonts w:cs="Mangal"/>
    </w:rPr>
  </w:style>
  <w:style w:styleId="style25" w:type="paragraph">
    <w:name w:val="Podpis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Indeks"/>
    <w:basedOn w:val="style0"/>
    <w:next w:val="style26"/>
    <w:pPr>
      <w:suppressLineNumbers/>
    </w:pPr>
    <w:rPr>
      <w:rFonts w:cs="Mangal"/>
    </w:rPr>
  </w:style>
  <w:style w:styleId="style27" w:type="paragraph">
    <w:name w:val="Główka"/>
    <w:basedOn w:val="style0"/>
    <w:next w:val="style27"/>
    <w:pPr>
      <w:tabs>
        <w:tab w:leader="none" w:pos="4536" w:val="center"/>
        <w:tab w:leader="none" w:pos="9072" w:val="right"/>
      </w:tabs>
    </w:pPr>
    <w:rPr/>
  </w:style>
  <w:style w:styleId="style28" w:type="paragraph">
    <w:name w:val="Stopka"/>
    <w:basedOn w:val="style0"/>
    <w:next w:val="style28"/>
    <w:pPr>
      <w:tabs>
        <w:tab w:leader="none" w:pos="4536" w:val="center"/>
        <w:tab w:leader="none" w:pos="9072" w:val="right"/>
      </w:tabs>
    </w:pPr>
    <w:rPr/>
  </w:style>
  <w:style w:styleId="style29" w:type="paragraph">
    <w:name w:val="Balloon Text"/>
    <w:basedOn w:val="style0"/>
    <w:next w:val="style29"/>
    <w:pPr/>
    <w:rPr>
      <w:rFonts w:ascii="Tahoma" w:cs="Tahoma" w:hAnsi="Tahoma"/>
      <w:sz w:val="16"/>
      <w:szCs w:val="16"/>
    </w:rPr>
  </w:style>
  <w:style w:styleId="style30" w:type="paragraph">
    <w:name w:val="List Paragraph"/>
    <w:basedOn w:val="style0"/>
    <w:next w:val="style30"/>
    <w:pPr>
      <w:ind w:hanging="0" w:left="720" w:right="0"/>
    </w:pPr>
    <w:rPr>
      <w:rFonts w:ascii="Calibri" w:eastAsia="Calibri" w:hAnsi="Calibri"/>
      <w:sz w:val="22"/>
      <w:szCs w:val="22"/>
    </w:rPr>
  </w:style>
  <w:style w:styleId="style31" w:type="paragraph">
    <w:name w:val="Zawartość ramki"/>
    <w:basedOn w:val="style23"/>
    <w:next w:val="style3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TRANSFARM_2015.dotx</Template>
  <TotalTime>128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2017-10-23T11:12:00.00Z</dcterms:created>
  <dc:creator>Jan Stefanowicz</dc:creator>
  <cp:lastModifiedBy>Jan Stefanowicz</cp:lastModifiedBy>
  <cp:lastPrinted>2006-03-27T11:27:00.00Z</cp:lastPrinted>
  <dcterms:modified xsi:type="dcterms:W3CDTF">2017-10-23T13:37:00.00Z</dcterms:modified>
  <cp:revision>4</cp:revision>
  <dc:title>Warszawa, tu wpisz datę według formatu DD miesiąca RRRR r</dc:title>
</cp:coreProperties>
</file>