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AB0EF" w14:textId="77777777" w:rsidR="00154AAE" w:rsidRPr="00085EA5" w:rsidRDefault="00154AAE" w:rsidP="00E137A5">
      <w:pPr>
        <w:rPr>
          <w:rFonts w:eastAsia="Calibri" w:cs="Arial"/>
          <w:lang w:eastAsia="en-US"/>
        </w:rPr>
      </w:pPr>
      <w:r w:rsidRPr="00085EA5">
        <w:rPr>
          <w:rFonts w:eastAsia="Calibri" w:cs="Arial"/>
          <w:lang w:eastAsia="en-US"/>
        </w:rPr>
        <w:t>Załącznik A do SWZ Opis przedmiotu zamówienia</w:t>
      </w:r>
    </w:p>
    <w:p w14:paraId="2E729CEA" w14:textId="04BE41BB" w:rsidR="00154AAE" w:rsidRPr="00085EA5" w:rsidRDefault="00154AAE" w:rsidP="00E137A5">
      <w:pPr>
        <w:rPr>
          <w:rFonts w:eastAsia="Calibri" w:cs="Arial"/>
          <w:lang w:eastAsia="en-US"/>
        </w:rPr>
      </w:pPr>
      <w:r w:rsidRPr="00085EA5">
        <w:rPr>
          <w:rFonts w:eastAsia="Calibri" w:cs="Arial"/>
          <w:lang w:eastAsia="en-US"/>
        </w:rPr>
        <w:t>ZNAK SPRAWY: WG.271.</w:t>
      </w:r>
      <w:r w:rsidR="00AD2690" w:rsidRPr="00085EA5">
        <w:rPr>
          <w:rFonts w:eastAsia="Calibri" w:cs="Arial"/>
          <w:lang w:eastAsia="en-US"/>
        </w:rPr>
        <w:t>1</w:t>
      </w:r>
      <w:r w:rsidR="00DB0862">
        <w:rPr>
          <w:rFonts w:eastAsia="Calibri" w:cs="Arial"/>
          <w:lang w:eastAsia="en-US"/>
        </w:rPr>
        <w:t>.14</w:t>
      </w:r>
      <w:r w:rsidR="00401D98" w:rsidRPr="00085EA5">
        <w:rPr>
          <w:rFonts w:eastAsia="Calibri" w:cs="Arial"/>
          <w:lang w:eastAsia="en-US"/>
        </w:rPr>
        <w:t>.</w:t>
      </w:r>
      <w:r w:rsidRPr="00085EA5">
        <w:rPr>
          <w:rFonts w:eastAsia="Calibri" w:cs="Arial"/>
          <w:lang w:eastAsia="en-US"/>
        </w:rPr>
        <w:t>20</w:t>
      </w:r>
      <w:r w:rsidR="00323E6D" w:rsidRPr="00085EA5">
        <w:rPr>
          <w:rFonts w:eastAsia="Calibri" w:cs="Arial"/>
          <w:lang w:eastAsia="en-US"/>
        </w:rPr>
        <w:t>2</w:t>
      </w:r>
      <w:r w:rsidR="006C085F">
        <w:rPr>
          <w:rFonts w:eastAsia="Calibri" w:cs="Arial"/>
          <w:lang w:eastAsia="en-US"/>
        </w:rPr>
        <w:t>4</w:t>
      </w:r>
      <w:r w:rsidR="00B935A1" w:rsidRPr="00085EA5">
        <w:rPr>
          <w:rFonts w:eastAsia="Calibri" w:cs="Arial"/>
          <w:lang w:eastAsia="en-US"/>
        </w:rPr>
        <w:t>.WC</w:t>
      </w:r>
    </w:p>
    <w:p w14:paraId="7DFA798C" w14:textId="77777777" w:rsidR="00F76D08" w:rsidRPr="00085EA5" w:rsidRDefault="00F76D08" w:rsidP="00240126">
      <w:pPr>
        <w:spacing w:line="360" w:lineRule="auto"/>
        <w:jc w:val="center"/>
        <w:rPr>
          <w:rFonts w:eastAsia="Calibri" w:cs="Arial"/>
          <w:b/>
          <w:lang w:eastAsia="en-US"/>
        </w:rPr>
      </w:pPr>
    </w:p>
    <w:p w14:paraId="42C8C9A3" w14:textId="77777777" w:rsidR="00B168A7" w:rsidRDefault="00B168A7" w:rsidP="00B168A7">
      <w:pPr>
        <w:autoSpaceDE w:val="0"/>
        <w:autoSpaceDN w:val="0"/>
        <w:adjustRightInd w:val="0"/>
        <w:jc w:val="center"/>
        <w:rPr>
          <w:rFonts w:cs="Arial"/>
        </w:rPr>
      </w:pPr>
      <w:r w:rsidRPr="00B168A7">
        <w:rPr>
          <w:rFonts w:cs="Arial"/>
        </w:rPr>
        <w:t xml:space="preserve">Budowa drogi pieszo-rowerowej w Borucinie </w:t>
      </w:r>
    </w:p>
    <w:p w14:paraId="3C6E2B59" w14:textId="22661F3A" w:rsidR="00DF7B6B" w:rsidRPr="00B168A7" w:rsidRDefault="00B168A7" w:rsidP="00B168A7">
      <w:pPr>
        <w:autoSpaceDE w:val="0"/>
        <w:autoSpaceDN w:val="0"/>
        <w:adjustRightInd w:val="0"/>
        <w:jc w:val="center"/>
        <w:rPr>
          <w:rFonts w:cs="Arial"/>
        </w:rPr>
      </w:pPr>
      <w:r w:rsidRPr="00B168A7">
        <w:rPr>
          <w:rFonts w:cs="Arial"/>
        </w:rPr>
        <w:t>oraz rozbudowa i przebudowa drogi w Gołubiu</w:t>
      </w:r>
    </w:p>
    <w:p w14:paraId="1C4E7715" w14:textId="77777777" w:rsidR="00154AAE" w:rsidRPr="00085EA5" w:rsidRDefault="00154AAE" w:rsidP="00240126">
      <w:pPr>
        <w:spacing w:line="360" w:lineRule="auto"/>
        <w:jc w:val="center"/>
        <w:rPr>
          <w:rFonts w:eastAsia="Calibri" w:cs="Arial"/>
          <w:lang w:eastAsia="en-US"/>
        </w:rPr>
      </w:pPr>
      <w:r w:rsidRPr="00085EA5">
        <w:rPr>
          <w:rFonts w:eastAsia="Calibri" w:cs="Arial"/>
          <w:lang w:eastAsia="en-US"/>
        </w:rPr>
        <w:t>Opis przedmiotu zamówienia</w:t>
      </w:r>
    </w:p>
    <w:p w14:paraId="25ACAA0D" w14:textId="2642B100" w:rsidR="00B168A7" w:rsidRPr="00B168A7" w:rsidRDefault="00822EC1">
      <w:pPr>
        <w:numPr>
          <w:ilvl w:val="0"/>
          <w:numId w:val="1"/>
        </w:numPr>
        <w:autoSpaceDE w:val="0"/>
        <w:autoSpaceDN w:val="0"/>
        <w:adjustRightInd w:val="0"/>
        <w:spacing w:line="360" w:lineRule="auto"/>
        <w:ind w:left="284" w:hanging="284"/>
        <w:jc w:val="both"/>
        <w:rPr>
          <w:rFonts w:eastAsia="Calibri" w:cs="Arial"/>
          <w:lang w:eastAsia="en-US"/>
        </w:rPr>
      </w:pPr>
      <w:r w:rsidRPr="00B168A7">
        <w:rPr>
          <w:rFonts w:eastAsia="Calibri" w:cs="Arial"/>
          <w:lang w:eastAsia="en-US"/>
        </w:rPr>
        <w:t xml:space="preserve">Zamówienie </w:t>
      </w:r>
      <w:r w:rsidR="00F10C60" w:rsidRPr="00B168A7">
        <w:rPr>
          <w:rFonts w:eastAsia="Calibri" w:cs="Arial"/>
          <w:lang w:eastAsia="en-US"/>
        </w:rPr>
        <w:t xml:space="preserve">dofinansowane jest ze środków </w:t>
      </w:r>
      <w:r w:rsidR="00184B02" w:rsidRPr="00B168A7">
        <w:rPr>
          <w:rFonts w:eastAsia="Calibri" w:cs="Arial"/>
          <w:lang w:eastAsia="en-US"/>
        </w:rPr>
        <w:t xml:space="preserve">z </w:t>
      </w:r>
      <w:r w:rsidR="00F10C60" w:rsidRPr="00B168A7">
        <w:rPr>
          <w:rFonts w:eastAsia="Calibri" w:cs="Arial"/>
          <w:lang w:eastAsia="en-US"/>
        </w:rPr>
        <w:t>R</w:t>
      </w:r>
      <w:r w:rsidR="00184B02" w:rsidRPr="00B168A7">
        <w:rPr>
          <w:rFonts w:eastAsia="Calibri" w:cs="Arial"/>
          <w:lang w:eastAsia="en-US"/>
        </w:rPr>
        <w:t xml:space="preserve">ZĄDOWEGO </w:t>
      </w:r>
      <w:r w:rsidR="00F10C60" w:rsidRPr="00B168A7">
        <w:rPr>
          <w:rFonts w:eastAsia="Calibri" w:cs="Arial"/>
          <w:lang w:eastAsia="en-US"/>
        </w:rPr>
        <w:t xml:space="preserve">FUNDUSZU </w:t>
      </w:r>
      <w:r w:rsidR="00B168A7" w:rsidRPr="00B168A7">
        <w:rPr>
          <w:rFonts w:ascii="CalibriBold" w:hAnsi="CalibriBold" w:cs="CalibriBold"/>
          <w:sz w:val="28"/>
          <w:szCs w:val="28"/>
        </w:rPr>
        <w:t>POLSKI ŁAD: PROGRAMU INWESTYCJI STRATEGICZNYCH</w:t>
      </w:r>
      <w:r w:rsidR="00B168A7">
        <w:rPr>
          <w:rFonts w:ascii="CalibriBold" w:hAnsi="CalibriBold" w:cs="CalibriBold"/>
          <w:sz w:val="28"/>
          <w:szCs w:val="28"/>
        </w:rPr>
        <w:t>.</w:t>
      </w:r>
    </w:p>
    <w:p w14:paraId="34148CBA" w14:textId="77777777" w:rsidR="00EF7B6F" w:rsidRDefault="00AE5231" w:rsidP="00EF7B6F">
      <w:pPr>
        <w:numPr>
          <w:ilvl w:val="0"/>
          <w:numId w:val="1"/>
        </w:numPr>
        <w:spacing w:line="360" w:lineRule="auto"/>
        <w:ind w:left="284" w:hanging="284"/>
        <w:jc w:val="both"/>
        <w:rPr>
          <w:rFonts w:eastAsia="Calibri" w:cs="Arial"/>
          <w:lang w:eastAsia="en-US"/>
        </w:rPr>
      </w:pPr>
      <w:r w:rsidRPr="00EE14F0">
        <w:rPr>
          <w:rFonts w:eastAsia="Calibri" w:cs="Arial"/>
          <w:lang w:eastAsia="en-US"/>
        </w:rPr>
        <w:t>Zadanie obejmuje</w:t>
      </w:r>
      <w:r w:rsidR="00EE14F0">
        <w:rPr>
          <w:rFonts w:eastAsia="Calibri" w:cs="Arial"/>
          <w:lang w:eastAsia="en-US"/>
        </w:rPr>
        <w:t xml:space="preserve"> </w:t>
      </w:r>
      <w:r w:rsidR="00EF7B6F">
        <w:rPr>
          <w:rFonts w:eastAsia="Calibri" w:cs="Arial"/>
          <w:lang w:eastAsia="en-US"/>
        </w:rPr>
        <w:t xml:space="preserve">wykonanie robót w dwóch lokalizacjach: </w:t>
      </w:r>
    </w:p>
    <w:p w14:paraId="2AA43B20" w14:textId="35DE7DF2" w:rsidR="00D1342D" w:rsidRDefault="00EF7B6F" w:rsidP="00E80D86">
      <w:pPr>
        <w:pStyle w:val="Akapitzlist"/>
        <w:numPr>
          <w:ilvl w:val="1"/>
          <w:numId w:val="1"/>
        </w:numPr>
        <w:spacing w:line="360" w:lineRule="auto"/>
        <w:ind w:left="851" w:hanging="567"/>
        <w:jc w:val="both"/>
        <w:rPr>
          <w:rFonts w:eastAsia="Calibri" w:cs="Arial"/>
          <w:lang w:eastAsia="en-US"/>
        </w:rPr>
      </w:pPr>
      <w:r w:rsidRPr="00EF7B6F">
        <w:rPr>
          <w:rFonts w:eastAsia="Calibri" w:cs="Arial"/>
          <w:lang w:eastAsia="en-US"/>
        </w:rPr>
        <w:t>Borucino</w:t>
      </w:r>
      <w:r w:rsidR="00D1342D">
        <w:rPr>
          <w:rFonts w:eastAsia="Calibri" w:cs="Arial"/>
          <w:lang w:eastAsia="en-US"/>
        </w:rPr>
        <w:t xml:space="preserve">. </w:t>
      </w:r>
      <w:r w:rsidR="00D1342D" w:rsidRPr="00D1342D">
        <w:rPr>
          <w:rFonts w:eastAsia="Calibri" w:cs="Arial"/>
          <w:lang w:eastAsia="en-US"/>
        </w:rPr>
        <w:t>Zamówienie realizowane jest w formule „zaprojektuj i wybuduj”. Zakres zamówienia i wymagania zostały określone w załączonym programie funkcjonalno-użytkowym (dalej: PFU). W ramach zamówienia Wykonawca ma op</w:t>
      </w:r>
      <w:r w:rsidR="00D1342D" w:rsidRPr="00D1342D">
        <w:rPr>
          <w:rFonts w:cs="Arial"/>
        </w:rPr>
        <w:t xml:space="preserve">racować dokumentację projektową i uzyskać zezwolenia na realizację inwestycji drogowej lub pozwolenie na budowę lub zgłoszenia na przebudowę </w:t>
      </w:r>
      <w:r w:rsidR="00D1342D">
        <w:rPr>
          <w:rFonts w:cs="Arial"/>
        </w:rPr>
        <w:t xml:space="preserve">na zakres wynikający z </w:t>
      </w:r>
      <w:r w:rsidR="00D1342D" w:rsidRPr="00D1342D">
        <w:rPr>
          <w:rFonts w:cs="Arial"/>
        </w:rPr>
        <w:t>załączon</w:t>
      </w:r>
      <w:r w:rsidR="00D1342D">
        <w:rPr>
          <w:rFonts w:cs="Arial"/>
        </w:rPr>
        <w:t>ego</w:t>
      </w:r>
      <w:r w:rsidR="00D1342D" w:rsidRPr="00D1342D">
        <w:rPr>
          <w:rFonts w:cs="Arial"/>
        </w:rPr>
        <w:t xml:space="preserve"> program</w:t>
      </w:r>
      <w:r w:rsidR="00D1342D">
        <w:rPr>
          <w:rFonts w:cs="Arial"/>
        </w:rPr>
        <w:t>u</w:t>
      </w:r>
      <w:r w:rsidR="00D1342D" w:rsidRPr="00D1342D">
        <w:rPr>
          <w:rFonts w:cs="Arial"/>
        </w:rPr>
        <w:t xml:space="preserve"> funkcjonalno-użytkow</w:t>
      </w:r>
      <w:r w:rsidR="00D1342D">
        <w:rPr>
          <w:rFonts w:cs="Arial"/>
        </w:rPr>
        <w:t>ego</w:t>
      </w:r>
      <w:r w:rsidR="00D1342D" w:rsidRPr="00D1342D">
        <w:rPr>
          <w:rFonts w:cs="Arial"/>
        </w:rPr>
        <w:t xml:space="preserve">, a następnie kompleksowo wykonać zakres </w:t>
      </w:r>
      <w:r w:rsidR="00D1342D">
        <w:rPr>
          <w:rFonts w:cs="Arial"/>
        </w:rPr>
        <w:t xml:space="preserve">robót </w:t>
      </w:r>
      <w:r w:rsidR="00D1342D" w:rsidRPr="00D1342D">
        <w:rPr>
          <w:rFonts w:cs="Arial"/>
        </w:rPr>
        <w:t>wynikający z dokumentacji</w:t>
      </w:r>
      <w:r w:rsidR="00D1342D">
        <w:rPr>
          <w:rFonts w:cs="Arial"/>
        </w:rPr>
        <w:t xml:space="preserve">. </w:t>
      </w:r>
      <w:r w:rsidR="00D1342D" w:rsidRPr="00D1342D">
        <w:rPr>
          <w:rFonts w:eastAsia="Calibri" w:cs="Arial"/>
          <w:lang w:eastAsia="en-US"/>
        </w:rPr>
        <w:t xml:space="preserve">Uzyskanie </w:t>
      </w:r>
      <w:r w:rsidR="00D1342D">
        <w:rPr>
          <w:rFonts w:eastAsia="Calibri" w:cs="Arial"/>
          <w:lang w:eastAsia="en-US"/>
        </w:rPr>
        <w:t xml:space="preserve">wszelkich uzgodnień oraz sporządzenie niezbędnych opracować oraz projektów wraz z wykonaniem robót </w:t>
      </w:r>
      <w:r w:rsidR="00D1342D" w:rsidRPr="00D1342D">
        <w:rPr>
          <w:rFonts w:eastAsia="Calibri" w:cs="Arial"/>
          <w:lang w:eastAsia="en-US"/>
        </w:rPr>
        <w:t xml:space="preserve">jest po stronie Zamawiającego. </w:t>
      </w:r>
      <w:r w:rsidR="006E6BCD">
        <w:rPr>
          <w:rFonts w:eastAsia="Calibri" w:cs="Arial"/>
          <w:lang w:eastAsia="en-US"/>
        </w:rPr>
        <w:t>W projekt należy wkomponować małą architekturę w postaci ławek i siedzisk</w:t>
      </w:r>
      <w:r w:rsidR="003B5A9A">
        <w:rPr>
          <w:rFonts w:eastAsia="Calibri" w:cs="Arial"/>
          <w:lang w:eastAsia="en-US"/>
        </w:rPr>
        <w:t xml:space="preserve"> wg załączonego opisu</w:t>
      </w:r>
      <w:r w:rsidR="006E6BCD">
        <w:rPr>
          <w:rFonts w:eastAsia="Calibri" w:cs="Arial"/>
          <w:lang w:eastAsia="en-US"/>
        </w:rPr>
        <w:t>.</w:t>
      </w:r>
    </w:p>
    <w:p w14:paraId="2BAE8177" w14:textId="3227DCB8" w:rsidR="00C60033" w:rsidRPr="00C60033" w:rsidRDefault="00EF7B6F" w:rsidP="00C60033">
      <w:pPr>
        <w:pStyle w:val="Akapitzlist"/>
        <w:numPr>
          <w:ilvl w:val="1"/>
          <w:numId w:val="1"/>
        </w:numPr>
        <w:spacing w:line="360" w:lineRule="auto"/>
        <w:ind w:left="851" w:hanging="567"/>
        <w:jc w:val="both"/>
        <w:rPr>
          <w:rFonts w:eastAsia="Calibri" w:cs="Arial"/>
          <w:lang w:eastAsia="en-US"/>
        </w:rPr>
      </w:pPr>
      <w:r w:rsidRPr="00EE3C67">
        <w:rPr>
          <w:rFonts w:eastAsia="Calibri" w:cs="Arial"/>
          <w:lang w:eastAsia="en-US"/>
        </w:rPr>
        <w:t>Gołubie</w:t>
      </w:r>
      <w:r w:rsidR="00E80D86" w:rsidRPr="00EE3C67">
        <w:rPr>
          <w:rFonts w:eastAsia="Calibri" w:cs="Arial"/>
          <w:lang w:eastAsia="en-US"/>
        </w:rPr>
        <w:t xml:space="preserve">. Przebudowa dróg w Gołubiu </w:t>
      </w:r>
      <w:r w:rsidR="00EE3C67" w:rsidRPr="00EE3C67">
        <w:rPr>
          <w:rFonts w:eastAsia="Calibri" w:cs="Arial"/>
          <w:lang w:eastAsia="en-US"/>
        </w:rPr>
        <w:t>wraz z podbudową z kruszywa łamanego oraz poboczami</w:t>
      </w:r>
      <w:r w:rsidR="00460C6B">
        <w:rPr>
          <w:rFonts w:eastAsia="Calibri" w:cs="Arial"/>
          <w:lang w:eastAsia="en-US"/>
        </w:rPr>
        <w:t xml:space="preserve">. </w:t>
      </w:r>
      <w:r w:rsidR="003B5A9A">
        <w:rPr>
          <w:rFonts w:eastAsia="Calibri" w:cs="Arial"/>
          <w:lang w:eastAsia="en-US"/>
        </w:rPr>
        <w:t>Lokalizacja nr 1: ul. Przylesie Gołubie: wykonanie nakładki</w:t>
      </w:r>
      <w:r w:rsidR="00497016">
        <w:rPr>
          <w:rFonts w:eastAsia="Calibri" w:cs="Arial"/>
          <w:lang w:eastAsia="en-US"/>
        </w:rPr>
        <w:t xml:space="preserve"> Jena lub SMA</w:t>
      </w:r>
      <w:r w:rsidR="003B5A9A">
        <w:rPr>
          <w:rFonts w:eastAsia="Calibri" w:cs="Arial"/>
          <w:lang w:eastAsia="en-US"/>
        </w:rPr>
        <w:t xml:space="preserve"> 4 cm na istniejącej nawierzchni oraz wykonanie n</w:t>
      </w:r>
      <w:r w:rsidR="00D44DED">
        <w:rPr>
          <w:rFonts w:eastAsia="Calibri" w:cs="Arial"/>
          <w:lang w:eastAsia="en-US"/>
        </w:rPr>
        <w:t xml:space="preserve">awierzchni bitumicznej </w:t>
      </w:r>
      <w:r w:rsidR="00497016">
        <w:rPr>
          <w:rFonts w:eastAsia="Calibri" w:cs="Arial"/>
          <w:lang w:eastAsia="en-US"/>
        </w:rPr>
        <w:t xml:space="preserve">Jena lub SMA </w:t>
      </w:r>
      <w:r w:rsidR="00D44DED">
        <w:rPr>
          <w:rFonts w:eastAsia="Calibri" w:cs="Arial"/>
          <w:lang w:eastAsia="en-US"/>
        </w:rPr>
        <w:t>gr. 6 cm wraz z podbudową z kruszywa łamanego gr. 15 cm.</w:t>
      </w:r>
      <w:r w:rsidR="00C60033">
        <w:rPr>
          <w:rFonts w:eastAsia="Calibri" w:cs="Arial"/>
          <w:lang w:eastAsia="en-US"/>
        </w:rPr>
        <w:t xml:space="preserve"> Do wyceny należy przyjąć ilości wynikające z przedmiaru robót. </w:t>
      </w:r>
      <w:r w:rsidR="00460C6B" w:rsidRPr="00C60033">
        <w:rPr>
          <w:rFonts w:eastAsia="Calibri" w:cs="Arial"/>
          <w:lang w:eastAsia="en-US"/>
        </w:rPr>
        <w:t xml:space="preserve">Lokalizacja </w:t>
      </w:r>
      <w:r w:rsidR="003B5A9A" w:rsidRPr="00C60033">
        <w:rPr>
          <w:rFonts w:eastAsia="Calibri" w:cs="Arial"/>
          <w:lang w:eastAsia="en-US"/>
        </w:rPr>
        <w:t xml:space="preserve">nr 2: ul. Zaciszna </w:t>
      </w:r>
      <w:r w:rsidR="00D44DED" w:rsidRPr="00C60033">
        <w:rPr>
          <w:rFonts w:eastAsia="Calibri" w:cs="Arial"/>
          <w:lang w:eastAsia="en-US"/>
        </w:rPr>
        <w:t xml:space="preserve">Gołubie: </w:t>
      </w:r>
      <w:r w:rsidR="003B5A9A" w:rsidRPr="00C60033">
        <w:rPr>
          <w:rFonts w:eastAsia="Calibri" w:cs="Arial"/>
          <w:lang w:eastAsia="en-US"/>
        </w:rPr>
        <w:t xml:space="preserve">wykonanie nawierzchni gr. 6 cm wraz z podbudową </w:t>
      </w:r>
      <w:r w:rsidR="00D44DED" w:rsidRPr="00C60033">
        <w:rPr>
          <w:rFonts w:eastAsia="Calibri" w:cs="Arial"/>
          <w:lang w:eastAsia="en-US"/>
        </w:rPr>
        <w:t xml:space="preserve">z kruszywa łamanego </w:t>
      </w:r>
      <w:r w:rsidR="003B5A9A" w:rsidRPr="00C60033">
        <w:rPr>
          <w:rFonts w:eastAsia="Calibri" w:cs="Arial"/>
          <w:lang w:eastAsia="en-US"/>
        </w:rPr>
        <w:t>gr. 15 cm</w:t>
      </w:r>
      <w:r w:rsidR="00D44DED" w:rsidRPr="00C60033">
        <w:rPr>
          <w:rFonts w:eastAsia="Calibri" w:cs="Arial"/>
          <w:lang w:eastAsia="en-US"/>
        </w:rPr>
        <w:t>.</w:t>
      </w:r>
      <w:r w:rsidR="00EE3C67" w:rsidRPr="00C60033">
        <w:rPr>
          <w:rFonts w:eastAsia="Calibri" w:cs="Arial"/>
          <w:lang w:eastAsia="en-US"/>
        </w:rPr>
        <w:t xml:space="preserve"> </w:t>
      </w:r>
      <w:r w:rsidR="00C60033" w:rsidRPr="00C60033">
        <w:rPr>
          <w:rFonts w:eastAsia="Calibri" w:cs="Arial"/>
          <w:lang w:eastAsia="en-US"/>
        </w:rPr>
        <w:t xml:space="preserve">Do wyceny należy przyjąć ilości </w:t>
      </w:r>
      <w:r w:rsidR="00497016">
        <w:rPr>
          <w:rFonts w:eastAsia="Calibri" w:cs="Arial"/>
          <w:lang w:eastAsia="en-US"/>
        </w:rPr>
        <w:t xml:space="preserve">korytowania, podbudowy, pobocza, wykonanie nawierzchni, skropienie zgodnie z </w:t>
      </w:r>
      <w:r w:rsidR="00C60033" w:rsidRPr="00C60033">
        <w:rPr>
          <w:rFonts w:eastAsia="Calibri" w:cs="Arial"/>
          <w:lang w:eastAsia="en-US"/>
        </w:rPr>
        <w:t>przedmiar</w:t>
      </w:r>
      <w:r w:rsidR="00497016">
        <w:rPr>
          <w:rFonts w:eastAsia="Calibri" w:cs="Arial"/>
          <w:lang w:eastAsia="en-US"/>
        </w:rPr>
        <w:t>ami</w:t>
      </w:r>
      <w:r w:rsidR="00C60033" w:rsidRPr="00C60033">
        <w:rPr>
          <w:rFonts w:eastAsia="Calibri" w:cs="Arial"/>
          <w:lang w:eastAsia="en-US"/>
        </w:rPr>
        <w:t xml:space="preserve"> robót.</w:t>
      </w:r>
    </w:p>
    <w:p w14:paraId="270D3493" w14:textId="37885B1E" w:rsidR="006856C0" w:rsidRPr="006856C0" w:rsidRDefault="00496539" w:rsidP="006856C0">
      <w:pPr>
        <w:numPr>
          <w:ilvl w:val="0"/>
          <w:numId w:val="1"/>
        </w:numPr>
        <w:spacing w:line="360" w:lineRule="auto"/>
        <w:ind w:left="284" w:hanging="284"/>
        <w:jc w:val="both"/>
        <w:rPr>
          <w:rFonts w:eastAsia="Calibri" w:cs="Arial"/>
          <w:lang w:eastAsia="en-US"/>
        </w:rPr>
      </w:pPr>
      <w:r w:rsidRPr="00085EA5">
        <w:rPr>
          <w:rFonts w:eastAsia="Calibri" w:cs="Arial"/>
          <w:lang w:eastAsia="en-US"/>
        </w:rPr>
        <w:t>Zam</w:t>
      </w:r>
      <w:r w:rsidR="00AD2690" w:rsidRPr="00085EA5">
        <w:rPr>
          <w:rFonts w:eastAsia="Calibri" w:cs="Arial"/>
          <w:lang w:eastAsia="en-US"/>
        </w:rPr>
        <w:t>ówieni</w:t>
      </w:r>
      <w:r w:rsidRPr="00085EA5">
        <w:rPr>
          <w:rFonts w:eastAsia="Calibri" w:cs="Arial"/>
          <w:lang w:eastAsia="en-US"/>
        </w:rPr>
        <w:t>e stanowi jeden pr</w:t>
      </w:r>
      <w:r w:rsidR="003B5A9A">
        <w:rPr>
          <w:rFonts w:eastAsia="Calibri" w:cs="Arial"/>
          <w:lang w:eastAsia="en-US"/>
        </w:rPr>
        <w:t xml:space="preserve">zedsięwzięcie </w:t>
      </w:r>
      <w:r w:rsidRPr="00085EA5">
        <w:rPr>
          <w:rFonts w:eastAsia="Calibri" w:cs="Arial"/>
          <w:lang w:eastAsia="en-US"/>
        </w:rPr>
        <w:t>inwestycyjn</w:t>
      </w:r>
      <w:r w:rsidR="003B5A9A">
        <w:rPr>
          <w:rFonts w:eastAsia="Calibri" w:cs="Arial"/>
          <w:lang w:eastAsia="en-US"/>
        </w:rPr>
        <w:t>e</w:t>
      </w:r>
      <w:r w:rsidR="004E2DF6" w:rsidRPr="00085EA5">
        <w:rPr>
          <w:rFonts w:eastAsia="Calibri" w:cs="Arial"/>
          <w:lang w:eastAsia="en-US"/>
        </w:rPr>
        <w:t>.</w:t>
      </w:r>
    </w:p>
    <w:p w14:paraId="68886E69" w14:textId="4AC70C40" w:rsidR="008A44C6" w:rsidRPr="003B5A9A" w:rsidRDefault="00401D98" w:rsidP="00085EA5">
      <w:pPr>
        <w:numPr>
          <w:ilvl w:val="0"/>
          <w:numId w:val="1"/>
        </w:numPr>
        <w:spacing w:line="360" w:lineRule="auto"/>
        <w:ind w:left="284" w:hanging="284"/>
        <w:jc w:val="both"/>
        <w:rPr>
          <w:rFonts w:eastAsia="Calibri" w:cs="Arial"/>
          <w:lang w:eastAsia="en-US"/>
        </w:rPr>
      </w:pPr>
      <w:r w:rsidRPr="003B5A9A">
        <w:rPr>
          <w:rFonts w:eastAsia="Calibri" w:cs="Arial"/>
          <w:lang w:eastAsia="en-US"/>
        </w:rPr>
        <w:t xml:space="preserve">Rozliczenie nastąpi w formie wynagrodzenia </w:t>
      </w:r>
      <w:r w:rsidR="008A44C6" w:rsidRPr="003B5A9A">
        <w:rPr>
          <w:rFonts w:eastAsia="Calibri" w:cs="Arial"/>
          <w:lang w:eastAsia="en-US"/>
        </w:rPr>
        <w:t>ryczałtowego.</w:t>
      </w:r>
    </w:p>
    <w:p w14:paraId="5500AA2E" w14:textId="77777777" w:rsidR="00D4730B" w:rsidRPr="003B5A9A" w:rsidRDefault="00401D98" w:rsidP="00D4730B">
      <w:pPr>
        <w:numPr>
          <w:ilvl w:val="0"/>
          <w:numId w:val="1"/>
        </w:numPr>
        <w:spacing w:line="360" w:lineRule="auto"/>
        <w:ind w:left="284" w:hanging="284"/>
        <w:jc w:val="both"/>
        <w:rPr>
          <w:rFonts w:eastAsia="Calibri" w:cs="Arial"/>
          <w:lang w:eastAsia="en-US"/>
        </w:rPr>
      </w:pPr>
      <w:r w:rsidRPr="003B5A9A">
        <w:rPr>
          <w:rFonts w:eastAsia="Calibri" w:cs="Arial"/>
          <w:lang w:eastAsia="en-US"/>
        </w:rPr>
        <w:t xml:space="preserve">Kosztorys ofertowy </w:t>
      </w:r>
      <w:r w:rsidR="008A44C6" w:rsidRPr="003B5A9A">
        <w:rPr>
          <w:rFonts w:eastAsia="Calibri" w:cs="Arial"/>
          <w:lang w:eastAsia="en-US"/>
        </w:rPr>
        <w:t>wymagany będzie do podpisania umowy.</w:t>
      </w:r>
    </w:p>
    <w:p w14:paraId="158D801A" w14:textId="13BA8660" w:rsidR="00B471D8" w:rsidRPr="00085EA5" w:rsidRDefault="00DF0E97" w:rsidP="00B471D8">
      <w:pPr>
        <w:numPr>
          <w:ilvl w:val="0"/>
          <w:numId w:val="1"/>
        </w:numPr>
        <w:spacing w:line="360" w:lineRule="auto"/>
        <w:ind w:left="284" w:hanging="284"/>
        <w:jc w:val="both"/>
        <w:rPr>
          <w:rFonts w:cs="Arial"/>
        </w:rPr>
      </w:pPr>
      <w:r>
        <w:rPr>
          <w:rFonts w:cs="Arial"/>
        </w:rPr>
        <w:t>Tablic</w:t>
      </w:r>
      <w:r w:rsidR="007715AD">
        <w:rPr>
          <w:rFonts w:cs="Arial"/>
        </w:rPr>
        <w:t>a</w:t>
      </w:r>
      <w:r>
        <w:rPr>
          <w:rFonts w:cs="Arial"/>
        </w:rPr>
        <w:t xml:space="preserve"> informacyjno-promocyjn</w:t>
      </w:r>
      <w:r w:rsidR="007715AD">
        <w:rPr>
          <w:rFonts w:cs="Arial"/>
        </w:rPr>
        <w:t>a</w:t>
      </w:r>
      <w:r>
        <w:rPr>
          <w:rFonts w:cs="Arial"/>
        </w:rPr>
        <w:t>. W</w:t>
      </w:r>
      <w:r w:rsidR="00B471D8" w:rsidRPr="00085EA5">
        <w:rPr>
          <w:rFonts w:cs="Arial"/>
        </w:rPr>
        <w:t xml:space="preserve"> momencie rozpoczęcia prac budowlanych lub innych działań zmierzających bezpośrednio do realizacji zadania</w:t>
      </w:r>
      <w:r w:rsidR="00D4730B" w:rsidRPr="00085EA5">
        <w:rPr>
          <w:rFonts w:cs="Arial"/>
        </w:rPr>
        <w:t xml:space="preserve"> należy zamontować tablic</w:t>
      </w:r>
      <w:r>
        <w:rPr>
          <w:rFonts w:cs="Arial"/>
        </w:rPr>
        <w:t>ę</w:t>
      </w:r>
      <w:r w:rsidR="00D4730B" w:rsidRPr="00085EA5">
        <w:rPr>
          <w:rFonts w:cs="Arial"/>
        </w:rPr>
        <w:t xml:space="preserve"> </w:t>
      </w:r>
      <w:r w:rsidR="00B471D8" w:rsidRPr="00085EA5">
        <w:rPr>
          <w:rFonts w:cs="Arial"/>
        </w:rPr>
        <w:t>o wymiarach 180</w:t>
      </w:r>
      <w:r w:rsidR="00DC2C17">
        <w:rPr>
          <w:rFonts w:cs="Arial"/>
        </w:rPr>
        <w:t xml:space="preserve"> x </w:t>
      </w:r>
      <w:r w:rsidR="00B471D8" w:rsidRPr="00085EA5">
        <w:rPr>
          <w:rFonts w:cs="Arial"/>
        </w:rPr>
        <w:t>120 cm. T</w:t>
      </w:r>
      <w:r w:rsidR="00D4730B" w:rsidRPr="00085EA5">
        <w:rPr>
          <w:rFonts w:cs="Arial"/>
        </w:rPr>
        <w:t xml:space="preserve">ablicę informacyjną wykonuje się z płyty kompozytowej, tworzywa sztucznego pleksi lub PCV o grubości minimum 3 mm albo umieszcza na podkładzie metalowym </w:t>
      </w:r>
      <w:r w:rsidR="00B471D8" w:rsidRPr="00085EA5">
        <w:rPr>
          <w:rFonts w:cs="Arial"/>
        </w:rPr>
        <w:t xml:space="preserve">z podwójnie zawiniętą krawędzią. W cenie należy ująć wykonanie, dostawę i montaż tablic. Solidny stelaż: nie gorszy niż stalowy z profili </w:t>
      </w:r>
      <w:r w:rsidR="00B471D8" w:rsidRPr="00085EA5">
        <w:rPr>
          <w:rFonts w:cs="Arial"/>
        </w:rPr>
        <w:lastRenderedPageBreak/>
        <w:t>po obwodzie lub na dwóch okrągłych nogach + minimum 4 mocowania. Montaż przez zabetonowanie, wysokość słupków minimum 3,5 m. Przed realizacją należy przesłać projekt tablicy do akceptacji Zamawiającego. M</w:t>
      </w:r>
      <w:r w:rsidR="00D4730B" w:rsidRPr="00085EA5">
        <w:rPr>
          <w:rFonts w:cs="Arial"/>
        </w:rPr>
        <w:t>iejsce lokalizacji tablicy należy uzgodnić z zamawiającym</w:t>
      </w:r>
      <w:r w:rsidR="00B471D8" w:rsidRPr="00085EA5">
        <w:rPr>
          <w:rFonts w:cs="Arial"/>
        </w:rPr>
        <w:t xml:space="preserve">. </w:t>
      </w:r>
      <w:r>
        <w:rPr>
          <w:rFonts w:cs="Arial"/>
        </w:rPr>
        <w:t xml:space="preserve">Ilość tablic do wykonania i montażu w ramach niniejszego zamówienia: </w:t>
      </w:r>
      <w:r w:rsidR="006B727C">
        <w:rPr>
          <w:rFonts w:cs="Arial"/>
        </w:rPr>
        <w:t>3</w:t>
      </w:r>
      <w:r>
        <w:rPr>
          <w:rFonts w:cs="Arial"/>
        </w:rPr>
        <w:t xml:space="preserve"> szt. </w:t>
      </w:r>
    </w:p>
    <w:p w14:paraId="6AED1AD6" w14:textId="70D9B308" w:rsidR="00633AAC" w:rsidRPr="00633AAC" w:rsidRDefault="00401D98" w:rsidP="00633AAC">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Zasady oblicze</w:t>
      </w:r>
      <w:r w:rsidR="00B471D8" w:rsidRPr="00085EA5">
        <w:rPr>
          <w:rFonts w:eastAsia="Calibri" w:cs="Arial"/>
          <w:lang w:eastAsia="en-US"/>
        </w:rPr>
        <w:t>nia ceny oferty określono w SWZ</w:t>
      </w:r>
      <w:r w:rsidR="00633AAC" w:rsidRPr="00633AAC">
        <w:rPr>
          <w:rFonts w:eastAsia="Calibri" w:cs="Arial"/>
          <w:lang w:eastAsia="en-US"/>
        </w:rPr>
        <w:t>. Wartość dokumentacji projektowej nie może przekroczyć 5% kwoty brutto ogółem.</w:t>
      </w:r>
    </w:p>
    <w:p w14:paraId="4ACC0536" w14:textId="77777777" w:rsidR="009D22D4" w:rsidRPr="00085EA5" w:rsidRDefault="009D22D4"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Zasady </w:t>
      </w:r>
      <w:r w:rsidR="00401D98" w:rsidRPr="00085EA5">
        <w:rPr>
          <w:rFonts w:eastAsia="Calibri" w:cs="Arial"/>
          <w:lang w:eastAsia="en-US"/>
        </w:rPr>
        <w:t>rozliczenia wynagrodzenia zawarto w projekcie umowy.</w:t>
      </w:r>
      <w:r w:rsidR="00080384" w:rsidRPr="00085EA5">
        <w:rPr>
          <w:rFonts w:eastAsia="Calibri" w:cs="Arial"/>
          <w:lang w:eastAsia="en-US"/>
        </w:rPr>
        <w:t xml:space="preserve"> </w:t>
      </w:r>
    </w:p>
    <w:p w14:paraId="247A5BFE" w14:textId="77777777" w:rsidR="00C27709" w:rsidRPr="00085EA5" w:rsidRDefault="00C27709" w:rsidP="00B471D8">
      <w:pPr>
        <w:numPr>
          <w:ilvl w:val="0"/>
          <w:numId w:val="1"/>
        </w:numPr>
        <w:spacing w:line="360" w:lineRule="auto"/>
        <w:ind w:left="284" w:hanging="284"/>
        <w:jc w:val="both"/>
        <w:rPr>
          <w:rFonts w:cs="Arial"/>
        </w:rPr>
      </w:pPr>
      <w:r w:rsidRPr="00085EA5">
        <w:rPr>
          <w:rFonts w:cs="Arial"/>
        </w:rPr>
        <w:t>Zakres zamówienia:</w:t>
      </w:r>
    </w:p>
    <w:p w14:paraId="40A58CA0" w14:textId="77777777"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 xml:space="preserve">Zagospodarowanie placu budowy i oznaczenie budowy tablicami zgodnie </w:t>
      </w:r>
      <w:r w:rsidR="00460ED1">
        <w:rPr>
          <w:rFonts w:cs="Arial"/>
        </w:rPr>
        <w:t xml:space="preserve">                          </w:t>
      </w:r>
      <w:r w:rsidRPr="00085EA5">
        <w:rPr>
          <w:rFonts w:cs="Arial"/>
        </w:rPr>
        <w:t xml:space="preserve">z obowiązującymi przepisami, zapewnienie zaplecza budowy. </w:t>
      </w:r>
    </w:p>
    <w:p w14:paraId="2A10A434" w14:textId="77777777"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Roboty geodezyjne. Wykonawca zobowiązany jest do wytyczenia obiektów zgodnie z dokumentacją projektową. Wykonawca zobowiązany jest do sprowadzenia prawidłowości wytyczeń i zgłoszenia Inspektorowi nadzoru wszelkich błędów, niejasności i odstępstw przed rozpoczęciem robót. Wykonawca zobowiązany jest do sporządzenia dokumentacji powykonawczej zgodnie z zapisami SWZ.</w:t>
      </w:r>
    </w:p>
    <w:p w14:paraId="5B7833B5" w14:textId="6DE6B5F7" w:rsidR="007669E0" w:rsidRDefault="00C27709" w:rsidP="007669E0">
      <w:pPr>
        <w:numPr>
          <w:ilvl w:val="1"/>
          <w:numId w:val="1"/>
        </w:numPr>
        <w:tabs>
          <w:tab w:val="left" w:pos="709"/>
        </w:tabs>
        <w:spacing w:line="360" w:lineRule="auto"/>
        <w:ind w:left="709" w:hanging="425"/>
        <w:jc w:val="both"/>
        <w:rPr>
          <w:rFonts w:cs="Arial"/>
        </w:rPr>
      </w:pPr>
      <w:r w:rsidRPr="00085EA5">
        <w:rPr>
          <w:rFonts w:cs="Arial"/>
        </w:rPr>
        <w:t xml:space="preserve">Roboty ziemne, roboty budowlane zgodnie z technologią i zakresem wynikającym z </w:t>
      </w:r>
      <w:r w:rsidR="00E80D86">
        <w:rPr>
          <w:rFonts w:cs="Arial"/>
        </w:rPr>
        <w:t>OPZ w tym m.in.</w:t>
      </w:r>
      <w:r w:rsidR="007669E0" w:rsidRPr="00085EA5">
        <w:rPr>
          <w:rFonts w:cs="Arial"/>
        </w:rPr>
        <w:t xml:space="preserve">: prace przygotowawcze i pomocnicze, prace rozbiórkowe, wycinka drzew i krzewów, korytowanie, wykonanie podbudowy, profilowanie i zagęszczenie, wykonanie nawierzchni, wykonanie zjazdów, wykonanie rowów, wzmocnienie skarp, uporządkowanie terenu, humusowanie i obsianie trawą, wykonanie oznakowania pionowego i poziomego, wykonanie </w:t>
      </w:r>
      <w:r w:rsidR="00610286">
        <w:rPr>
          <w:rFonts w:cs="Arial"/>
        </w:rPr>
        <w:t>urządzeń bezpieczeństwa ruchu</w:t>
      </w:r>
      <w:r w:rsidR="007669E0" w:rsidRPr="00085EA5">
        <w:rPr>
          <w:rFonts w:cs="Arial"/>
        </w:rPr>
        <w:t xml:space="preserve">. </w:t>
      </w:r>
    </w:p>
    <w:p w14:paraId="7E8739B6" w14:textId="1285C46A" w:rsidR="00184B02" w:rsidRDefault="007669E0" w:rsidP="00085EA5">
      <w:pPr>
        <w:numPr>
          <w:ilvl w:val="1"/>
          <w:numId w:val="1"/>
        </w:numPr>
        <w:tabs>
          <w:tab w:val="left" w:pos="709"/>
        </w:tabs>
        <w:spacing w:line="360" w:lineRule="auto"/>
        <w:ind w:left="709" w:hanging="425"/>
        <w:jc w:val="both"/>
        <w:rPr>
          <w:rFonts w:cs="Arial"/>
        </w:rPr>
      </w:pPr>
      <w:r w:rsidRPr="00085EA5">
        <w:rPr>
          <w:rFonts w:cs="Arial"/>
        </w:rPr>
        <w:t>opracowanie dokumentacji</w:t>
      </w:r>
      <w:r w:rsidR="00894E17" w:rsidRPr="00085EA5">
        <w:rPr>
          <w:rFonts w:cs="Arial"/>
        </w:rPr>
        <w:t xml:space="preserve"> </w:t>
      </w:r>
      <w:r w:rsidRPr="00085EA5">
        <w:rPr>
          <w:rFonts w:cs="Arial"/>
        </w:rPr>
        <w:t>powykonawczej</w:t>
      </w:r>
      <w:r w:rsidR="00610286">
        <w:rPr>
          <w:rFonts w:cs="Arial"/>
        </w:rPr>
        <w:t>, przekazanie operatu kolaudacyjnego zgodnie z wymogami projektu umowy</w:t>
      </w:r>
      <w:r w:rsidRPr="00085EA5">
        <w:rPr>
          <w:rFonts w:cs="Arial"/>
        </w:rPr>
        <w:t>.</w:t>
      </w:r>
      <w:r w:rsidR="00184B02">
        <w:rPr>
          <w:rFonts w:cs="Arial"/>
        </w:rPr>
        <w:t xml:space="preserve"> </w:t>
      </w:r>
    </w:p>
    <w:p w14:paraId="2D649846" w14:textId="2BC34DAA" w:rsidR="000370CE" w:rsidRDefault="00184B02" w:rsidP="00085EA5">
      <w:pPr>
        <w:numPr>
          <w:ilvl w:val="1"/>
          <w:numId w:val="1"/>
        </w:numPr>
        <w:tabs>
          <w:tab w:val="left" w:pos="709"/>
        </w:tabs>
        <w:spacing w:line="360" w:lineRule="auto"/>
        <w:ind w:left="709" w:hanging="425"/>
        <w:jc w:val="both"/>
        <w:rPr>
          <w:rFonts w:cs="Arial"/>
        </w:rPr>
      </w:pPr>
      <w:r>
        <w:rPr>
          <w:rFonts w:cs="Arial"/>
        </w:rPr>
        <w:t>Geodezyjny pomiar powykonawczy z potwierdzeniem złożenia w Starostwie Powiatowym.</w:t>
      </w:r>
    </w:p>
    <w:p w14:paraId="29EEFA0D" w14:textId="3986D1C9" w:rsidR="00610286" w:rsidRDefault="00DF0E97" w:rsidP="0010048D">
      <w:pPr>
        <w:numPr>
          <w:ilvl w:val="0"/>
          <w:numId w:val="1"/>
        </w:numPr>
        <w:tabs>
          <w:tab w:val="left" w:pos="426"/>
        </w:tabs>
        <w:autoSpaceDE w:val="0"/>
        <w:autoSpaceDN w:val="0"/>
        <w:adjustRightInd w:val="0"/>
        <w:spacing w:line="360" w:lineRule="auto"/>
        <w:ind w:left="284" w:hanging="284"/>
        <w:jc w:val="both"/>
        <w:rPr>
          <w:rFonts w:cs="Arial"/>
        </w:rPr>
      </w:pPr>
      <w:r w:rsidRPr="00DF0E97">
        <w:rPr>
          <w:rFonts w:cs="Arial"/>
        </w:rPr>
        <w:t xml:space="preserve">Zamawiający wymaga wykonania zamówienia w terminie </w:t>
      </w:r>
      <w:r w:rsidR="00E80D86">
        <w:rPr>
          <w:rFonts w:cs="Arial"/>
        </w:rPr>
        <w:t>1</w:t>
      </w:r>
      <w:r w:rsidR="00D44DED">
        <w:rPr>
          <w:rFonts w:cs="Arial"/>
        </w:rPr>
        <w:t>8</w:t>
      </w:r>
      <w:r w:rsidR="00610286">
        <w:rPr>
          <w:rFonts w:cs="Arial"/>
        </w:rPr>
        <w:t xml:space="preserve"> </w:t>
      </w:r>
      <w:r w:rsidRPr="00DF0E97">
        <w:rPr>
          <w:rFonts w:cs="Arial"/>
        </w:rPr>
        <w:t>miesięcy od daty zawarcia umowy</w:t>
      </w:r>
      <w:r w:rsidR="00610286">
        <w:rPr>
          <w:rFonts w:cs="Arial"/>
        </w:rPr>
        <w:t>.</w:t>
      </w:r>
    </w:p>
    <w:p w14:paraId="6D157EA4" w14:textId="6FCD16C2" w:rsidR="00085EA5" w:rsidRDefault="00460ED1" w:rsidP="0010048D">
      <w:pPr>
        <w:numPr>
          <w:ilvl w:val="0"/>
          <w:numId w:val="1"/>
        </w:numPr>
        <w:tabs>
          <w:tab w:val="left" w:pos="426"/>
        </w:tabs>
        <w:autoSpaceDE w:val="0"/>
        <w:autoSpaceDN w:val="0"/>
        <w:adjustRightInd w:val="0"/>
        <w:spacing w:line="360" w:lineRule="auto"/>
        <w:ind w:left="284" w:hanging="284"/>
        <w:jc w:val="both"/>
        <w:rPr>
          <w:rFonts w:cs="Arial"/>
        </w:rPr>
      </w:pPr>
      <w:r w:rsidRPr="0010048D">
        <w:rPr>
          <w:rFonts w:cs="Arial"/>
        </w:rPr>
        <w:t xml:space="preserve">W </w:t>
      </w:r>
      <w:r w:rsidR="00C27709" w:rsidRPr="0010048D">
        <w:rPr>
          <w:rFonts w:cs="Arial"/>
        </w:rPr>
        <w:t xml:space="preserve">celu wykonania zadania w terminie Zamawiający wymaga sporządzenia harmonogramu. </w:t>
      </w:r>
      <w:r w:rsidR="00D17711" w:rsidRPr="0010048D">
        <w:rPr>
          <w:rFonts w:cs="Arial"/>
        </w:rPr>
        <w:t xml:space="preserve">Zamawiający zastrzega sobie prawo wprowadzenia zmian w harmonogramie w zależności od potrzeb. Wykonawca ma obowiązek uwzględnić kolejność </w:t>
      </w:r>
      <w:r w:rsidRPr="0010048D">
        <w:rPr>
          <w:rFonts w:cs="Arial"/>
        </w:rPr>
        <w:t>prac</w:t>
      </w:r>
      <w:r w:rsidR="00D17711" w:rsidRPr="0010048D">
        <w:rPr>
          <w:rFonts w:cs="Arial"/>
        </w:rPr>
        <w:t xml:space="preserve"> (etap</w:t>
      </w:r>
      <w:r w:rsidRPr="0010048D">
        <w:rPr>
          <w:rFonts w:cs="Arial"/>
        </w:rPr>
        <w:t>y</w:t>
      </w:r>
      <w:r w:rsidR="00D17711" w:rsidRPr="0010048D">
        <w:rPr>
          <w:rFonts w:cs="Arial"/>
        </w:rPr>
        <w:t>) zgodnie z oczekiwaniami</w:t>
      </w:r>
      <w:r w:rsidR="007669E0" w:rsidRPr="0010048D">
        <w:rPr>
          <w:rFonts w:cs="Arial"/>
        </w:rPr>
        <w:t xml:space="preserve"> i potrzebami</w:t>
      </w:r>
      <w:r w:rsidR="00D17711" w:rsidRPr="0010048D">
        <w:rPr>
          <w:rFonts w:cs="Arial"/>
        </w:rPr>
        <w:t xml:space="preserve"> Zamawiającego</w:t>
      </w:r>
      <w:r w:rsidR="007669E0" w:rsidRPr="0010048D">
        <w:rPr>
          <w:rFonts w:cs="Arial"/>
        </w:rPr>
        <w:t>.</w:t>
      </w:r>
    </w:p>
    <w:p w14:paraId="6CA84B64"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Najpóźniej na dzień zgłoszenia gotowości do odbioru końcowego Wykonawca ma obowiązek przekazać Zamawiającemu w formie papierowej i elektronicznej edytowalnej dokumentację powykonawczą (po 2 egz. w każdej formie)</w:t>
      </w:r>
      <w:r w:rsidR="009D22D4" w:rsidRPr="00085EA5">
        <w:rPr>
          <w:rFonts w:cs="Arial"/>
        </w:rPr>
        <w:t xml:space="preserve">. Zawartość dokumentacji </w:t>
      </w:r>
      <w:r w:rsidR="009D22D4" w:rsidRPr="00085EA5">
        <w:rPr>
          <w:rFonts w:cs="Arial"/>
        </w:rPr>
        <w:lastRenderedPageBreak/>
        <w:t>powykonawczej określa projekt umowy.</w:t>
      </w:r>
      <w:r w:rsidR="007669E0" w:rsidRPr="00085EA5">
        <w:rPr>
          <w:rFonts w:cs="Arial"/>
        </w:rPr>
        <w:t xml:space="preserve"> </w:t>
      </w:r>
      <w:r w:rsidRPr="00085EA5">
        <w:rPr>
          <w:rFonts w:cs="Arial"/>
        </w:rPr>
        <w:t xml:space="preserve">Dokumentację odbiorową należy przygotować w formie przejrzystej i czytelnej, wraz ze spisem treści (zawartości) i oznaczeniami ułatwiającymi sprawne odszukanie dokumentu. </w:t>
      </w:r>
    </w:p>
    <w:p w14:paraId="0F61383D"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Zamawiający nie przewiduje żadnych przedpłat ani zaliczek na poczet realizacji przedmiotu umowy, a płatność nastąpi zgodnie z zapisami projektu umowy załączonego do SWZ</w:t>
      </w:r>
    </w:p>
    <w:p w14:paraId="1FB727D8"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Organizacja, zagospodarowanie, zabezpieczenie, utrzymanie i likwidacja placu budowy jest po stronie Wykonawcy. </w:t>
      </w:r>
    </w:p>
    <w:p w14:paraId="50805F56"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w:t>
      </w:r>
      <w:proofErr w:type="spellStart"/>
      <w:r w:rsidRPr="00085EA5">
        <w:rPr>
          <w:rFonts w:cs="Arial"/>
        </w:rPr>
        <w:t>STWiOR</w:t>
      </w:r>
      <w:proofErr w:type="spellEnd"/>
      <w:r w:rsidRPr="00085EA5">
        <w:rPr>
          <w:rFonts w:cs="Arial"/>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67D64639"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w:t>
      </w:r>
      <w:r w:rsidRPr="00085EA5">
        <w:rPr>
          <w:rFonts w:cs="Arial"/>
        </w:rPr>
        <w:lastRenderedPageBreak/>
        <w:t xml:space="preserve">ustawy Prawo budowlane oraz wymogom, jakie zostały określone w </w:t>
      </w:r>
      <w:proofErr w:type="spellStart"/>
      <w:r w:rsidRPr="00085EA5">
        <w:rPr>
          <w:rFonts w:cs="Arial"/>
        </w:rPr>
        <w:t>STWiOR</w:t>
      </w:r>
      <w:proofErr w:type="spellEnd"/>
      <w:r w:rsidRPr="00085EA5">
        <w:rPr>
          <w:rFonts w:cs="Arial"/>
        </w:rPr>
        <w:t>. Wykonawca 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 2 egz. wniosku materiałowego zawierającego opis, parametry, właściwości materiału, urządzenia, wyrobu przewidzianego do wbudowania wraz z aktualnymi atestami, deklaracjami itp. Wniosek materiałowy zostanie zaopiniowany przez Zamawiającego w ciągu 14 dni od daty wpływu. W związku z powyższym okres weryfikacji wniosku należy uwzględnić przy planowaniu zamówień na dostawy.</w:t>
      </w:r>
    </w:p>
    <w:p w14:paraId="2250ECB3"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color w:val="000000"/>
        </w:rPr>
        <w:t>Wykonawca udzielając gwarancji na zamówienie udziela Zamawiającemu gwarancji jakości na roboty budowlane z zastosow</w:t>
      </w:r>
      <w:r w:rsidR="007669E0" w:rsidRPr="00085EA5">
        <w:rPr>
          <w:rFonts w:cs="Arial"/>
          <w:color w:val="000000"/>
        </w:rPr>
        <w:t>anymi materiałami budowlanymi</w:t>
      </w:r>
      <w:r w:rsidRPr="00085EA5">
        <w:rPr>
          <w:rFonts w:cs="Arial"/>
          <w:color w:val="000000"/>
        </w:rPr>
        <w:t xml:space="preserve">. </w:t>
      </w:r>
    </w:p>
    <w:p w14:paraId="1B2D94A4" w14:textId="77777777" w:rsidR="008E59F3" w:rsidRP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Szczegółowy opis przedmiotu zamówienia został ujęty w następujących załącznikach do SWZ:</w:t>
      </w:r>
    </w:p>
    <w:p w14:paraId="3EAC0F1A" w14:textId="7081966D" w:rsidR="00085EA5" w:rsidRDefault="00E80D86" w:rsidP="00085EA5">
      <w:pPr>
        <w:pStyle w:val="Akapitzlist"/>
        <w:numPr>
          <w:ilvl w:val="0"/>
          <w:numId w:val="31"/>
        </w:numPr>
        <w:spacing w:line="360" w:lineRule="auto"/>
        <w:jc w:val="both"/>
        <w:rPr>
          <w:rFonts w:cs="Arial"/>
        </w:rPr>
      </w:pPr>
      <w:r>
        <w:rPr>
          <w:rFonts w:cs="Arial"/>
        </w:rPr>
        <w:t xml:space="preserve">Borucino: </w:t>
      </w:r>
      <w:r w:rsidR="007669E0" w:rsidRPr="00085EA5">
        <w:rPr>
          <w:rFonts w:cs="Arial"/>
        </w:rPr>
        <w:t>Program funkcjonalno-użytkowy</w:t>
      </w:r>
      <w:r>
        <w:rPr>
          <w:rFonts w:cs="Arial"/>
        </w:rPr>
        <w:t>, opinia geotechniczna, przedmiar robót</w:t>
      </w:r>
      <w:r w:rsidR="00DF7B6B">
        <w:rPr>
          <w:rFonts w:cs="Arial"/>
        </w:rPr>
        <w:t>.</w:t>
      </w:r>
    </w:p>
    <w:p w14:paraId="69CC22C6" w14:textId="77B5F27F" w:rsidR="00085EA5" w:rsidRPr="00DF7B6B" w:rsidRDefault="00E80D86" w:rsidP="00A86B86">
      <w:pPr>
        <w:pStyle w:val="Akapitzlist"/>
        <w:numPr>
          <w:ilvl w:val="0"/>
          <w:numId w:val="31"/>
        </w:numPr>
        <w:spacing w:line="360" w:lineRule="auto"/>
        <w:jc w:val="both"/>
        <w:rPr>
          <w:rFonts w:cs="Arial"/>
        </w:rPr>
      </w:pPr>
      <w:r>
        <w:rPr>
          <w:rFonts w:cs="Arial"/>
        </w:rPr>
        <w:t xml:space="preserve">Gołubie: mapy z lokalizacją, </w:t>
      </w:r>
      <w:proofErr w:type="spellStart"/>
      <w:r>
        <w:rPr>
          <w:rFonts w:cs="Arial"/>
        </w:rPr>
        <w:t>STWiOR</w:t>
      </w:r>
      <w:proofErr w:type="spellEnd"/>
      <w:r>
        <w:rPr>
          <w:rFonts w:cs="Arial"/>
        </w:rPr>
        <w:t>, przekrój</w:t>
      </w:r>
      <w:r w:rsidR="00EE3C67">
        <w:rPr>
          <w:rFonts w:cs="Arial"/>
        </w:rPr>
        <w:t>, przedmiar robót</w:t>
      </w:r>
      <w:r>
        <w:rPr>
          <w:rFonts w:cs="Arial"/>
        </w:rPr>
        <w:t xml:space="preserve">. </w:t>
      </w:r>
    </w:p>
    <w:p w14:paraId="1B975A17" w14:textId="37DEB1A3" w:rsidR="00EE3C67" w:rsidRPr="00EE3C67" w:rsidRDefault="00EE3C67" w:rsidP="00EE3C67">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E3C67">
        <w:rPr>
          <w:rFonts w:cs="Arial"/>
        </w:rPr>
        <w:t xml:space="preserve">Przedmiar robót </w:t>
      </w:r>
      <w:r w:rsidRPr="00EE3C67">
        <w:rPr>
          <w:rFonts w:eastAsia="Calibri" w:cs="Arial"/>
          <w:lang w:eastAsia="en-US"/>
        </w:rPr>
        <w:t>należy traktować tylko i wyłącznie jako element pomocniczy do obliczenia ceny oferty</w:t>
      </w:r>
      <w:r>
        <w:rPr>
          <w:rFonts w:eastAsia="Calibri" w:cs="Arial"/>
          <w:lang w:eastAsia="en-US"/>
        </w:rPr>
        <w:t>, a skorzystanie z niego jest dobrowolne</w:t>
      </w:r>
      <w:r w:rsidRPr="00EE3C67">
        <w:rPr>
          <w:rFonts w:eastAsia="Calibri" w:cs="Arial"/>
          <w:lang w:eastAsia="en-US"/>
        </w:rPr>
        <w:t>.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programu funkcjonalno-użytkowego, dokumentacji geotechnicznej oraz udzielonych wyjaśnień, z uwzględnieniem opisu zawartego w załączniku A do SIWZ.</w:t>
      </w:r>
    </w:p>
    <w:p w14:paraId="1867E47F" w14:textId="77777777" w:rsidR="00EE3C67" w:rsidRDefault="00EE3C67" w:rsidP="00EE3C67">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Program funkcjonalno-użytkowy stanowi własność Zamawiającego i może być wykorzystany wyłącznie w celu wykonania przedmiotu Umowy zgodnie z przeznaczeniem.</w:t>
      </w:r>
    </w:p>
    <w:p w14:paraId="575EE6F6" w14:textId="443B6A2B" w:rsidR="00E137A5" w:rsidRDefault="002F04A6"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085EA5">
        <w:rPr>
          <w:rFonts w:eastAsia="Calibri" w:cs="Arial"/>
          <w:lang w:eastAsia="en-US"/>
        </w:rPr>
        <w:t>Szczegóły realizacji i rozliczeń</w:t>
      </w:r>
      <w:r w:rsidR="007315B0" w:rsidRPr="00085EA5">
        <w:rPr>
          <w:rFonts w:eastAsia="Calibri" w:cs="Arial"/>
          <w:lang w:eastAsia="en-US"/>
        </w:rPr>
        <w:t>:</w:t>
      </w:r>
      <w:r w:rsidRPr="00085EA5">
        <w:rPr>
          <w:rFonts w:eastAsia="Calibri" w:cs="Arial"/>
          <w:lang w:eastAsia="en-US"/>
        </w:rPr>
        <w:t xml:space="preserve"> zgodnie z projektem umowy. Z uwagi na możliwość zmiany potrzeb w trakcie realizacji umowy Zamawiający ma prawo do zmniejszenia zakresu realizacji umowy maksymalnie o </w:t>
      </w:r>
      <w:r w:rsidR="00C47565">
        <w:rPr>
          <w:rFonts w:eastAsia="Calibri" w:cs="Arial"/>
          <w:lang w:eastAsia="en-US"/>
        </w:rPr>
        <w:t>2</w:t>
      </w:r>
      <w:r w:rsidRPr="00085EA5">
        <w:rPr>
          <w:rFonts w:eastAsia="Calibri" w:cs="Arial"/>
          <w:lang w:eastAsia="en-US"/>
        </w:rPr>
        <w:t>0 % oraz do zmiany poszczególnych ilości i kategorii robót. Wykonawcy nie przysługuje żadne roszczenie w stosunku do Zamawiającego w przypadku wystąpienia w/w okoliczności, w tym żądanie realizacji umowy do wysokości 100 % ceny umownej.</w:t>
      </w:r>
      <w:r w:rsidR="003B1458" w:rsidRPr="00085EA5">
        <w:rPr>
          <w:rFonts w:eastAsia="Calibri" w:cs="Arial"/>
          <w:lang w:eastAsia="en-US"/>
        </w:rPr>
        <w:t xml:space="preserve"> Zamawiający po podpisaniu umowy </w:t>
      </w:r>
      <w:r w:rsidR="003B1458" w:rsidRPr="00085EA5">
        <w:rPr>
          <w:rFonts w:eastAsia="Calibri" w:cs="Arial"/>
          <w:lang w:eastAsia="en-US"/>
        </w:rPr>
        <w:lastRenderedPageBreak/>
        <w:t xml:space="preserve">uzgodni z Wykonawcą harmonogram wykonania robót. </w:t>
      </w:r>
      <w:r w:rsidR="009D22D4" w:rsidRPr="00085EA5">
        <w:rPr>
          <w:rFonts w:eastAsia="Calibri" w:cs="Arial"/>
          <w:lang w:eastAsia="en-US"/>
        </w:rPr>
        <w:t>Wykonawca zobowiązany jest do przedłożenia projektu harmonogramu w podziale na miesiące w terminie 7 dni od daty zawarcia umowy.</w:t>
      </w:r>
    </w:p>
    <w:p w14:paraId="6ECF4DD2" w14:textId="77777777" w:rsidR="00E137A5" w:rsidRPr="00E137A5" w:rsidRDefault="0013136A"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eastAsia="Calibri" w:cs="Arial"/>
          <w:lang w:eastAsia="en-US"/>
        </w:rPr>
        <w:t xml:space="preserve">Zamawiający ma nieograniczone prawo </w:t>
      </w:r>
      <w:r w:rsidRPr="00E137A5">
        <w:rPr>
          <w:rFonts w:cs="Arial"/>
        </w:rPr>
        <w:t>wykonania badań, prób, jak również do dokonania odkrywek w przypadku nie zgłoszenia do odbioru robót ulegających zakryciu lub zanikających. Zamawiający ma nieograniczone prawo wykonania badań laboratoryjnych w niezależnym laboratorium, w przypadku potwierdzenia zastosowania mat</w:t>
      </w:r>
      <w:r w:rsidR="00937B76" w:rsidRPr="00E137A5">
        <w:rPr>
          <w:rFonts w:cs="Arial"/>
        </w:rPr>
        <w:t>eriału niezgodnego z zapisami S</w:t>
      </w:r>
      <w:r w:rsidRPr="00E137A5">
        <w:rPr>
          <w:rFonts w:cs="Arial"/>
        </w:rPr>
        <w:t>WZ i załączników</w:t>
      </w:r>
      <w:r w:rsidR="007315B0" w:rsidRPr="00E137A5">
        <w:rPr>
          <w:rFonts w:cs="Arial"/>
        </w:rPr>
        <w:t>.</w:t>
      </w:r>
      <w:r w:rsidRPr="00E137A5">
        <w:rPr>
          <w:rFonts w:cs="Arial"/>
        </w:rPr>
        <w:t xml:space="preserve"> Wykonawca dokona wymiany </w:t>
      </w:r>
      <w:r w:rsidR="00937B76" w:rsidRPr="00E137A5">
        <w:rPr>
          <w:rFonts w:cs="Arial"/>
        </w:rPr>
        <w:t>materiału na zgod</w:t>
      </w:r>
      <w:r w:rsidR="003B1458" w:rsidRPr="00E137A5">
        <w:rPr>
          <w:rFonts w:cs="Arial"/>
        </w:rPr>
        <w:t>n</w:t>
      </w:r>
      <w:r w:rsidR="00937B76" w:rsidRPr="00E137A5">
        <w:rPr>
          <w:rFonts w:cs="Arial"/>
        </w:rPr>
        <w:t>y z wymogami S</w:t>
      </w:r>
      <w:r w:rsidRPr="00E137A5">
        <w:rPr>
          <w:rFonts w:cs="Arial"/>
        </w:rPr>
        <w:t>WZ, dokona zwrotu kosztu badania oraz wykona ponowne badanie na swój koszt</w:t>
      </w:r>
      <w:r w:rsidR="007315B0" w:rsidRPr="00E137A5">
        <w:rPr>
          <w:rFonts w:cs="Arial"/>
        </w:rPr>
        <w:t xml:space="preserve"> – w przypadku wyniku wskazującego na zastosowanie materiału niezgodnego z SWZ.</w:t>
      </w:r>
    </w:p>
    <w:p w14:paraId="21E9650E" w14:textId="77777777" w:rsidR="00240126" w:rsidRPr="00E137A5" w:rsidRDefault="00E31EFD"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cs="Arial"/>
        </w:rPr>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w:t>
      </w:r>
      <w:proofErr w:type="spellStart"/>
      <w:r w:rsidRPr="00E137A5">
        <w:rPr>
          <w:rFonts w:cs="Arial"/>
        </w:rPr>
        <w:t>tj</w:t>
      </w:r>
      <w:proofErr w:type="spellEnd"/>
      <w:r w:rsidRPr="00E137A5">
        <w:rPr>
          <w:rFonts w:cs="Arial"/>
        </w:rPr>
        <w:t xml:space="preserve"> Dz. U. z 2020 r. poz. 1320 z zm.). Przez nawiązanie stosunku pracy pracownik zobowiązuje się do wykonywania pracy określonego rodzaju na rzecz pracodawcy i pod jego kierownictwem oraz w miejscu wyznaczonym przez pracodawcę, a pracodawca – do zatrudnienia pracownika za wynagrodzeniem. Zamawiający określa następujące czynności wymagające zatrudnienia na podstawie umowy o pracę: </w:t>
      </w:r>
      <w:r w:rsidRPr="00E137A5">
        <w:rPr>
          <w:rFonts w:eastAsia="Calibri" w:cs="Arial"/>
          <w:lang w:eastAsia="en-US"/>
        </w:rPr>
        <w:t xml:space="preserve">wykonanie robót ziemnych, </w:t>
      </w:r>
      <w:r w:rsidR="00E137A5">
        <w:rPr>
          <w:rFonts w:eastAsia="Calibri" w:cs="Arial"/>
          <w:lang w:eastAsia="en-US"/>
        </w:rPr>
        <w:t xml:space="preserve">porządkowe, drogowych, montaż oznakowania, </w:t>
      </w:r>
      <w:r w:rsidRPr="00E137A5">
        <w:rPr>
          <w:rFonts w:eastAsia="Calibri" w:cs="Arial"/>
          <w:lang w:eastAsia="en-US"/>
        </w:rPr>
        <w:t>dozór placu budowy.</w:t>
      </w:r>
      <w:r w:rsidRPr="00E137A5">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14:paraId="11D695FE" w14:textId="77777777" w:rsidR="00240126" w:rsidRPr="00085EA5" w:rsidRDefault="00E31EFD" w:rsidP="00B471D8">
      <w:pPr>
        <w:pStyle w:val="Akapitzlist"/>
        <w:numPr>
          <w:ilvl w:val="0"/>
          <w:numId w:val="1"/>
        </w:numPr>
        <w:spacing w:line="360" w:lineRule="auto"/>
        <w:ind w:left="426" w:hanging="426"/>
        <w:jc w:val="both"/>
        <w:rPr>
          <w:rFonts w:cs="Arial"/>
        </w:rPr>
      </w:pPr>
      <w:r w:rsidRPr="00085EA5">
        <w:rPr>
          <w:rFonts w:cs="Arial"/>
        </w:rPr>
        <w:t>Zamawiający nie określa dodatkowych wymagań zwi</w:t>
      </w:r>
      <w:r w:rsidR="00240126" w:rsidRPr="00085EA5">
        <w:rPr>
          <w:rFonts w:cs="Arial"/>
        </w:rPr>
        <w:t xml:space="preserve">ązanych z zatrudnianiem osób, o </w:t>
      </w:r>
      <w:r w:rsidRPr="00085EA5">
        <w:rPr>
          <w:rFonts w:cs="Arial"/>
        </w:rPr>
        <w:t xml:space="preserve">których mowa w art. 96 ust. 2 pkt 2 </w:t>
      </w:r>
      <w:proofErr w:type="spellStart"/>
      <w:r w:rsidRPr="00085EA5">
        <w:rPr>
          <w:rFonts w:cs="Arial"/>
        </w:rPr>
        <w:t>p.z.p</w:t>
      </w:r>
      <w:proofErr w:type="spellEnd"/>
      <w:r w:rsidRPr="00085EA5">
        <w:rPr>
          <w:rFonts w:cs="Arial"/>
        </w:rPr>
        <w:t xml:space="preserve">. </w:t>
      </w:r>
    </w:p>
    <w:p w14:paraId="7044E4D2" w14:textId="77777777" w:rsidR="006F13BC" w:rsidRPr="00085EA5" w:rsidRDefault="00E31EFD" w:rsidP="00B471D8">
      <w:pPr>
        <w:pStyle w:val="Akapitzlist"/>
        <w:numPr>
          <w:ilvl w:val="0"/>
          <w:numId w:val="1"/>
        </w:numPr>
        <w:spacing w:line="360" w:lineRule="auto"/>
        <w:ind w:left="426" w:hanging="426"/>
        <w:jc w:val="both"/>
        <w:rPr>
          <w:rFonts w:cs="Arial"/>
        </w:rPr>
      </w:pPr>
      <w:r w:rsidRPr="00085EA5">
        <w:rPr>
          <w:rFonts w:eastAsia="Calibri" w:cs="Arial"/>
          <w:lang w:eastAsia="en-US"/>
        </w:rPr>
        <w:t xml:space="preserve">Wykonanie przebudowy niezinwentaryzowanej lub błędnie zinwentaryzowanych sieci </w:t>
      </w:r>
      <w:r w:rsidR="00881D56" w:rsidRPr="00085EA5">
        <w:rPr>
          <w:rFonts w:eastAsia="Calibri" w:cs="Arial"/>
          <w:lang w:eastAsia="en-US"/>
        </w:rPr>
        <w:t xml:space="preserve">lub instalacji </w:t>
      </w:r>
      <w:r w:rsidRPr="00085EA5">
        <w:rPr>
          <w:rFonts w:eastAsia="Calibri" w:cs="Arial"/>
          <w:lang w:eastAsia="en-US"/>
        </w:rPr>
        <w:t>nie obciążają Wykonawcy.</w:t>
      </w:r>
    </w:p>
    <w:sectPr w:rsidR="006F13BC" w:rsidRPr="00085EA5" w:rsidSect="00275607">
      <w:footerReference w:type="even" r:id="rId8"/>
      <w:footerReference w:type="default" r:id="rId9"/>
      <w:footerReference w:type="first" r:id="rId10"/>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29265" w14:textId="77777777" w:rsidR="00345A3D" w:rsidRDefault="00345A3D">
      <w:r>
        <w:separator/>
      </w:r>
    </w:p>
  </w:endnote>
  <w:endnote w:type="continuationSeparator" w:id="0">
    <w:p w14:paraId="0AC694FB" w14:textId="77777777" w:rsidR="00345A3D" w:rsidRDefault="0034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B9C5" w14:textId="77777777" w:rsidR="001F3B22" w:rsidRDefault="00D3632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14:paraId="7F187811" w14:textId="77777777"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DB0862" w:rsidRPr="00DB0862">
          <w:rPr>
            <w:rFonts w:asciiTheme="minorHAnsi" w:eastAsiaTheme="majorEastAsia" w:hAnsiTheme="minorHAnsi" w:cstheme="minorHAnsi"/>
            <w:noProof/>
            <w:sz w:val="18"/>
            <w:szCs w:val="22"/>
          </w:rPr>
          <w:t>3</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14:paraId="219F4BAE" w14:textId="77777777"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DB0862" w:rsidRPr="00DB0862">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6AF7C" w14:textId="77777777" w:rsidR="00345A3D" w:rsidRDefault="00345A3D">
      <w:r>
        <w:separator/>
      </w:r>
    </w:p>
  </w:footnote>
  <w:footnote w:type="continuationSeparator" w:id="0">
    <w:p w14:paraId="1AAB4CF3" w14:textId="77777777" w:rsidR="00345A3D" w:rsidRDefault="00345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97CD5"/>
    <w:multiLevelType w:val="hybridMultilevel"/>
    <w:tmpl w:val="33ACA802"/>
    <w:lvl w:ilvl="0" w:tplc="D24ADF18">
      <w:start w:val="2"/>
      <w:numFmt w:val="bullet"/>
      <w:lvlText w:val="·"/>
      <w:lvlJc w:val="left"/>
      <w:pPr>
        <w:ind w:left="1251" w:hanging="684"/>
      </w:pPr>
      <w:rPr>
        <w:rFonts w:ascii="Arial" w:eastAsia="Calibri"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15:restartNumberingAfterBreak="0">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9897AF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A074FB0"/>
    <w:multiLevelType w:val="hybridMultilevel"/>
    <w:tmpl w:val="CC86E362"/>
    <w:lvl w:ilvl="0" w:tplc="F8021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3507DC"/>
    <w:multiLevelType w:val="hybridMultilevel"/>
    <w:tmpl w:val="D0AACA60"/>
    <w:lvl w:ilvl="0" w:tplc="8D021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DF35A40"/>
    <w:multiLevelType w:val="hybridMultilevel"/>
    <w:tmpl w:val="8BF818FA"/>
    <w:lvl w:ilvl="0" w:tplc="4ED23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B0014A1"/>
    <w:multiLevelType w:val="multilevel"/>
    <w:tmpl w:val="EED4F49E"/>
    <w:lvl w:ilvl="0">
      <w:start w:val="1"/>
      <w:numFmt w:val="decimal"/>
      <w:lvlText w:val="%1."/>
      <w:lvlJc w:val="left"/>
      <w:pPr>
        <w:ind w:left="420"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9F25BB8"/>
    <w:multiLevelType w:val="hybridMultilevel"/>
    <w:tmpl w:val="BB2649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DC04B70"/>
    <w:multiLevelType w:val="hybridMultilevel"/>
    <w:tmpl w:val="0682F9CE"/>
    <w:lvl w:ilvl="0" w:tplc="0415000F">
      <w:start w:val="1"/>
      <w:numFmt w:val="decimal"/>
      <w:lvlText w:val="%1."/>
      <w:lvlJc w:val="left"/>
      <w:pPr>
        <w:ind w:left="720" w:hanging="360"/>
      </w:pPr>
      <w:rPr>
        <w:rFonts w:hint="default"/>
      </w:rPr>
    </w:lvl>
    <w:lvl w:ilvl="1" w:tplc="E1F62F2E">
      <w:start w:val="1"/>
      <w:numFmt w:val="decimal"/>
      <w:lvlText w:val="%2."/>
      <w:lvlJc w:val="left"/>
      <w:pPr>
        <w:ind w:left="1440" w:hanging="360"/>
      </w:pPr>
      <w:rPr>
        <w:rFonts w:ascii="Arial" w:eastAsia="Calibri" w:hAnsi="Arial" w:cs="Aria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F30D7"/>
    <w:multiLevelType w:val="multilevel"/>
    <w:tmpl w:val="B24C9144"/>
    <w:lvl w:ilvl="0">
      <w:start w:val="1"/>
      <w:numFmt w:val="decimal"/>
      <w:lvlText w:val="%1."/>
      <w:lvlJc w:val="left"/>
      <w:pPr>
        <w:ind w:left="408" w:hanging="408"/>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16" w15:restartNumberingAfterBreak="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5477FEE"/>
    <w:multiLevelType w:val="hybridMultilevel"/>
    <w:tmpl w:val="AC68BDAE"/>
    <w:lvl w:ilvl="0" w:tplc="7402EF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25" w15:restartNumberingAfterBreak="0">
    <w:nsid w:val="59F0093F"/>
    <w:multiLevelType w:val="hybridMultilevel"/>
    <w:tmpl w:val="956272B0"/>
    <w:lvl w:ilvl="0" w:tplc="257ED218">
      <w:start w:val="1"/>
      <w:numFmt w:val="decimal"/>
      <w:lvlText w:val="%1)"/>
      <w:lvlJc w:val="left"/>
      <w:pPr>
        <w:ind w:left="1241" w:hanging="390"/>
      </w:pPr>
      <w:rPr>
        <w:rFonts w:hint="default"/>
        <w:b w:val="0"/>
        <w: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69511C25"/>
    <w:multiLevelType w:val="multilevel"/>
    <w:tmpl w:val="C3BA58A0"/>
    <w:lvl w:ilvl="0">
      <w:start w:val="1"/>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8" w15:restartNumberingAfterBreak="0">
    <w:nsid w:val="69D43B00"/>
    <w:multiLevelType w:val="hybridMultilevel"/>
    <w:tmpl w:val="47481454"/>
    <w:lvl w:ilvl="0" w:tplc="F7D42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B1A184A"/>
    <w:multiLevelType w:val="hybridMultilevel"/>
    <w:tmpl w:val="3B90622A"/>
    <w:lvl w:ilvl="0" w:tplc="2A9E48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296B03"/>
    <w:multiLevelType w:val="hybridMultilevel"/>
    <w:tmpl w:val="587CE9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1511531144">
    <w:abstractNumId w:val="11"/>
  </w:num>
  <w:num w:numId="2" w16cid:durableId="1713772143">
    <w:abstractNumId w:val="12"/>
  </w:num>
  <w:num w:numId="3" w16cid:durableId="1087193294">
    <w:abstractNumId w:val="0"/>
  </w:num>
  <w:num w:numId="4" w16cid:durableId="656227206">
    <w:abstractNumId w:val="30"/>
  </w:num>
  <w:num w:numId="5" w16cid:durableId="1406994501">
    <w:abstractNumId w:val="32"/>
  </w:num>
  <w:num w:numId="6" w16cid:durableId="92671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5273599">
    <w:abstractNumId w:val="21"/>
  </w:num>
  <w:num w:numId="8" w16cid:durableId="27919261">
    <w:abstractNumId w:val="9"/>
  </w:num>
  <w:num w:numId="9" w16cid:durableId="1503930683">
    <w:abstractNumId w:val="20"/>
  </w:num>
  <w:num w:numId="10" w16cid:durableId="619144831">
    <w:abstractNumId w:val="10"/>
  </w:num>
  <w:num w:numId="11" w16cid:durableId="662516217">
    <w:abstractNumId w:val="22"/>
  </w:num>
  <w:num w:numId="12" w16cid:durableId="1957829984">
    <w:abstractNumId w:val="33"/>
  </w:num>
  <w:num w:numId="13" w16cid:durableId="560678947">
    <w:abstractNumId w:val="19"/>
  </w:num>
  <w:num w:numId="14" w16cid:durableId="113133669">
    <w:abstractNumId w:val="17"/>
  </w:num>
  <w:num w:numId="15" w16cid:durableId="983003653">
    <w:abstractNumId w:val="26"/>
  </w:num>
  <w:num w:numId="16" w16cid:durableId="263417048">
    <w:abstractNumId w:val="16"/>
  </w:num>
  <w:num w:numId="17" w16cid:durableId="23219760">
    <w:abstractNumId w:val="8"/>
  </w:num>
  <w:num w:numId="18" w16cid:durableId="935671336">
    <w:abstractNumId w:val="2"/>
  </w:num>
  <w:num w:numId="19" w16cid:durableId="1619992079">
    <w:abstractNumId w:val="3"/>
  </w:num>
  <w:num w:numId="20" w16cid:durableId="1312636593">
    <w:abstractNumId w:val="24"/>
  </w:num>
  <w:num w:numId="21" w16cid:durableId="1980726741">
    <w:abstractNumId w:val="28"/>
  </w:num>
  <w:num w:numId="22" w16cid:durableId="1200241130">
    <w:abstractNumId w:val="6"/>
  </w:num>
  <w:num w:numId="23" w16cid:durableId="1526669615">
    <w:abstractNumId w:val="27"/>
  </w:num>
  <w:num w:numId="24" w16cid:durableId="280964305">
    <w:abstractNumId w:val="25"/>
  </w:num>
  <w:num w:numId="25" w16cid:durableId="298805925">
    <w:abstractNumId w:val="7"/>
  </w:num>
  <w:num w:numId="26" w16cid:durableId="550271576">
    <w:abstractNumId w:val="31"/>
  </w:num>
  <w:num w:numId="27" w16cid:durableId="1692604125">
    <w:abstractNumId w:val="5"/>
  </w:num>
  <w:num w:numId="28" w16cid:durableId="1543907152">
    <w:abstractNumId w:val="29"/>
  </w:num>
  <w:num w:numId="29" w16cid:durableId="1094548412">
    <w:abstractNumId w:val="23"/>
  </w:num>
  <w:num w:numId="30" w16cid:durableId="153763979">
    <w:abstractNumId w:val="4"/>
  </w:num>
  <w:num w:numId="31" w16cid:durableId="1797328692">
    <w:abstractNumId w:val="18"/>
  </w:num>
  <w:num w:numId="32" w16cid:durableId="1168593319">
    <w:abstractNumId w:val="14"/>
  </w:num>
  <w:num w:numId="33" w16cid:durableId="232667680">
    <w:abstractNumId w:val="15"/>
  </w:num>
  <w:num w:numId="34" w16cid:durableId="1994722574">
    <w:abstractNumId w:val="13"/>
  </w:num>
  <w:num w:numId="35" w16cid:durableId="1897617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F0A"/>
    <w:rsid w:val="000060E1"/>
    <w:rsid w:val="00027897"/>
    <w:rsid w:val="0003034A"/>
    <w:rsid w:val="000370CE"/>
    <w:rsid w:val="000459E9"/>
    <w:rsid w:val="00061F20"/>
    <w:rsid w:val="00080384"/>
    <w:rsid w:val="0008086A"/>
    <w:rsid w:val="00080D83"/>
    <w:rsid w:val="00085D2E"/>
    <w:rsid w:val="00085EA5"/>
    <w:rsid w:val="00086962"/>
    <w:rsid w:val="000A251B"/>
    <w:rsid w:val="000A6B55"/>
    <w:rsid w:val="000B52C1"/>
    <w:rsid w:val="000C6A64"/>
    <w:rsid w:val="000C6BC9"/>
    <w:rsid w:val="000D283E"/>
    <w:rsid w:val="000D3363"/>
    <w:rsid w:val="000E1F25"/>
    <w:rsid w:val="000F7C32"/>
    <w:rsid w:val="00100099"/>
    <w:rsid w:val="0010048D"/>
    <w:rsid w:val="0010193C"/>
    <w:rsid w:val="00111060"/>
    <w:rsid w:val="0011131C"/>
    <w:rsid w:val="00112552"/>
    <w:rsid w:val="00124D4A"/>
    <w:rsid w:val="001304E7"/>
    <w:rsid w:val="00130B23"/>
    <w:rsid w:val="0013136A"/>
    <w:rsid w:val="00136E57"/>
    <w:rsid w:val="00154AAE"/>
    <w:rsid w:val="00184B02"/>
    <w:rsid w:val="00193115"/>
    <w:rsid w:val="001935C0"/>
    <w:rsid w:val="001A6718"/>
    <w:rsid w:val="001A7310"/>
    <w:rsid w:val="001B210F"/>
    <w:rsid w:val="001B4E0C"/>
    <w:rsid w:val="001C0B49"/>
    <w:rsid w:val="001C2C21"/>
    <w:rsid w:val="001D1EBC"/>
    <w:rsid w:val="001E58DA"/>
    <w:rsid w:val="001F3B22"/>
    <w:rsid w:val="00206116"/>
    <w:rsid w:val="00206305"/>
    <w:rsid w:val="0021566E"/>
    <w:rsid w:val="002214BF"/>
    <w:rsid w:val="00224B8E"/>
    <w:rsid w:val="00231E8C"/>
    <w:rsid w:val="00240126"/>
    <w:rsid w:val="00241C1F"/>
    <w:rsid w:val="002425AE"/>
    <w:rsid w:val="00264A31"/>
    <w:rsid w:val="00275607"/>
    <w:rsid w:val="00276D07"/>
    <w:rsid w:val="002901B8"/>
    <w:rsid w:val="002B6219"/>
    <w:rsid w:val="002C20C4"/>
    <w:rsid w:val="002C6347"/>
    <w:rsid w:val="002E3F2F"/>
    <w:rsid w:val="002F04A6"/>
    <w:rsid w:val="002F3A7F"/>
    <w:rsid w:val="002F70D3"/>
    <w:rsid w:val="003065F0"/>
    <w:rsid w:val="003074FE"/>
    <w:rsid w:val="0031113D"/>
    <w:rsid w:val="00311F30"/>
    <w:rsid w:val="00315901"/>
    <w:rsid w:val="00320AAC"/>
    <w:rsid w:val="00323924"/>
    <w:rsid w:val="00323E6D"/>
    <w:rsid w:val="00325198"/>
    <w:rsid w:val="00345A3D"/>
    <w:rsid w:val="00353BD2"/>
    <w:rsid w:val="0035482A"/>
    <w:rsid w:val="003619F2"/>
    <w:rsid w:val="00365820"/>
    <w:rsid w:val="0037383E"/>
    <w:rsid w:val="003763A3"/>
    <w:rsid w:val="00384F62"/>
    <w:rsid w:val="003A228D"/>
    <w:rsid w:val="003B1458"/>
    <w:rsid w:val="003B5A9A"/>
    <w:rsid w:val="003C554F"/>
    <w:rsid w:val="003E70C0"/>
    <w:rsid w:val="003E747A"/>
    <w:rsid w:val="003F2F8D"/>
    <w:rsid w:val="0040149C"/>
    <w:rsid w:val="00401D98"/>
    <w:rsid w:val="00413918"/>
    <w:rsid w:val="00414478"/>
    <w:rsid w:val="00416B3D"/>
    <w:rsid w:val="00422C46"/>
    <w:rsid w:val="004419E5"/>
    <w:rsid w:val="00441D7D"/>
    <w:rsid w:val="00460C6B"/>
    <w:rsid w:val="00460ED1"/>
    <w:rsid w:val="0047497D"/>
    <w:rsid w:val="0048173E"/>
    <w:rsid w:val="00492BD3"/>
    <w:rsid w:val="00496539"/>
    <w:rsid w:val="00497016"/>
    <w:rsid w:val="004B4600"/>
    <w:rsid w:val="004B507A"/>
    <w:rsid w:val="004B70BD"/>
    <w:rsid w:val="004E09F9"/>
    <w:rsid w:val="004E1934"/>
    <w:rsid w:val="004E2DF6"/>
    <w:rsid w:val="004E691F"/>
    <w:rsid w:val="004F4355"/>
    <w:rsid w:val="004F772B"/>
    <w:rsid w:val="00512A08"/>
    <w:rsid w:val="0052111D"/>
    <w:rsid w:val="005315F3"/>
    <w:rsid w:val="00544C2A"/>
    <w:rsid w:val="00564150"/>
    <w:rsid w:val="005671F6"/>
    <w:rsid w:val="00572C55"/>
    <w:rsid w:val="005760A9"/>
    <w:rsid w:val="005761AF"/>
    <w:rsid w:val="00583461"/>
    <w:rsid w:val="00594257"/>
    <w:rsid w:val="00594464"/>
    <w:rsid w:val="005A02A3"/>
    <w:rsid w:val="005A7245"/>
    <w:rsid w:val="005F24FA"/>
    <w:rsid w:val="005F5A3E"/>
    <w:rsid w:val="00603317"/>
    <w:rsid w:val="00610286"/>
    <w:rsid w:val="00622781"/>
    <w:rsid w:val="00633AAC"/>
    <w:rsid w:val="00640BFF"/>
    <w:rsid w:val="00640D1B"/>
    <w:rsid w:val="00651DA8"/>
    <w:rsid w:val="006703E3"/>
    <w:rsid w:val="006802DA"/>
    <w:rsid w:val="006856C0"/>
    <w:rsid w:val="00691B07"/>
    <w:rsid w:val="0069621B"/>
    <w:rsid w:val="00697462"/>
    <w:rsid w:val="006A0908"/>
    <w:rsid w:val="006B4267"/>
    <w:rsid w:val="006B58ED"/>
    <w:rsid w:val="006B727C"/>
    <w:rsid w:val="006C085F"/>
    <w:rsid w:val="006D0D86"/>
    <w:rsid w:val="006E2FE3"/>
    <w:rsid w:val="006E6BCD"/>
    <w:rsid w:val="006F13BC"/>
    <w:rsid w:val="006F209E"/>
    <w:rsid w:val="00702613"/>
    <w:rsid w:val="007178FC"/>
    <w:rsid w:val="0072214C"/>
    <w:rsid w:val="00727F94"/>
    <w:rsid w:val="007315B0"/>
    <w:rsid w:val="007337EB"/>
    <w:rsid w:val="007376D6"/>
    <w:rsid w:val="00745D18"/>
    <w:rsid w:val="007669E0"/>
    <w:rsid w:val="007715AD"/>
    <w:rsid w:val="00776530"/>
    <w:rsid w:val="00777405"/>
    <w:rsid w:val="00790525"/>
    <w:rsid w:val="00791E8E"/>
    <w:rsid w:val="007A0109"/>
    <w:rsid w:val="007A7220"/>
    <w:rsid w:val="007B2500"/>
    <w:rsid w:val="007D61D6"/>
    <w:rsid w:val="007D7E19"/>
    <w:rsid w:val="007E1B19"/>
    <w:rsid w:val="007E4912"/>
    <w:rsid w:val="007F3623"/>
    <w:rsid w:val="00805108"/>
    <w:rsid w:val="00810E0D"/>
    <w:rsid w:val="00817C9A"/>
    <w:rsid w:val="00822EC1"/>
    <w:rsid w:val="00826193"/>
    <w:rsid w:val="00827311"/>
    <w:rsid w:val="008276AF"/>
    <w:rsid w:val="00831F9E"/>
    <w:rsid w:val="00832490"/>
    <w:rsid w:val="00834BB4"/>
    <w:rsid w:val="00835187"/>
    <w:rsid w:val="00841CD0"/>
    <w:rsid w:val="008459D3"/>
    <w:rsid w:val="00850A8E"/>
    <w:rsid w:val="008525BA"/>
    <w:rsid w:val="00873501"/>
    <w:rsid w:val="00876326"/>
    <w:rsid w:val="00881D56"/>
    <w:rsid w:val="008945D9"/>
    <w:rsid w:val="00894E17"/>
    <w:rsid w:val="008A0806"/>
    <w:rsid w:val="008A44C6"/>
    <w:rsid w:val="008C2ABB"/>
    <w:rsid w:val="008C4650"/>
    <w:rsid w:val="008E59F3"/>
    <w:rsid w:val="00901F1F"/>
    <w:rsid w:val="0090737E"/>
    <w:rsid w:val="00914053"/>
    <w:rsid w:val="00924D4E"/>
    <w:rsid w:val="00926961"/>
    <w:rsid w:val="00927771"/>
    <w:rsid w:val="00937301"/>
    <w:rsid w:val="009376E2"/>
    <w:rsid w:val="00937B76"/>
    <w:rsid w:val="00937DDA"/>
    <w:rsid w:val="00943B6F"/>
    <w:rsid w:val="00965065"/>
    <w:rsid w:val="00973A7A"/>
    <w:rsid w:val="009741D0"/>
    <w:rsid w:val="00980CEB"/>
    <w:rsid w:val="00981EE2"/>
    <w:rsid w:val="00991D46"/>
    <w:rsid w:val="0099406A"/>
    <w:rsid w:val="00997A56"/>
    <w:rsid w:val="009A4B8C"/>
    <w:rsid w:val="009B1122"/>
    <w:rsid w:val="009B4C3B"/>
    <w:rsid w:val="009C4147"/>
    <w:rsid w:val="009C73C9"/>
    <w:rsid w:val="009D22D4"/>
    <w:rsid w:val="009D5075"/>
    <w:rsid w:val="009D71C1"/>
    <w:rsid w:val="009F2CF0"/>
    <w:rsid w:val="00A04690"/>
    <w:rsid w:val="00A12FA0"/>
    <w:rsid w:val="00A204B6"/>
    <w:rsid w:val="00A210DA"/>
    <w:rsid w:val="00A24D24"/>
    <w:rsid w:val="00A40DD3"/>
    <w:rsid w:val="00A43CE7"/>
    <w:rsid w:val="00A611FB"/>
    <w:rsid w:val="00A674CE"/>
    <w:rsid w:val="00A7495A"/>
    <w:rsid w:val="00A8311B"/>
    <w:rsid w:val="00A86B86"/>
    <w:rsid w:val="00A94000"/>
    <w:rsid w:val="00AA0456"/>
    <w:rsid w:val="00AB42FF"/>
    <w:rsid w:val="00AC14EE"/>
    <w:rsid w:val="00AD1EFE"/>
    <w:rsid w:val="00AD2690"/>
    <w:rsid w:val="00AE1EAA"/>
    <w:rsid w:val="00AE5231"/>
    <w:rsid w:val="00AE54D9"/>
    <w:rsid w:val="00B0019F"/>
    <w:rsid w:val="00B0185A"/>
    <w:rsid w:val="00B01F08"/>
    <w:rsid w:val="00B05129"/>
    <w:rsid w:val="00B168A7"/>
    <w:rsid w:val="00B16E8F"/>
    <w:rsid w:val="00B21F66"/>
    <w:rsid w:val="00B2347B"/>
    <w:rsid w:val="00B30401"/>
    <w:rsid w:val="00B423D2"/>
    <w:rsid w:val="00B471D8"/>
    <w:rsid w:val="00B601F4"/>
    <w:rsid w:val="00B6637D"/>
    <w:rsid w:val="00B8164C"/>
    <w:rsid w:val="00B9272A"/>
    <w:rsid w:val="00B935A1"/>
    <w:rsid w:val="00BA4A3E"/>
    <w:rsid w:val="00BA759D"/>
    <w:rsid w:val="00BB2723"/>
    <w:rsid w:val="00BB76D0"/>
    <w:rsid w:val="00BC363C"/>
    <w:rsid w:val="00BC386E"/>
    <w:rsid w:val="00BD5C55"/>
    <w:rsid w:val="00C240E4"/>
    <w:rsid w:val="00C27709"/>
    <w:rsid w:val="00C30C68"/>
    <w:rsid w:val="00C4356E"/>
    <w:rsid w:val="00C47565"/>
    <w:rsid w:val="00C5135C"/>
    <w:rsid w:val="00C60033"/>
    <w:rsid w:val="00C62C24"/>
    <w:rsid w:val="00C635B6"/>
    <w:rsid w:val="00C70F8A"/>
    <w:rsid w:val="00C906B8"/>
    <w:rsid w:val="00C91F0A"/>
    <w:rsid w:val="00CA5881"/>
    <w:rsid w:val="00CA5CBD"/>
    <w:rsid w:val="00CC5082"/>
    <w:rsid w:val="00CE005B"/>
    <w:rsid w:val="00CE1F14"/>
    <w:rsid w:val="00CF2C0A"/>
    <w:rsid w:val="00CF4FB4"/>
    <w:rsid w:val="00D0361A"/>
    <w:rsid w:val="00D0621E"/>
    <w:rsid w:val="00D11865"/>
    <w:rsid w:val="00D1342D"/>
    <w:rsid w:val="00D17711"/>
    <w:rsid w:val="00D21063"/>
    <w:rsid w:val="00D231E7"/>
    <w:rsid w:val="00D30ADD"/>
    <w:rsid w:val="00D3632A"/>
    <w:rsid w:val="00D37969"/>
    <w:rsid w:val="00D42C68"/>
    <w:rsid w:val="00D43A0D"/>
    <w:rsid w:val="00D44DED"/>
    <w:rsid w:val="00D46867"/>
    <w:rsid w:val="00D4730B"/>
    <w:rsid w:val="00D526F3"/>
    <w:rsid w:val="00D529E8"/>
    <w:rsid w:val="00D62840"/>
    <w:rsid w:val="00D900CE"/>
    <w:rsid w:val="00D96DC3"/>
    <w:rsid w:val="00DA2034"/>
    <w:rsid w:val="00DA783C"/>
    <w:rsid w:val="00DB0862"/>
    <w:rsid w:val="00DC2C17"/>
    <w:rsid w:val="00DC5EF8"/>
    <w:rsid w:val="00DC733E"/>
    <w:rsid w:val="00DD0B0F"/>
    <w:rsid w:val="00DE7F90"/>
    <w:rsid w:val="00DF0E97"/>
    <w:rsid w:val="00DF57BE"/>
    <w:rsid w:val="00DF7B6B"/>
    <w:rsid w:val="00E06500"/>
    <w:rsid w:val="00E120F7"/>
    <w:rsid w:val="00E137A5"/>
    <w:rsid w:val="00E31EFD"/>
    <w:rsid w:val="00E429C7"/>
    <w:rsid w:val="00E46F45"/>
    <w:rsid w:val="00E525FE"/>
    <w:rsid w:val="00E57060"/>
    <w:rsid w:val="00E7651D"/>
    <w:rsid w:val="00E80D86"/>
    <w:rsid w:val="00E8149D"/>
    <w:rsid w:val="00E87616"/>
    <w:rsid w:val="00EA5C16"/>
    <w:rsid w:val="00EA5DE6"/>
    <w:rsid w:val="00EC7320"/>
    <w:rsid w:val="00EE14F0"/>
    <w:rsid w:val="00EE3C67"/>
    <w:rsid w:val="00EF000D"/>
    <w:rsid w:val="00EF7B6F"/>
    <w:rsid w:val="00F10C60"/>
    <w:rsid w:val="00F147F0"/>
    <w:rsid w:val="00F46365"/>
    <w:rsid w:val="00F545A3"/>
    <w:rsid w:val="00F64BB7"/>
    <w:rsid w:val="00F728D7"/>
    <w:rsid w:val="00F751C7"/>
    <w:rsid w:val="00F76D08"/>
    <w:rsid w:val="00FA3ADC"/>
    <w:rsid w:val="00FB5706"/>
    <w:rsid w:val="00FB7B89"/>
    <w:rsid w:val="00FC7EA3"/>
    <w:rsid w:val="00FE086B"/>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4757"/>
  <w15:docId w15:val="{E4AB7960-E6C7-41D8-A3C9-CAC578AA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rsid w:val="001B4E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rsid w:val="001B4E0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rsid w:val="00460ED1"/>
    <w:rPr>
      <w:sz w:val="16"/>
      <w:szCs w:val="16"/>
    </w:rPr>
  </w:style>
  <w:style w:type="paragraph" w:styleId="Tekstkomentarza">
    <w:name w:val="annotation text"/>
    <w:basedOn w:val="Normalny"/>
    <w:link w:val="TekstkomentarzaZnak"/>
    <w:rsid w:val="00460ED1"/>
    <w:rPr>
      <w:sz w:val="20"/>
      <w:szCs w:val="20"/>
    </w:rPr>
  </w:style>
  <w:style w:type="character" w:customStyle="1" w:styleId="TekstkomentarzaZnak">
    <w:name w:val="Tekst komentarza Znak"/>
    <w:basedOn w:val="Domylnaczcionkaakapitu"/>
    <w:link w:val="Tekstkomentarza"/>
    <w:rsid w:val="00460ED1"/>
    <w:rPr>
      <w:rFonts w:ascii="Arial" w:hAnsi="Arial"/>
    </w:rPr>
  </w:style>
  <w:style w:type="paragraph" w:styleId="Tematkomentarza">
    <w:name w:val="annotation subject"/>
    <w:basedOn w:val="Tekstkomentarza"/>
    <w:next w:val="Tekstkomentarza"/>
    <w:link w:val="TematkomentarzaZnak"/>
    <w:rsid w:val="00460ED1"/>
    <w:rPr>
      <w:b/>
      <w:bCs/>
    </w:rPr>
  </w:style>
  <w:style w:type="character" w:customStyle="1" w:styleId="TematkomentarzaZnak">
    <w:name w:val="Temat komentarza Znak"/>
    <w:basedOn w:val="TekstkomentarzaZnak"/>
    <w:link w:val="Tematkomentarza"/>
    <w:rsid w:val="00460E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734584">
      <w:bodyDiv w:val="1"/>
      <w:marLeft w:val="0"/>
      <w:marRight w:val="0"/>
      <w:marTop w:val="0"/>
      <w:marBottom w:val="0"/>
      <w:divBdr>
        <w:top w:val="none" w:sz="0" w:space="0" w:color="auto"/>
        <w:left w:val="none" w:sz="0" w:space="0" w:color="auto"/>
        <w:bottom w:val="none" w:sz="0" w:space="0" w:color="auto"/>
        <w:right w:val="none" w:sz="0" w:space="0" w:color="auto"/>
      </w:divBdr>
    </w:div>
    <w:div w:id="197399012">
      <w:bodyDiv w:val="1"/>
      <w:marLeft w:val="0"/>
      <w:marRight w:val="0"/>
      <w:marTop w:val="0"/>
      <w:marBottom w:val="0"/>
      <w:divBdr>
        <w:top w:val="none" w:sz="0" w:space="0" w:color="auto"/>
        <w:left w:val="none" w:sz="0" w:space="0" w:color="auto"/>
        <w:bottom w:val="none" w:sz="0" w:space="0" w:color="auto"/>
        <w:right w:val="none" w:sz="0" w:space="0" w:color="auto"/>
      </w:divBdr>
    </w:div>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875239531">
      <w:bodyDiv w:val="1"/>
      <w:marLeft w:val="0"/>
      <w:marRight w:val="0"/>
      <w:marTop w:val="0"/>
      <w:marBottom w:val="0"/>
      <w:divBdr>
        <w:top w:val="none" w:sz="0" w:space="0" w:color="auto"/>
        <w:left w:val="none" w:sz="0" w:space="0" w:color="auto"/>
        <w:bottom w:val="none" w:sz="0" w:space="0" w:color="auto"/>
        <w:right w:val="none" w:sz="0" w:space="0" w:color="auto"/>
      </w:divBdr>
    </w:div>
    <w:div w:id="92492410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379358900">
      <w:bodyDiv w:val="1"/>
      <w:marLeft w:val="0"/>
      <w:marRight w:val="0"/>
      <w:marTop w:val="0"/>
      <w:marBottom w:val="0"/>
      <w:divBdr>
        <w:top w:val="none" w:sz="0" w:space="0" w:color="auto"/>
        <w:left w:val="none" w:sz="0" w:space="0" w:color="auto"/>
        <w:bottom w:val="none" w:sz="0" w:space="0" w:color="auto"/>
        <w:right w:val="none" w:sz="0" w:space="0" w:color="auto"/>
      </w:divBdr>
    </w:div>
    <w:div w:id="1499883697">
      <w:bodyDiv w:val="1"/>
      <w:marLeft w:val="0"/>
      <w:marRight w:val="0"/>
      <w:marTop w:val="0"/>
      <w:marBottom w:val="0"/>
      <w:divBdr>
        <w:top w:val="none" w:sz="0" w:space="0" w:color="auto"/>
        <w:left w:val="none" w:sz="0" w:space="0" w:color="auto"/>
        <w:bottom w:val="none" w:sz="0" w:space="0" w:color="auto"/>
        <w:right w:val="none" w:sz="0" w:space="0" w:color="auto"/>
      </w:divBdr>
    </w:div>
    <w:div w:id="1514564000">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655141957">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A39C6-6DC9-49FA-8FDE-6C480F0B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229</TotalTime>
  <Pages>5</Pages>
  <Words>1711</Words>
  <Characters>10267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mklasa</dc:creator>
  <cp:keywords/>
  <dc:description/>
  <cp:lastModifiedBy>Weronika Ciachowska</cp:lastModifiedBy>
  <cp:revision>7</cp:revision>
  <cp:lastPrinted>2024-06-18T11:20:00Z</cp:lastPrinted>
  <dcterms:created xsi:type="dcterms:W3CDTF">2023-12-20T13:55:00Z</dcterms:created>
  <dcterms:modified xsi:type="dcterms:W3CDTF">2024-06-18T11:39:00Z</dcterms:modified>
</cp:coreProperties>
</file>