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3D46FA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26D64C16" w:rsidR="0095537D" w:rsidRPr="00105C47" w:rsidRDefault="006524D6" w:rsidP="003D46FA">
      <w:pPr>
        <w:pStyle w:val="Nagwek1"/>
        <w:tabs>
          <w:tab w:val="left" w:pos="9214"/>
        </w:tabs>
        <w:jc w:val="both"/>
      </w:pPr>
      <w:r w:rsidRPr="00105C47">
        <w:t>OPIS PR</w:t>
      </w:r>
      <w:r w:rsidR="00A46452">
        <w:t xml:space="preserve">ZEDMIOTU ZAMÓWIENIA </w:t>
      </w:r>
      <w:r w:rsidR="004005A1">
        <w:t xml:space="preserve">– CZEŚĆ NR </w:t>
      </w:r>
      <w:r w:rsidR="00035765">
        <w:t>1</w:t>
      </w:r>
    </w:p>
    <w:p w14:paraId="2AB52B6D" w14:textId="77777777" w:rsidR="00E44E82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4A1F4A4F" w14:textId="3E25B9A7" w:rsidR="005E5EFA" w:rsidRPr="002F23FD" w:rsidRDefault="009048F0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="005E5EFA">
        <w:rPr>
          <w:rFonts w:ascii="Calibri" w:hAnsi="Calibri" w:cs="Calibri"/>
          <w:b/>
        </w:rPr>
        <w:t xml:space="preserve"> </w:t>
      </w:r>
      <w:r w:rsidR="005E5EFA" w:rsidRPr="002F23FD">
        <w:rPr>
          <w:rFonts w:ascii="Calibri" w:hAnsi="Calibri" w:cs="Calibri"/>
          <w:b/>
        </w:rPr>
        <w:t>U</w:t>
      </w:r>
      <w:r w:rsidR="005E5EFA">
        <w:rPr>
          <w:rFonts w:ascii="Calibri" w:hAnsi="Calibri" w:cs="Calibri"/>
          <w:b/>
        </w:rPr>
        <w:t xml:space="preserve">niwersytetu </w:t>
      </w:r>
      <w:r w:rsidR="005E5EFA" w:rsidRPr="002F23FD">
        <w:rPr>
          <w:rFonts w:ascii="Calibri" w:hAnsi="Calibri" w:cs="Calibri"/>
          <w:b/>
        </w:rPr>
        <w:t>M</w:t>
      </w:r>
      <w:r w:rsidR="005E5EFA">
        <w:rPr>
          <w:rFonts w:ascii="Calibri" w:hAnsi="Calibri" w:cs="Calibri"/>
          <w:b/>
        </w:rPr>
        <w:t xml:space="preserve">edycznego w </w:t>
      </w:r>
      <w:r w:rsidR="005E5EFA" w:rsidRPr="002F23FD">
        <w:rPr>
          <w:rFonts w:ascii="Calibri" w:hAnsi="Calibri" w:cs="Calibri"/>
          <w:b/>
        </w:rPr>
        <w:t>B</w:t>
      </w:r>
      <w:r w:rsidR="005E5EFA">
        <w:rPr>
          <w:rFonts w:ascii="Calibri" w:hAnsi="Calibri" w:cs="Calibri"/>
          <w:b/>
        </w:rPr>
        <w:t>iałymstoku</w:t>
      </w:r>
    </w:p>
    <w:p w14:paraId="1C2D0E84" w14:textId="3344F41F" w:rsidR="00DE0F3F" w:rsidRPr="00F949E1" w:rsidRDefault="009048F0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ROBOT PIPETUJĄCY DO PRZYGOTOWYWANIA BIBLIOTEK NGS</w:t>
      </w:r>
      <w:r w:rsidR="00DE0F3F"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 w:rsidR="00630BA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KPL.</w:t>
      </w:r>
    </w:p>
    <w:p w14:paraId="1122D728" w14:textId="77777777" w:rsidR="00047F68" w:rsidRDefault="00047F68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ADAE2B" w:rsidR="00BF4E8F" w:rsidRDefault="00BF4E8F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="004017ED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</w:t>
      </w:r>
    </w:p>
    <w:p w14:paraId="688EB9AA" w14:textId="57B09192" w:rsidR="00D55035" w:rsidRPr="002F23FD" w:rsidRDefault="00D55035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="004017ED">
        <w:rPr>
          <w:rFonts w:ascii="Calibri" w:hAnsi="Calibri" w:cs="Calibri"/>
          <w:b/>
          <w:sz w:val="24"/>
          <w:szCs w:val="24"/>
        </w:rPr>
        <w:t>…………………………………………………………………..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112C21C" w:rsidR="00D55035" w:rsidRPr="002F23FD" w:rsidRDefault="00D55035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="004017ED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</w:t>
      </w:r>
    </w:p>
    <w:p w14:paraId="2944E1E1" w14:textId="493F3E64" w:rsidR="00D55035" w:rsidRPr="002F23FD" w:rsidRDefault="00D55035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="004017ED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2FBF068" w14:textId="77777777" w:rsidR="004017ED" w:rsidRDefault="00D55035" w:rsidP="003D46FA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Rok produkcji: </w:t>
      </w:r>
      <w:r w:rsidR="00CD3EA0">
        <w:rPr>
          <w:rFonts w:ascii="Calibri" w:hAnsi="Calibri" w:cs="Calibri"/>
          <w:b/>
          <w:sz w:val="24"/>
          <w:szCs w:val="24"/>
        </w:rPr>
        <w:t>2023</w:t>
      </w:r>
    </w:p>
    <w:p w14:paraId="75B01FE5" w14:textId="77777777" w:rsidR="004017ED" w:rsidRPr="008876F6" w:rsidRDefault="004017ED" w:rsidP="004017ED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76F6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182BEF79" w14:textId="32615771" w:rsidR="00D55035" w:rsidRPr="00D55035" w:rsidRDefault="004017ED" w:rsidP="004017ED">
      <w:pPr>
        <w:tabs>
          <w:tab w:val="left" w:pos="9214"/>
          <w:tab w:val="right" w:leader="dot" w:pos="9639"/>
        </w:tabs>
        <w:spacing w:after="240" w:line="360" w:lineRule="auto"/>
        <w:ind w:right="35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</w:t>
      </w:r>
      <w:r w:rsidR="00D55035" w:rsidRPr="002F23FD">
        <w:rPr>
          <w:rFonts w:ascii="Calibri" w:hAnsi="Calibri" w:cs="Calibri"/>
          <w:b/>
          <w:sz w:val="24"/>
          <w:szCs w:val="24"/>
        </w:rPr>
        <w:tab/>
      </w:r>
    </w:p>
    <w:p w14:paraId="47CCCA7A" w14:textId="685B5FCD" w:rsidR="008A2501" w:rsidRDefault="00A86417" w:rsidP="003D46FA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6A496751" w14:textId="77777777" w:rsidR="00D41DF1" w:rsidRPr="00D41DF1" w:rsidRDefault="00D41DF1" w:rsidP="00CD3EA0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>Urządzenie pipetujące, automatyzujące przygotowanie bibliotek do sekwencjonowania nowej generacji (NGS) wraz z uruchomieniem i weryfikacją (Training, FAT/SAT) dwóch metod NGS:</w:t>
      </w:r>
    </w:p>
    <w:p w14:paraId="1D0D8FFB" w14:textId="498264E9" w:rsidR="00D41DF1" w:rsidRPr="00A37459" w:rsidRDefault="007C45D9" w:rsidP="00CD3EA0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7459">
        <w:rPr>
          <w:rFonts w:asciiTheme="minorHAnsi" w:hAnsiTheme="minorHAnsi" w:cstheme="minorHAnsi"/>
          <w:sz w:val="24"/>
          <w:szCs w:val="24"/>
        </w:rPr>
        <w:t xml:space="preserve">do analizy </w:t>
      </w:r>
      <w:proofErr w:type="spellStart"/>
      <w:r w:rsidRPr="00A37459">
        <w:rPr>
          <w:rFonts w:asciiTheme="minorHAnsi" w:hAnsiTheme="minorHAnsi" w:cstheme="minorHAnsi"/>
          <w:sz w:val="24"/>
          <w:szCs w:val="24"/>
        </w:rPr>
        <w:t>całogenomowej</w:t>
      </w:r>
      <w:proofErr w:type="spellEnd"/>
      <w:r w:rsidR="00A37459">
        <w:rPr>
          <w:rFonts w:asciiTheme="minorHAnsi" w:hAnsiTheme="minorHAnsi" w:cstheme="minorHAnsi"/>
          <w:sz w:val="24"/>
          <w:szCs w:val="24"/>
        </w:rPr>
        <w:t>,</w:t>
      </w:r>
    </w:p>
    <w:p w14:paraId="2C5945D5" w14:textId="2A66151D" w:rsidR="00D41DF1" w:rsidRPr="00A37459" w:rsidRDefault="007C45D9" w:rsidP="00CD3EA0">
      <w:pPr>
        <w:pStyle w:val="Akapitzlist"/>
        <w:widowControl/>
        <w:numPr>
          <w:ilvl w:val="0"/>
          <w:numId w:val="20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7459">
        <w:rPr>
          <w:rFonts w:asciiTheme="minorHAnsi" w:hAnsiTheme="minorHAnsi" w:cstheme="minorHAnsi"/>
          <w:sz w:val="24"/>
          <w:szCs w:val="24"/>
        </w:rPr>
        <w:t>do celowanego sekwencjonowania z wykorzystaniem metody wzbogacania sondami</w:t>
      </w:r>
      <w:r w:rsidR="00A37459">
        <w:rPr>
          <w:rFonts w:asciiTheme="minorHAnsi" w:hAnsiTheme="minorHAnsi" w:cstheme="minorHAnsi"/>
          <w:sz w:val="24"/>
          <w:szCs w:val="24"/>
        </w:rPr>
        <w:t>.</w:t>
      </w:r>
    </w:p>
    <w:p w14:paraId="77D8D850" w14:textId="65BDB194" w:rsidR="00D41DF1" w:rsidRPr="00D41DF1" w:rsidRDefault="00D41DF1" w:rsidP="00CD3EA0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 xml:space="preserve">Pojemność blatu roboczego co najmniej 45 pozycji SBS, zapewniająca automatyzację procesu przygotowania  bibliotek NGS z możliwością przetwarzania </w:t>
      </w:r>
      <w:r w:rsidR="00971AE8">
        <w:rPr>
          <w:rFonts w:asciiTheme="minorHAnsi" w:hAnsiTheme="minorHAnsi" w:cstheme="minorHAnsi"/>
          <w:sz w:val="24"/>
          <w:szCs w:val="24"/>
        </w:rPr>
        <w:t>min.</w:t>
      </w:r>
      <w:r w:rsidRPr="00D41DF1">
        <w:rPr>
          <w:rFonts w:asciiTheme="minorHAnsi" w:hAnsiTheme="minorHAnsi" w:cstheme="minorHAnsi"/>
          <w:sz w:val="24"/>
          <w:szCs w:val="24"/>
        </w:rPr>
        <w:t xml:space="preserve"> 96 próbek w jednym cyklu.</w:t>
      </w:r>
    </w:p>
    <w:p w14:paraId="54EF7065" w14:textId="77777777" w:rsidR="00D41DF1" w:rsidRPr="00D41DF1" w:rsidRDefault="00D41DF1" w:rsidP="00CD3EA0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>Wyposażenie blatu roboczego:</w:t>
      </w:r>
    </w:p>
    <w:p w14:paraId="00B7ABEF" w14:textId="77777777" w:rsidR="00D41DF1" w:rsidRPr="00A37459" w:rsidRDefault="00D41DF1" w:rsidP="00CD3EA0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7459">
        <w:rPr>
          <w:rFonts w:asciiTheme="minorHAnsi" w:hAnsiTheme="minorHAnsi" w:cstheme="minorHAnsi"/>
          <w:sz w:val="24"/>
          <w:szCs w:val="24"/>
        </w:rPr>
        <w:t>Min. 1 statyw na stosy płytek 96-dołkowych.</w:t>
      </w:r>
    </w:p>
    <w:p w14:paraId="214BB01D" w14:textId="6B50E391" w:rsidR="00D41DF1" w:rsidRPr="00A37459" w:rsidRDefault="00D41DF1" w:rsidP="00CD3EA0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7459">
        <w:rPr>
          <w:rFonts w:asciiTheme="minorHAnsi" w:hAnsiTheme="minorHAnsi" w:cstheme="minorHAnsi"/>
          <w:sz w:val="24"/>
          <w:szCs w:val="24"/>
        </w:rPr>
        <w:lastRenderedPageBreak/>
        <w:t xml:space="preserve">Min. 4 statywy </w:t>
      </w:r>
      <w:r w:rsidR="00971AE8" w:rsidRPr="00A37459">
        <w:rPr>
          <w:rFonts w:asciiTheme="minorHAnsi" w:hAnsiTheme="minorHAnsi" w:cstheme="minorHAnsi"/>
          <w:sz w:val="24"/>
          <w:szCs w:val="24"/>
        </w:rPr>
        <w:t>na</w:t>
      </w:r>
      <w:r w:rsidRPr="00A37459">
        <w:rPr>
          <w:rFonts w:asciiTheme="minorHAnsi" w:hAnsiTheme="minorHAnsi" w:cstheme="minorHAnsi"/>
          <w:sz w:val="24"/>
          <w:szCs w:val="24"/>
        </w:rPr>
        <w:t xml:space="preserve"> końcówk</w:t>
      </w:r>
      <w:r w:rsidR="00971AE8" w:rsidRPr="00A37459">
        <w:rPr>
          <w:rFonts w:asciiTheme="minorHAnsi" w:hAnsiTheme="minorHAnsi" w:cstheme="minorHAnsi"/>
          <w:sz w:val="24"/>
          <w:szCs w:val="24"/>
        </w:rPr>
        <w:t>i</w:t>
      </w:r>
      <w:r w:rsidRPr="00A37459">
        <w:rPr>
          <w:rFonts w:asciiTheme="minorHAnsi" w:hAnsiTheme="minorHAnsi" w:cstheme="minorHAnsi"/>
          <w:sz w:val="24"/>
          <w:szCs w:val="24"/>
        </w:rPr>
        <w:t xml:space="preserve"> jednorazow</w:t>
      </w:r>
      <w:r w:rsidR="00971AE8" w:rsidRPr="00A37459">
        <w:rPr>
          <w:rFonts w:asciiTheme="minorHAnsi" w:hAnsiTheme="minorHAnsi" w:cstheme="minorHAnsi"/>
          <w:sz w:val="24"/>
          <w:szCs w:val="24"/>
        </w:rPr>
        <w:t>e</w:t>
      </w:r>
      <w:r w:rsidRPr="00A37459">
        <w:rPr>
          <w:rFonts w:asciiTheme="minorHAnsi" w:hAnsiTheme="minorHAnsi" w:cstheme="minorHAnsi"/>
          <w:sz w:val="24"/>
          <w:szCs w:val="24"/>
        </w:rPr>
        <w:t xml:space="preserve"> 5x96.</w:t>
      </w:r>
    </w:p>
    <w:p w14:paraId="6FB01C87" w14:textId="319E3068" w:rsidR="00D41DF1" w:rsidRPr="00A37459" w:rsidRDefault="00D41DF1" w:rsidP="00CD3EA0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7459">
        <w:rPr>
          <w:rFonts w:asciiTheme="minorHAnsi" w:hAnsiTheme="minorHAnsi" w:cstheme="minorHAnsi"/>
          <w:sz w:val="24"/>
          <w:szCs w:val="24"/>
        </w:rPr>
        <w:t xml:space="preserve">Min. 2 statywy </w:t>
      </w:r>
      <w:r w:rsidR="00971AE8" w:rsidRPr="00A37459">
        <w:rPr>
          <w:rFonts w:asciiTheme="minorHAnsi" w:hAnsiTheme="minorHAnsi" w:cstheme="minorHAnsi"/>
          <w:sz w:val="24"/>
          <w:szCs w:val="24"/>
        </w:rPr>
        <w:t>na</w:t>
      </w:r>
      <w:r w:rsidRPr="00A37459">
        <w:rPr>
          <w:rFonts w:asciiTheme="minorHAnsi" w:hAnsiTheme="minorHAnsi" w:cstheme="minorHAnsi"/>
          <w:sz w:val="24"/>
          <w:szCs w:val="24"/>
        </w:rPr>
        <w:t xml:space="preserve"> zbiorniki na odczynniki 5x60 ml.</w:t>
      </w:r>
    </w:p>
    <w:p w14:paraId="52436423" w14:textId="3BCB1E7E" w:rsidR="00D41DF1" w:rsidRPr="00A37459" w:rsidRDefault="00D41DF1" w:rsidP="00CD3EA0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7459">
        <w:rPr>
          <w:rFonts w:asciiTheme="minorHAnsi" w:hAnsiTheme="minorHAnsi" w:cstheme="minorHAnsi"/>
          <w:sz w:val="24"/>
          <w:szCs w:val="24"/>
        </w:rPr>
        <w:t>Min. 1 statyw na 24 probówki (różnych producentów).</w:t>
      </w:r>
    </w:p>
    <w:p w14:paraId="7E6562F6" w14:textId="7A5DA3B5" w:rsidR="00D41DF1" w:rsidRPr="00D41DF1" w:rsidRDefault="00D41DF1" w:rsidP="00CD3EA0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7459">
        <w:rPr>
          <w:rFonts w:asciiTheme="minorHAnsi" w:hAnsiTheme="minorHAnsi" w:cstheme="minorHAnsi"/>
          <w:sz w:val="24"/>
          <w:szCs w:val="24"/>
        </w:rPr>
        <w:t>Min. 2 statywy na 32 probówki (różnych producentów</w:t>
      </w:r>
      <w:r w:rsidRPr="00D41DF1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29265D1" w14:textId="77777777" w:rsidR="00D41DF1" w:rsidRPr="00D41DF1" w:rsidRDefault="00D41DF1" w:rsidP="00CD3EA0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>Min. 1 gniazdo na płytki 96-dołkowe.</w:t>
      </w:r>
    </w:p>
    <w:p w14:paraId="1558AC84" w14:textId="6F02BBC5" w:rsidR="00D41DF1" w:rsidRPr="00D41DF1" w:rsidRDefault="00D41DF1" w:rsidP="00CD3EA0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 xml:space="preserve">Min. 5x termostat blokowy z funkcją wytrząsania, umożliwiający </w:t>
      </w:r>
      <w:r w:rsidR="00023671">
        <w:rPr>
          <w:rFonts w:asciiTheme="minorHAnsi" w:hAnsiTheme="minorHAnsi" w:cstheme="minorHAnsi"/>
          <w:sz w:val="24"/>
          <w:szCs w:val="24"/>
        </w:rPr>
        <w:t xml:space="preserve">grzanie </w:t>
      </w:r>
      <w:r w:rsidR="00023671" w:rsidRPr="00D41DF1">
        <w:rPr>
          <w:rFonts w:asciiTheme="minorHAnsi" w:hAnsiTheme="minorHAnsi" w:cstheme="minorHAnsi"/>
          <w:sz w:val="24"/>
          <w:szCs w:val="24"/>
        </w:rPr>
        <w:t>co najmniej</w:t>
      </w:r>
      <w:r w:rsidR="00023671">
        <w:rPr>
          <w:rFonts w:asciiTheme="minorHAnsi" w:hAnsiTheme="minorHAnsi" w:cstheme="minorHAnsi"/>
          <w:sz w:val="24"/>
          <w:szCs w:val="24"/>
        </w:rPr>
        <w:t xml:space="preserve"> w zakresie</w:t>
      </w:r>
      <w:r w:rsidRPr="00D41DF1">
        <w:rPr>
          <w:rFonts w:asciiTheme="minorHAnsi" w:hAnsiTheme="minorHAnsi" w:cstheme="minorHAnsi"/>
          <w:sz w:val="24"/>
          <w:szCs w:val="24"/>
        </w:rPr>
        <w:t xml:space="preserve"> od RT+5°C do 105°C i wytrząsania co najmniej </w:t>
      </w:r>
      <w:r w:rsidR="00023671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D41DF1">
        <w:rPr>
          <w:rFonts w:asciiTheme="minorHAnsi" w:hAnsiTheme="minorHAnsi" w:cstheme="minorHAnsi"/>
          <w:sz w:val="24"/>
          <w:szCs w:val="24"/>
        </w:rPr>
        <w:t xml:space="preserve">od 100 do 2500 </w:t>
      </w:r>
      <w:proofErr w:type="spellStart"/>
      <w:r w:rsidRPr="00D41DF1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D41DF1">
        <w:rPr>
          <w:rFonts w:asciiTheme="minorHAnsi" w:hAnsiTheme="minorHAnsi" w:cstheme="minorHAnsi"/>
          <w:sz w:val="24"/>
          <w:szCs w:val="24"/>
        </w:rPr>
        <w:t>./min, wyposażony w adaptery do wielu rodzajów płytek SLAS/ ANSI, i probówek co najmniej:</w:t>
      </w:r>
    </w:p>
    <w:p w14:paraId="05DEF02A" w14:textId="77777777" w:rsidR="00D41DF1" w:rsidRPr="00D41DF1" w:rsidRDefault="00D41DF1" w:rsidP="00CD3EA0">
      <w:pPr>
        <w:pStyle w:val="Akapitzlist"/>
        <w:widowControl/>
        <w:numPr>
          <w:ilvl w:val="2"/>
          <w:numId w:val="19"/>
        </w:numPr>
        <w:autoSpaceDE/>
        <w:autoSpaceDN/>
        <w:spacing w:after="160" w:line="360" w:lineRule="auto"/>
        <w:ind w:left="1134" w:hanging="14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 xml:space="preserve">z adapterem na średnie płytki (x2), </w:t>
      </w:r>
    </w:p>
    <w:p w14:paraId="54B0352D" w14:textId="77777777" w:rsidR="00D41DF1" w:rsidRPr="00D41DF1" w:rsidRDefault="00D41DF1" w:rsidP="00CD3EA0">
      <w:pPr>
        <w:pStyle w:val="Akapitzlist"/>
        <w:widowControl/>
        <w:numPr>
          <w:ilvl w:val="2"/>
          <w:numId w:val="19"/>
        </w:numPr>
        <w:autoSpaceDE/>
        <w:autoSpaceDN/>
        <w:spacing w:after="160" w:line="360" w:lineRule="auto"/>
        <w:ind w:left="1134" w:hanging="14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>z adapterem na płytki PCR (x2),</w:t>
      </w:r>
    </w:p>
    <w:p w14:paraId="06F4E8DA" w14:textId="77777777" w:rsidR="00D41DF1" w:rsidRPr="00D41DF1" w:rsidRDefault="00D41DF1" w:rsidP="00CD3EA0">
      <w:pPr>
        <w:pStyle w:val="Akapitzlist"/>
        <w:widowControl/>
        <w:numPr>
          <w:ilvl w:val="2"/>
          <w:numId w:val="19"/>
        </w:numPr>
        <w:autoSpaceDE/>
        <w:autoSpaceDN/>
        <w:spacing w:after="160" w:line="360" w:lineRule="auto"/>
        <w:ind w:left="1134" w:hanging="14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>z płaskim dnem (x1).</w:t>
      </w:r>
    </w:p>
    <w:p w14:paraId="289DE40B" w14:textId="55090831" w:rsidR="00971AE8" w:rsidRDefault="00971AE8" w:rsidP="00CD3EA0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D41DF1" w:rsidRPr="00D41DF1">
        <w:rPr>
          <w:rFonts w:asciiTheme="minorHAnsi" w:hAnsiTheme="minorHAnsi" w:cstheme="minorHAnsi"/>
          <w:sz w:val="24"/>
          <w:szCs w:val="24"/>
        </w:rPr>
        <w:t>tatyw magnetyczny umożliwiający pracę z kulkami magnetycznymi.</w:t>
      </w:r>
    </w:p>
    <w:p w14:paraId="12B7F6B7" w14:textId="4B8E2E95" w:rsidR="00D41DF1" w:rsidRPr="00A37459" w:rsidRDefault="00D41DF1" w:rsidP="00CD3EA0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7459">
        <w:rPr>
          <w:rFonts w:asciiTheme="minorHAnsi" w:hAnsiTheme="minorHAnsi" w:cstheme="minorHAnsi"/>
          <w:sz w:val="24"/>
          <w:szCs w:val="24"/>
        </w:rPr>
        <w:t>Moduł bloku grzewczo-chłodzącego z adapterem do probówek, zapewniający precyzyjną kontrolę temperatury</w:t>
      </w:r>
      <w:r w:rsidR="0003725E" w:rsidRPr="00A37459">
        <w:rPr>
          <w:rFonts w:asciiTheme="minorHAnsi" w:hAnsiTheme="minorHAnsi" w:cstheme="minorHAnsi"/>
          <w:sz w:val="24"/>
          <w:szCs w:val="24"/>
        </w:rPr>
        <w:t xml:space="preserve"> w zakresie od min. 4 do min. 70°C</w:t>
      </w:r>
      <w:r w:rsidR="006F7F0B" w:rsidRPr="00A37459">
        <w:rPr>
          <w:rFonts w:asciiTheme="minorHAnsi" w:hAnsiTheme="minorHAnsi" w:cstheme="minorHAnsi"/>
          <w:sz w:val="24"/>
          <w:szCs w:val="24"/>
        </w:rPr>
        <w:t>.</w:t>
      </w:r>
    </w:p>
    <w:p w14:paraId="36807411" w14:textId="77777777" w:rsidR="00D41DF1" w:rsidRPr="00D41DF1" w:rsidRDefault="00D41DF1" w:rsidP="00CD3EA0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>Moduł czytnika kodów kreskowych, umożliwiający śledzenie próbek i odczynników oraz kontrolę umieszczenia końcówek i sprzętu laboratoryjnego na blacie roboczym.</w:t>
      </w:r>
    </w:p>
    <w:p w14:paraId="1727D435" w14:textId="77777777" w:rsidR="001968DE" w:rsidRDefault="00790EBF" w:rsidP="00C7011B">
      <w:pPr>
        <w:pStyle w:val="Akapitzlist"/>
        <w:numPr>
          <w:ilvl w:val="0"/>
          <w:numId w:val="18"/>
        </w:numPr>
        <w:tabs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sz w:val="24"/>
          <w:szCs w:val="24"/>
        </w:rPr>
      </w:pPr>
      <w:r w:rsidRPr="001968DE">
        <w:rPr>
          <w:rFonts w:asciiTheme="minorHAnsi" w:hAnsiTheme="minorHAnsi" w:cstheme="minorHAnsi"/>
          <w:sz w:val="24"/>
          <w:szCs w:val="24"/>
        </w:rPr>
        <w:t xml:space="preserve">wielofunkcyjne ramię </w:t>
      </w:r>
      <w:proofErr w:type="spellStart"/>
      <w:r w:rsidRPr="001968DE">
        <w:rPr>
          <w:rFonts w:asciiTheme="minorHAnsi" w:hAnsiTheme="minorHAnsi" w:cstheme="minorHAnsi"/>
          <w:sz w:val="24"/>
          <w:szCs w:val="24"/>
        </w:rPr>
        <w:t>robo</w:t>
      </w:r>
      <w:r w:rsidR="00062D44" w:rsidRPr="001968DE">
        <w:rPr>
          <w:rFonts w:asciiTheme="minorHAnsi" w:hAnsiTheme="minorHAnsi" w:cstheme="minorHAnsi"/>
          <w:sz w:val="24"/>
          <w:szCs w:val="24"/>
        </w:rPr>
        <w:t>ty</w:t>
      </w:r>
      <w:r w:rsidRPr="001968DE">
        <w:rPr>
          <w:rFonts w:asciiTheme="minorHAnsi" w:hAnsiTheme="minorHAnsi" w:cstheme="minorHAnsi"/>
          <w:sz w:val="24"/>
          <w:szCs w:val="24"/>
        </w:rPr>
        <w:t>cz</w:t>
      </w:r>
      <w:r w:rsidR="00062D44" w:rsidRPr="001968DE">
        <w:rPr>
          <w:rFonts w:asciiTheme="minorHAnsi" w:hAnsiTheme="minorHAnsi" w:cstheme="minorHAnsi"/>
          <w:sz w:val="24"/>
          <w:szCs w:val="24"/>
        </w:rPr>
        <w:t>n</w:t>
      </w:r>
      <w:r w:rsidRPr="001968DE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1968DE">
        <w:rPr>
          <w:rFonts w:asciiTheme="minorHAnsi" w:hAnsiTheme="minorHAnsi" w:cstheme="minorHAnsi"/>
          <w:sz w:val="24"/>
          <w:szCs w:val="24"/>
        </w:rPr>
        <w:t xml:space="preserve"> z min. ośmioma niezależnymi kanałami pipetującymi, pracującymi w zakresie objętości nie gorszym niż 0,5 - 1000 µl. Ramię pozwala na niezależne, asymetryczne pozycjonowanie kanałów pipetujących w osiach Y</w:t>
      </w:r>
      <w:r w:rsidR="00062D44" w:rsidRPr="001968DE">
        <w:rPr>
          <w:rFonts w:asciiTheme="minorHAnsi" w:hAnsiTheme="minorHAnsi" w:cstheme="minorHAnsi"/>
          <w:sz w:val="24"/>
          <w:szCs w:val="24"/>
        </w:rPr>
        <w:t xml:space="preserve"> i </w:t>
      </w:r>
      <w:r w:rsidRPr="001968DE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1968DE">
        <w:rPr>
          <w:rFonts w:asciiTheme="minorHAnsi" w:hAnsiTheme="minorHAnsi" w:cstheme="minorHAnsi"/>
          <w:sz w:val="24"/>
          <w:szCs w:val="24"/>
        </w:rPr>
        <w:t>z</w:t>
      </w:r>
      <w:proofErr w:type="spellEnd"/>
      <w:r w:rsidRPr="001968DE">
        <w:rPr>
          <w:rFonts w:asciiTheme="minorHAnsi" w:hAnsiTheme="minorHAnsi" w:cstheme="minorHAnsi"/>
          <w:sz w:val="24"/>
          <w:szCs w:val="24"/>
        </w:rPr>
        <w:t xml:space="preserve"> dokładnością lepszą niż 0,1 mm. Ramię zapewniające również swobodny dostęp do całego blatu roboczego i umożliwiające obsługę złożonych wzorców pipetowania i szybsze przetwarzanie próbek</w:t>
      </w:r>
      <w:r w:rsidR="00CF2087" w:rsidRPr="001968DE">
        <w:rPr>
          <w:rFonts w:asciiTheme="minorHAnsi" w:hAnsiTheme="minorHAnsi" w:cstheme="minorHAnsi"/>
          <w:sz w:val="24"/>
          <w:szCs w:val="24"/>
        </w:rPr>
        <w:t>.</w:t>
      </w:r>
    </w:p>
    <w:p w14:paraId="0D46C5C3" w14:textId="460BA59C" w:rsidR="00E67FEF" w:rsidRPr="001968DE" w:rsidRDefault="001968DE" w:rsidP="00C7011B">
      <w:pPr>
        <w:pStyle w:val="Akapitzlist"/>
        <w:numPr>
          <w:ilvl w:val="0"/>
          <w:numId w:val="18"/>
        </w:numPr>
        <w:tabs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sz w:val="24"/>
          <w:szCs w:val="24"/>
        </w:rPr>
      </w:pPr>
      <w:r w:rsidRPr="001968DE">
        <w:rPr>
          <w:rFonts w:asciiTheme="minorHAnsi" w:hAnsiTheme="minorHAnsi" w:cstheme="minorHAnsi"/>
          <w:sz w:val="24"/>
          <w:szCs w:val="24"/>
        </w:rPr>
        <w:t xml:space="preserve">urządzenie transportujące materiały zużywalne, składające się z min. 2 uchwytów, montowanych do </w:t>
      </w: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Pr="001968DE">
        <w:rPr>
          <w:rFonts w:asciiTheme="minorHAnsi" w:hAnsiTheme="minorHAnsi" w:cstheme="minorHAnsi"/>
          <w:sz w:val="24"/>
          <w:szCs w:val="24"/>
        </w:rPr>
        <w:t>2 kanałów pipetujących. Nieużywane uchwyty, przechowywane poza blatem roboczym.</w:t>
      </w:r>
    </w:p>
    <w:p w14:paraId="0364CB07" w14:textId="7C515842" w:rsidR="00D41DF1" w:rsidRDefault="00D41DF1" w:rsidP="00CD3EA0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 xml:space="preserve">System podwójnego wykrywania poziomu cieczy we wszystkich kanałach pipetujących, oparty o czujnik pojemnościowy i </w:t>
      </w:r>
      <w:r w:rsidR="00C67EFC" w:rsidRPr="00A37459">
        <w:rPr>
          <w:rFonts w:asciiTheme="minorHAnsi" w:hAnsiTheme="minorHAnsi" w:cstheme="minorHAnsi"/>
          <w:sz w:val="24"/>
          <w:szCs w:val="24"/>
        </w:rPr>
        <w:t>czujnik</w:t>
      </w:r>
      <w:r w:rsidR="00C67EFC">
        <w:rPr>
          <w:rFonts w:asciiTheme="minorHAnsi" w:hAnsiTheme="minorHAnsi" w:cstheme="minorHAnsi"/>
          <w:sz w:val="24"/>
          <w:szCs w:val="24"/>
        </w:rPr>
        <w:t xml:space="preserve"> </w:t>
      </w:r>
      <w:r w:rsidRPr="00D41DF1">
        <w:rPr>
          <w:rFonts w:asciiTheme="minorHAnsi" w:hAnsiTheme="minorHAnsi" w:cstheme="minorHAnsi"/>
          <w:sz w:val="24"/>
          <w:szCs w:val="24"/>
        </w:rPr>
        <w:t>ciśnieniowy.</w:t>
      </w:r>
    </w:p>
    <w:p w14:paraId="54CC2871" w14:textId="101EE069" w:rsidR="00CF2087" w:rsidRPr="00FC0A1F" w:rsidRDefault="00CF2087" w:rsidP="00CD3EA0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C0A1F">
        <w:rPr>
          <w:rFonts w:asciiTheme="minorHAnsi" w:hAnsiTheme="minorHAnsi" w:cstheme="minorHAnsi"/>
          <w:sz w:val="24"/>
          <w:szCs w:val="24"/>
        </w:rPr>
        <w:t xml:space="preserve">Wzajemne dopasowanie kanałów pipetujących wyposażonych w sprężystą o-kształtną uszczelkę i końcówek z wyprofilowanymi rowkami o kompatybilnym kształcie, </w:t>
      </w:r>
      <w:r w:rsidR="00FC0A1F">
        <w:rPr>
          <w:rFonts w:asciiTheme="minorHAnsi" w:hAnsiTheme="minorHAnsi" w:cstheme="minorHAnsi"/>
          <w:sz w:val="24"/>
          <w:szCs w:val="24"/>
        </w:rPr>
        <w:t>zapewniających</w:t>
      </w:r>
      <w:r w:rsidRPr="00FC0A1F">
        <w:rPr>
          <w:rFonts w:asciiTheme="minorHAnsi" w:hAnsiTheme="minorHAnsi" w:cstheme="minorHAnsi"/>
          <w:sz w:val="24"/>
          <w:szCs w:val="24"/>
        </w:rPr>
        <w:t xml:space="preserve"> szczelność oraz możliwość wymiany końcówek w aparacie bez użycia siły pionowej</w:t>
      </w:r>
      <w:r w:rsidR="00FC0A1F">
        <w:rPr>
          <w:rFonts w:asciiTheme="minorHAnsi" w:hAnsiTheme="minorHAnsi" w:cstheme="minorHAnsi"/>
          <w:sz w:val="24"/>
          <w:szCs w:val="24"/>
        </w:rPr>
        <w:t>.</w:t>
      </w:r>
      <w:r w:rsidRPr="00FC0A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BA1002" w14:textId="5787AF25" w:rsidR="00062D44" w:rsidRPr="00EA6AE2" w:rsidRDefault="00062D44" w:rsidP="00CD3EA0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6AE2">
        <w:rPr>
          <w:rFonts w:asciiTheme="minorHAnsi" w:hAnsiTheme="minorHAnsi" w:cstheme="minorHAnsi"/>
          <w:sz w:val="24"/>
          <w:szCs w:val="24"/>
        </w:rPr>
        <w:t>System wykorzystujący technologię pipetowania wyporowego, eliminującą zastosowanie płynu systemowego</w:t>
      </w:r>
      <w:r w:rsidR="00FC0A1F">
        <w:rPr>
          <w:rFonts w:asciiTheme="minorHAnsi" w:hAnsiTheme="minorHAnsi" w:cstheme="minorHAnsi"/>
          <w:sz w:val="24"/>
          <w:szCs w:val="24"/>
        </w:rPr>
        <w:t>.</w:t>
      </w:r>
    </w:p>
    <w:p w14:paraId="01AB9EB6" w14:textId="5125BCC7" w:rsidR="00D41DF1" w:rsidRPr="00FC0A1F" w:rsidRDefault="00D41DF1" w:rsidP="00CD3EA0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C0A1F">
        <w:rPr>
          <w:rFonts w:asciiTheme="minorHAnsi" w:hAnsiTheme="minorHAnsi" w:cstheme="minorHAnsi"/>
          <w:sz w:val="24"/>
          <w:szCs w:val="24"/>
        </w:rPr>
        <w:lastRenderedPageBreak/>
        <w:t xml:space="preserve">System monitorowania w czasie rzeczywistym procesu pipetowania, </w:t>
      </w:r>
      <w:r w:rsidR="00441F74" w:rsidRPr="00FC0A1F">
        <w:rPr>
          <w:rFonts w:asciiTheme="minorHAnsi" w:hAnsiTheme="minorHAnsi" w:cstheme="minorHAnsi"/>
          <w:sz w:val="24"/>
          <w:szCs w:val="24"/>
        </w:rPr>
        <w:t xml:space="preserve">oparty o czujnik ciśnienia wewnątrz kanałów pipetujących, </w:t>
      </w:r>
      <w:r w:rsidRPr="00FC0A1F">
        <w:rPr>
          <w:rFonts w:asciiTheme="minorHAnsi" w:hAnsiTheme="minorHAnsi" w:cstheme="minorHAnsi"/>
          <w:sz w:val="24"/>
          <w:szCs w:val="24"/>
        </w:rPr>
        <w:t xml:space="preserve">umożliwiający wykrywanie błędów pipetowania. </w:t>
      </w:r>
    </w:p>
    <w:p w14:paraId="2FF44B70" w14:textId="00495A53" w:rsidR="00D41DF1" w:rsidRDefault="00D41DF1" w:rsidP="00CD3EA0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>System zapobiegający wyciekom z końcówek podczas pipetowania lotnych substancji, wykrywający i kompensujący w czasie rzeczywistym zmiany ciśnienia spowodowane wysoką prężnością par lotnych substancji organicznych.</w:t>
      </w:r>
    </w:p>
    <w:p w14:paraId="191AD375" w14:textId="65C334D2" w:rsidR="00E074D9" w:rsidRPr="007258B9" w:rsidRDefault="00E074D9" w:rsidP="00CD3EA0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258B9">
        <w:rPr>
          <w:rFonts w:asciiTheme="minorHAnsi" w:hAnsiTheme="minorHAnsi" w:cstheme="minorHAnsi"/>
          <w:sz w:val="24"/>
          <w:szCs w:val="24"/>
        </w:rPr>
        <w:t>Funkcja umożliwiająca kontrolę integralności blatu roboczego, z wykorzystaniem czytnika kodów kreskowych, poprzez automatyczne sprawdzanie wszystkich probówek z próbkami, mikropłytek, zbiorników na odczynniki podczas ich ładowania do urządzenia.</w:t>
      </w:r>
    </w:p>
    <w:p w14:paraId="49FEDEAE" w14:textId="77777777" w:rsidR="00D41DF1" w:rsidRPr="00D41DF1" w:rsidRDefault="00D41DF1" w:rsidP="00CD3EA0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 xml:space="preserve">Oprogramowanie sterujące urządzeniem zapewniające możliwość podstawowego i  zaawansowanego programowania. </w:t>
      </w:r>
    </w:p>
    <w:p w14:paraId="51B1A5A2" w14:textId="77777777" w:rsidR="00D41DF1" w:rsidRPr="00D41DF1" w:rsidRDefault="00D41DF1" w:rsidP="00CD3EA0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>Graficzny interfejs użytkownika oraz intuicyjne edytory.</w:t>
      </w:r>
    </w:p>
    <w:p w14:paraId="5FBB2FF7" w14:textId="77777777" w:rsidR="00D41DF1" w:rsidRDefault="00D41DF1" w:rsidP="00CD3EA0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 xml:space="preserve">Zasilanie 230 V, 50 </w:t>
      </w:r>
      <w:proofErr w:type="spellStart"/>
      <w:r w:rsidRPr="00D41DF1">
        <w:rPr>
          <w:rFonts w:asciiTheme="minorHAnsi" w:hAnsiTheme="minorHAnsi" w:cstheme="minorHAnsi"/>
          <w:sz w:val="24"/>
          <w:szCs w:val="24"/>
        </w:rPr>
        <w:t>Hz</w:t>
      </w:r>
      <w:proofErr w:type="spellEnd"/>
    </w:p>
    <w:p w14:paraId="46B2BA39" w14:textId="39256E28" w:rsidR="0092572B" w:rsidRPr="00D41DF1" w:rsidRDefault="0092572B" w:rsidP="00CD3EA0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Stół laboratoryjny dostosowany do parametrów urządzenia.</w:t>
      </w:r>
    </w:p>
    <w:p w14:paraId="2B2BF524" w14:textId="01161F95" w:rsidR="00D41DF1" w:rsidRPr="00D41DF1" w:rsidRDefault="00D41DF1" w:rsidP="00CD3EA0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 xml:space="preserve">Dodatkowo </w:t>
      </w:r>
      <w:r w:rsidR="00CE0BAD">
        <w:rPr>
          <w:rFonts w:asciiTheme="minorHAnsi" w:hAnsiTheme="minorHAnsi" w:cstheme="minorHAnsi"/>
          <w:sz w:val="24"/>
          <w:szCs w:val="24"/>
        </w:rPr>
        <w:t>w zestawie (zestaw startowy)</w:t>
      </w:r>
      <w:r w:rsidRPr="00D41DF1">
        <w:rPr>
          <w:rFonts w:asciiTheme="minorHAnsi" w:hAnsiTheme="minorHAnsi" w:cstheme="minorHAnsi"/>
          <w:sz w:val="24"/>
          <w:szCs w:val="24"/>
        </w:rPr>
        <w:t>:</w:t>
      </w:r>
    </w:p>
    <w:p w14:paraId="50683AD2" w14:textId="77777777" w:rsidR="00D41DF1" w:rsidRPr="00D41DF1" w:rsidRDefault="00D41DF1" w:rsidP="00CD3EA0">
      <w:pPr>
        <w:pStyle w:val="Akapitzlist"/>
        <w:widowControl/>
        <w:numPr>
          <w:ilvl w:val="0"/>
          <w:numId w:val="21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 xml:space="preserve">Końcówki przewodzące 50 </w:t>
      </w:r>
      <w:proofErr w:type="spellStart"/>
      <w:r w:rsidRPr="00D41DF1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Pr="00D41DF1">
        <w:rPr>
          <w:rFonts w:asciiTheme="minorHAnsi" w:hAnsiTheme="minorHAnsi" w:cstheme="minorHAnsi"/>
          <w:sz w:val="24"/>
          <w:szCs w:val="24"/>
        </w:rPr>
        <w:t xml:space="preserve"> min. 5760 szt.</w:t>
      </w:r>
    </w:p>
    <w:p w14:paraId="49A574D6" w14:textId="77777777" w:rsidR="00D41DF1" w:rsidRPr="00D41DF1" w:rsidRDefault="00D41DF1" w:rsidP="00CD3EA0">
      <w:pPr>
        <w:pStyle w:val="Akapitzlist"/>
        <w:widowControl/>
        <w:numPr>
          <w:ilvl w:val="0"/>
          <w:numId w:val="21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 xml:space="preserve">Końcówki przewodzące 300 </w:t>
      </w:r>
      <w:proofErr w:type="spellStart"/>
      <w:r w:rsidRPr="00D41DF1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Pr="00D41DF1">
        <w:rPr>
          <w:rFonts w:asciiTheme="minorHAnsi" w:hAnsiTheme="minorHAnsi" w:cstheme="minorHAnsi"/>
          <w:sz w:val="24"/>
          <w:szCs w:val="24"/>
        </w:rPr>
        <w:t xml:space="preserve"> min. 5760 szt.</w:t>
      </w:r>
    </w:p>
    <w:p w14:paraId="6B801AD1" w14:textId="77777777" w:rsidR="00D41DF1" w:rsidRPr="00D41DF1" w:rsidRDefault="00D41DF1" w:rsidP="00CD3EA0">
      <w:pPr>
        <w:pStyle w:val="Akapitzlist"/>
        <w:widowControl/>
        <w:numPr>
          <w:ilvl w:val="0"/>
          <w:numId w:val="21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 xml:space="preserve">Końcówki przewodzące 1000 </w:t>
      </w:r>
      <w:proofErr w:type="spellStart"/>
      <w:r w:rsidRPr="00D41DF1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Pr="00D41DF1">
        <w:rPr>
          <w:rFonts w:asciiTheme="minorHAnsi" w:hAnsiTheme="minorHAnsi" w:cstheme="minorHAnsi"/>
          <w:sz w:val="24"/>
          <w:szCs w:val="24"/>
        </w:rPr>
        <w:t xml:space="preserve"> min. 3840 szt.</w:t>
      </w:r>
    </w:p>
    <w:p w14:paraId="2C91C567" w14:textId="77777777" w:rsidR="00D41DF1" w:rsidRPr="00D41DF1" w:rsidRDefault="00D41DF1" w:rsidP="00CD3EA0">
      <w:pPr>
        <w:pStyle w:val="Akapitzlist"/>
        <w:widowControl/>
        <w:numPr>
          <w:ilvl w:val="0"/>
          <w:numId w:val="21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>Pojemniki na odczynniki min. 28 szt.</w:t>
      </w:r>
    </w:p>
    <w:p w14:paraId="6F4ED576" w14:textId="4F47A916" w:rsidR="00D41DF1" w:rsidRDefault="00D41DF1" w:rsidP="00CD3EA0">
      <w:pPr>
        <w:pStyle w:val="Akapitzlist"/>
        <w:widowControl/>
        <w:numPr>
          <w:ilvl w:val="0"/>
          <w:numId w:val="21"/>
        </w:numPr>
        <w:autoSpaceDE/>
        <w:autoSpaceDN/>
        <w:spacing w:after="160" w:line="36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DF1">
        <w:rPr>
          <w:rFonts w:asciiTheme="minorHAnsi" w:hAnsiTheme="minorHAnsi" w:cstheme="minorHAnsi"/>
          <w:sz w:val="24"/>
          <w:szCs w:val="24"/>
        </w:rPr>
        <w:t>Pojemniki na odpady min. 200 szt.</w:t>
      </w:r>
    </w:p>
    <w:p w14:paraId="50D515ED" w14:textId="0167F46C" w:rsidR="0095537D" w:rsidRPr="00383D8F" w:rsidRDefault="00983FAC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39C0BCBE" w14:textId="77777777" w:rsidR="00CD3EA0" w:rsidRPr="00CD3EA0" w:rsidRDefault="00EE7F46" w:rsidP="00CD3EA0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2023584D" w14:textId="77777777" w:rsidR="00CD3EA0" w:rsidRPr="00CD3EA0" w:rsidRDefault="00354642" w:rsidP="00CD3EA0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3EA0">
        <w:rPr>
          <w:rFonts w:asciiTheme="minorHAnsi" w:hAnsiTheme="minorHAnsi" w:cstheme="minorHAnsi"/>
          <w:sz w:val="24"/>
          <w:szCs w:val="24"/>
        </w:rPr>
        <w:t xml:space="preserve"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</w:t>
      </w:r>
      <w:r w:rsidRPr="00CD3EA0">
        <w:rPr>
          <w:rFonts w:asciiTheme="minorHAnsi" w:hAnsiTheme="minorHAnsi" w:cstheme="minorHAnsi"/>
          <w:sz w:val="24"/>
          <w:szCs w:val="24"/>
        </w:rPr>
        <w:lastRenderedPageBreak/>
        <w:t>spełnienie w/w wymogów.</w:t>
      </w:r>
      <w:r w:rsidR="00CD3EA0" w:rsidRPr="00CD3EA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967397E" w14:textId="3C02363A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7258B9">
        <w:rPr>
          <w:rFonts w:asciiTheme="minorHAnsi" w:hAnsiTheme="minorHAnsi" w:cstheme="minorHAnsi"/>
          <w:sz w:val="24"/>
          <w:szCs w:val="24"/>
        </w:rPr>
        <w:t xml:space="preserve"> być w języku polskim </w:t>
      </w:r>
      <w:r w:rsidR="002A561A" w:rsidRPr="007258B9">
        <w:rPr>
          <w:rFonts w:asciiTheme="minorHAnsi" w:hAnsiTheme="minorHAnsi" w:cstheme="minorHAnsi"/>
          <w:sz w:val="24"/>
          <w:szCs w:val="24"/>
        </w:rPr>
        <w:t>lub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7239DB15" w14:textId="77777777" w:rsidR="00922D6D" w:rsidRPr="005F5439" w:rsidRDefault="00204CA6" w:rsidP="00D41DEE">
      <w:pPr>
        <w:pStyle w:val="Akapitzlist"/>
        <w:numPr>
          <w:ilvl w:val="0"/>
          <w:numId w:val="7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D41DEE">
      <w:pPr>
        <w:pStyle w:val="Akapitzlist"/>
        <w:numPr>
          <w:ilvl w:val="0"/>
          <w:numId w:val="7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D41DEE">
      <w:pPr>
        <w:pStyle w:val="Akapitzlist"/>
        <w:numPr>
          <w:ilvl w:val="0"/>
          <w:numId w:val="7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69B5878" w14:textId="07193F5E" w:rsidR="00CD3EA0" w:rsidRPr="00CD3EA0" w:rsidRDefault="00CD3EA0" w:rsidP="00CD3EA0">
      <w:pPr>
        <w:pStyle w:val="Akapitzlist"/>
        <w:numPr>
          <w:ilvl w:val="0"/>
          <w:numId w:val="6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A6F76">
        <w:rPr>
          <w:rFonts w:asciiTheme="minorHAnsi" w:hAnsiTheme="minorHAnsi" w:cstheme="minorHAnsi"/>
          <w:color w:val="000000"/>
          <w:sz w:val="24"/>
          <w:szCs w:val="24"/>
        </w:rPr>
        <w:t>Zamawiający zaleca wykonanie wizji lokalnej pomieszczeń przed złożeniem oferty w celu zapoznania się z istniejącymi warunkami i ustalenia szczegółów technicznych nie podanych w specyfikacji.</w:t>
      </w:r>
    </w:p>
    <w:p w14:paraId="67BCCE3E" w14:textId="5822A9CC" w:rsidR="00BE3F6E" w:rsidRPr="00383D8F" w:rsidRDefault="00BE3F6E" w:rsidP="00D41DEE">
      <w:pPr>
        <w:pStyle w:val="Akapitzlist"/>
        <w:numPr>
          <w:ilvl w:val="0"/>
          <w:numId w:val="6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oferowanego sprzętu</w:t>
      </w:r>
      <w:r w:rsidR="00184C6B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="00184C6B" w:rsidRPr="00383D8F">
        <w:rPr>
          <w:rFonts w:asciiTheme="minorHAnsi" w:hAnsiTheme="minorHAnsi" w:cstheme="minorHAnsi"/>
          <w:color w:val="000000"/>
          <w:sz w:val="24"/>
          <w:szCs w:val="24"/>
        </w:rPr>
        <w:t>w języku polskim</w:t>
      </w:r>
      <w:r w:rsidR="00184C6B">
        <w:rPr>
          <w:rFonts w:asciiTheme="minorHAnsi" w:hAnsiTheme="minorHAnsi" w:cstheme="minorHAnsi"/>
          <w:color w:val="000000"/>
          <w:sz w:val="24"/>
          <w:szCs w:val="24"/>
        </w:rPr>
        <w:t xml:space="preserve"> i/</w:t>
      </w:r>
      <w:r w:rsidR="00184C6B" w:rsidRPr="007258B9">
        <w:rPr>
          <w:rFonts w:asciiTheme="minorHAnsi" w:hAnsiTheme="minorHAnsi" w:cstheme="minorHAnsi"/>
          <w:color w:val="000000"/>
          <w:sz w:val="24"/>
          <w:szCs w:val="24"/>
        </w:rPr>
        <w:t>lub w języku angielskim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="006C26C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C26CD" w:rsidRPr="007258B9">
        <w:rPr>
          <w:rFonts w:asciiTheme="minorHAnsi" w:hAnsiTheme="minorHAnsi" w:cstheme="minorHAnsi"/>
          <w:color w:val="000000"/>
          <w:sz w:val="24"/>
          <w:szCs w:val="24"/>
        </w:rPr>
        <w:t>lub w języku angielskim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383D8F" w:rsidRDefault="006524D6" w:rsidP="003D46F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</w:t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B96206">
          <w:headerReference w:type="default" r:id="rId8"/>
          <w:footerReference w:type="default" r:id="rId9"/>
          <w:pgSz w:w="11910" w:h="16840"/>
          <w:pgMar w:top="964" w:right="1137" w:bottom="278" w:left="1276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DD82509" w14:textId="77777777" w:rsidR="00414BB2" w:rsidRPr="00F15295" w:rsidRDefault="00414BB2" w:rsidP="00414BB2">
      <w:pPr>
        <w:spacing w:line="360" w:lineRule="auto"/>
        <w:ind w:right="141"/>
        <w:rPr>
          <w:rFonts w:asciiTheme="minorHAnsi" w:hAnsiTheme="minorHAnsi" w:cstheme="minorHAnsi"/>
          <w:b/>
          <w:color w:val="000000"/>
        </w:rPr>
      </w:pPr>
      <w:r w:rsidRPr="00F15295">
        <w:rPr>
          <w:rFonts w:asciiTheme="minorHAnsi" w:hAnsiTheme="minorHAnsi" w:cstheme="minorHAnsi"/>
          <w:b/>
          <w:color w:val="00000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color w:val="000000"/>
        </w:rPr>
        <w:t>3</w:t>
      </w:r>
      <w:r w:rsidRPr="00F15295">
        <w:rPr>
          <w:rFonts w:asciiTheme="minorHAnsi" w:hAnsiTheme="minorHAnsi" w:cstheme="minorHAnsi"/>
          <w:b/>
          <w:color w:val="000000"/>
        </w:rPr>
        <w:t xml:space="preserve"> do SWZ</w:t>
      </w:r>
    </w:p>
    <w:p w14:paraId="7811A11C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575E9D04" w14:textId="3A09068A" w:rsidR="00414BB2" w:rsidRPr="00C10C2C" w:rsidRDefault="00414BB2" w:rsidP="00414BB2">
      <w:pPr>
        <w:keepNext/>
        <w:spacing w:line="360" w:lineRule="auto"/>
        <w:outlineLvl w:val="0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>OCENA TECHNICZNA</w:t>
      </w:r>
      <w:r w:rsidR="00B92202">
        <w:rPr>
          <w:rFonts w:asciiTheme="minorHAnsi" w:hAnsiTheme="minorHAnsi" w:cstheme="minorHAnsi"/>
          <w:b/>
          <w:color w:val="000000"/>
          <w:sz w:val="28"/>
        </w:rPr>
        <w:t xml:space="preserve"> – CZĘŚĆ NR </w:t>
      </w:r>
      <w:r w:rsidR="00035765">
        <w:rPr>
          <w:rFonts w:asciiTheme="minorHAnsi" w:hAnsiTheme="minorHAnsi" w:cstheme="minorHAnsi"/>
          <w:b/>
          <w:color w:val="000000"/>
          <w:sz w:val="28"/>
        </w:rPr>
        <w:t>1</w:t>
      </w:r>
    </w:p>
    <w:p w14:paraId="300CF808" w14:textId="77777777" w:rsidR="00682600" w:rsidRDefault="00414BB2" w:rsidP="00665602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 w:rsidR="00682600">
        <w:rPr>
          <w:rFonts w:asciiTheme="minorHAnsi" w:hAnsiTheme="minorHAnsi" w:cstheme="minorHAnsi"/>
          <w:color w:val="000000"/>
        </w:rPr>
        <w:t xml:space="preserve"> do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4B72EA44" w14:textId="77777777" w:rsidR="009048F0" w:rsidRPr="002F23FD" w:rsidRDefault="009048F0" w:rsidP="009048F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Badań Klinicznych (Laboratorium Genomiki)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29219F5" w14:textId="77777777" w:rsidR="009048F0" w:rsidRPr="00F949E1" w:rsidRDefault="009048F0" w:rsidP="009048F0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ROBOT PIPETUJĄCY DO PRZYGOTOWYWANIA BIBLIOTEK NGS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KPL.</w:t>
      </w:r>
    </w:p>
    <w:p w14:paraId="57DB9F13" w14:textId="09BE45E5" w:rsidR="00414BB2" w:rsidRPr="00303344" w:rsidRDefault="00414BB2" w:rsidP="00665602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F72778B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u w:val="single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303344">
        <w:rPr>
          <w:rFonts w:asciiTheme="minorHAnsi" w:hAnsiTheme="minorHAnsi" w:cstheme="minorHAnsi"/>
          <w:color w:val="000000"/>
          <w:u w:val="single"/>
        </w:rPr>
        <w:t xml:space="preserve"> Wykonawca jest zobowiązany wpisać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</w:t>
      </w:r>
      <w:r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>w pozycji „Parametry i funkcje oferowane”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– zgodnie ze stanem faktycznym – oferowaną wartość ocenianego parametru i/lub oferowaną funkcję</w:t>
      </w:r>
    </w:p>
    <w:p w14:paraId="0560C898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CFC326D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303344">
        <w:rPr>
          <w:rFonts w:asciiTheme="minorHAnsi" w:hAnsiTheme="minorHAnsi" w:cstheme="minorHAnsi"/>
          <w:b/>
          <w:bCs/>
          <w:color w:val="000000"/>
        </w:rPr>
        <w:t>Parametry i funkcje oceniane:</w:t>
      </w:r>
    </w:p>
    <w:p w14:paraId="11E7FE12" w14:textId="49BC4AA0" w:rsidR="001F5B2A" w:rsidRPr="007258B9" w:rsidRDefault="001F5B2A" w:rsidP="001F5B2A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58B9">
        <w:rPr>
          <w:rFonts w:asciiTheme="minorHAnsi" w:hAnsiTheme="minorHAnsi" w:cstheme="minorHAnsi"/>
          <w:sz w:val="24"/>
          <w:szCs w:val="24"/>
        </w:rPr>
        <w:t>Możliwość rozbudowy o dodatkowe</w:t>
      </w:r>
      <w:r w:rsidR="0064327B" w:rsidRPr="007258B9">
        <w:rPr>
          <w:rFonts w:asciiTheme="minorHAnsi" w:hAnsiTheme="minorHAnsi" w:cstheme="minorHAnsi"/>
          <w:sz w:val="24"/>
          <w:szCs w:val="24"/>
        </w:rPr>
        <w:t xml:space="preserve"> </w:t>
      </w:r>
      <w:r w:rsidR="00FC0A1F">
        <w:rPr>
          <w:rFonts w:asciiTheme="minorHAnsi" w:hAnsiTheme="minorHAnsi" w:cstheme="minorHAnsi"/>
          <w:sz w:val="24"/>
          <w:szCs w:val="24"/>
        </w:rPr>
        <w:t>(opcjonalne)</w:t>
      </w:r>
      <w:r w:rsidRPr="007258B9">
        <w:rPr>
          <w:rFonts w:asciiTheme="minorHAnsi" w:hAnsiTheme="minorHAnsi" w:cstheme="minorHAnsi"/>
          <w:sz w:val="24"/>
          <w:szCs w:val="24"/>
        </w:rPr>
        <w:t xml:space="preserve"> urządzenie transportujące, montowane na tym samym wielofunkcyjnym ramieniu co kanały pipetujące, służące do transportu materiałów laboratoryjnych</w:t>
      </w:r>
      <w:r w:rsidR="0044520F" w:rsidRPr="007258B9">
        <w:rPr>
          <w:rFonts w:asciiTheme="minorHAnsi" w:hAnsiTheme="minorHAnsi" w:cstheme="minorHAnsi"/>
          <w:sz w:val="24"/>
          <w:szCs w:val="24"/>
        </w:rPr>
        <w:t xml:space="preserve"> </w:t>
      </w:r>
      <w:r w:rsidRPr="007258B9">
        <w:rPr>
          <w:rFonts w:asciiTheme="minorHAnsi" w:hAnsiTheme="minorHAnsi" w:cstheme="minorHAnsi"/>
          <w:sz w:val="24"/>
          <w:szCs w:val="24"/>
        </w:rPr>
        <w:t>do wszystkich pozycji na blacie roboczym oraz do urządzeń</w:t>
      </w:r>
      <w:r w:rsidR="0044520F" w:rsidRPr="007258B9">
        <w:rPr>
          <w:rFonts w:asciiTheme="minorHAnsi" w:hAnsiTheme="minorHAnsi" w:cstheme="minorHAnsi"/>
          <w:sz w:val="24"/>
          <w:szCs w:val="24"/>
        </w:rPr>
        <w:t xml:space="preserve"> peryferycznych, </w:t>
      </w:r>
      <w:r w:rsidRPr="007258B9">
        <w:rPr>
          <w:rFonts w:asciiTheme="minorHAnsi" w:hAnsiTheme="minorHAnsi" w:cstheme="minorHAnsi"/>
          <w:sz w:val="24"/>
          <w:szCs w:val="24"/>
        </w:rPr>
        <w:t>znajdujących się poza stacją pipetującą, zarówno po jej prawej jak i lewej stronie.</w:t>
      </w:r>
    </w:p>
    <w:p w14:paraId="78638D52" w14:textId="77777777" w:rsidR="00B92202" w:rsidRPr="00B92202" w:rsidRDefault="00B92202" w:rsidP="00B92202">
      <w:pPr>
        <w:pStyle w:val="Bezodstpw"/>
        <w:spacing w:line="360" w:lineRule="auto"/>
        <w:ind w:left="720"/>
        <w:jc w:val="both"/>
        <w:rPr>
          <w:rFonts w:cstheme="minorHAnsi"/>
          <w:b/>
          <w:bCs/>
          <w:color w:val="000000"/>
        </w:rPr>
      </w:pPr>
    </w:p>
    <w:p w14:paraId="5B52EB82" w14:textId="6A2068DB" w:rsidR="00414BB2" w:rsidRPr="00B92202" w:rsidRDefault="00414BB2" w:rsidP="00600E2C">
      <w:pPr>
        <w:pStyle w:val="Bezodstpw"/>
        <w:spacing w:line="360" w:lineRule="auto"/>
        <w:jc w:val="both"/>
        <w:rPr>
          <w:rFonts w:cstheme="minorHAnsi"/>
          <w:b/>
          <w:bCs/>
          <w:color w:val="000000"/>
        </w:rPr>
      </w:pPr>
      <w:r w:rsidRPr="00B92202">
        <w:rPr>
          <w:rFonts w:cstheme="minorHAnsi"/>
          <w:b/>
          <w:bCs/>
          <w:color w:val="000000"/>
        </w:rPr>
        <w:t xml:space="preserve">Skala oceny w punktach: </w:t>
      </w:r>
    </w:p>
    <w:p w14:paraId="1721AE26" w14:textId="3588A58D" w:rsidR="00414BB2" w:rsidRPr="00D870BA" w:rsidRDefault="00414BB2" w:rsidP="00D41DEE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  <w:r w:rsidRPr="00D870BA">
        <w:rPr>
          <w:rFonts w:asciiTheme="minorHAnsi" w:hAnsiTheme="minorHAnsi" w:cstheme="minorHAnsi"/>
          <w:bCs/>
          <w:color w:val="000000"/>
        </w:rPr>
        <w:t xml:space="preserve">0 / </w:t>
      </w:r>
      <w:r w:rsidR="00023671">
        <w:rPr>
          <w:rFonts w:asciiTheme="minorHAnsi" w:hAnsiTheme="minorHAnsi" w:cstheme="minorHAnsi"/>
          <w:bCs/>
          <w:color w:val="000000"/>
        </w:rPr>
        <w:t>20</w:t>
      </w:r>
    </w:p>
    <w:p w14:paraId="072FCDDD" w14:textId="77777777" w:rsidR="00414BB2" w:rsidRPr="00A0735A" w:rsidRDefault="00414BB2" w:rsidP="00414BB2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4FF947EA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Parametry i funkcje oferowane</w:t>
      </w:r>
      <w:r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:</w:t>
      </w:r>
    </w:p>
    <w:p w14:paraId="7D8C94C1" w14:textId="77777777" w:rsidR="00023671" w:rsidRDefault="00023671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38AF1164" w14:textId="7EBE7801" w:rsidR="00414BB2" w:rsidRPr="00023671" w:rsidRDefault="00414BB2" w:rsidP="00D41DEE">
      <w:pPr>
        <w:pStyle w:val="Akapitzlist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  <w:r w:rsidRPr="00023671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</w:t>
      </w:r>
      <w:r w:rsidR="00023671" w:rsidRPr="00023671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AFE60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555C735D" w14:textId="053D6293" w:rsidR="00414BB2" w:rsidRDefault="00414BB2" w:rsidP="00414BB2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15295">
        <w:rPr>
          <w:rFonts w:asciiTheme="minorHAnsi" w:eastAsia="Calibri" w:hAnsiTheme="minorHAnsi" w:cstheme="minorHAnsi"/>
          <w:iCs/>
        </w:rPr>
        <w:t>kwalifikowany podpis elektroniczny Wykonawcy </w:t>
      </w:r>
    </w:p>
    <w:p w14:paraId="56C2993D" w14:textId="77777777" w:rsidR="00414BB2" w:rsidRDefault="00414BB2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ED7ACA" w14:textId="77777777" w:rsidR="007258B9" w:rsidRDefault="007258B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98C6C34" w14:textId="77777777" w:rsidR="007258B9" w:rsidRDefault="007258B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2497A703" w:rsidR="0095537D" w:rsidRPr="00383D8F" w:rsidRDefault="008A08AC" w:rsidP="003D46FA">
      <w:pPr>
        <w:pStyle w:val="Nagwek1"/>
        <w:tabs>
          <w:tab w:val="left" w:pos="9214"/>
        </w:tabs>
        <w:ind w:left="567" w:hanging="567"/>
        <w:jc w:val="both"/>
      </w:pPr>
      <w:r>
        <w:t>OCENA</w:t>
      </w:r>
      <w:r w:rsidR="00A46452" w:rsidRPr="00383D8F">
        <w:t xml:space="preserve"> WARUNKÓW GWARANCJI – </w:t>
      </w:r>
      <w:r w:rsidR="00630BA1">
        <w:t xml:space="preserve">CZĘŚĆ NR </w:t>
      </w:r>
      <w:r w:rsidR="00035765">
        <w:t>1</w:t>
      </w:r>
    </w:p>
    <w:p w14:paraId="3BE3E0FD" w14:textId="77777777" w:rsidR="0095537D" w:rsidRPr="00383D8F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09FA8B06" w14:textId="77777777" w:rsidR="009048F0" w:rsidRPr="002F23FD" w:rsidRDefault="009048F0" w:rsidP="009048F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Badań Klinicznych (Laboratorium Genomiki)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6BB40F70" w14:textId="77777777" w:rsidR="009048F0" w:rsidRPr="00F949E1" w:rsidRDefault="009048F0" w:rsidP="009048F0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ROBOT PIPETUJĄCY DO PRZYGOTOWYWANIA BIBLIOTEK NGS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KPL.</w:t>
      </w:r>
    </w:p>
    <w:p w14:paraId="71E785FC" w14:textId="77777777" w:rsidR="006D3767" w:rsidRDefault="006D3767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246A54" w14:textId="5E323D16" w:rsidR="00204CA6" w:rsidRPr="00383D8F" w:rsidRDefault="00204CA6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="004017ED">
        <w:rPr>
          <w:rFonts w:asciiTheme="minorHAnsi" w:hAnsiTheme="minorHAnsi" w:cstheme="minorHAnsi"/>
          <w:b/>
          <w:sz w:val="24"/>
          <w:szCs w:val="24"/>
        </w:rPr>
        <w:t>…………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46BBDFD" w:rsidR="006524D6" w:rsidRPr="00383D8F" w:rsidRDefault="00AB1529" w:rsidP="003D46FA">
      <w:pPr>
        <w:tabs>
          <w:tab w:val="left" w:pos="9214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3D46FA">
      <w:pPr>
        <w:pStyle w:val="TableParagraph"/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6FEDF905" w:rsidR="00204CA6" w:rsidRPr="00383D8F" w:rsidRDefault="00204CA6" w:rsidP="00C96943">
      <w:pPr>
        <w:pStyle w:val="TableParagraph"/>
        <w:numPr>
          <w:ilvl w:val="0"/>
          <w:numId w:val="2"/>
        </w:numPr>
        <w:tabs>
          <w:tab w:val="left" w:pos="9214"/>
        </w:tabs>
        <w:spacing w:before="24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6D3767">
        <w:rPr>
          <w:rFonts w:asciiTheme="minorHAnsi" w:hAnsiTheme="minorHAnsi" w:cstheme="minorHAnsi"/>
          <w:b/>
          <w:sz w:val="24"/>
          <w:szCs w:val="24"/>
        </w:rPr>
        <w:t>24</w:t>
      </w:r>
      <w:r w:rsidR="009048F0">
        <w:rPr>
          <w:rFonts w:asciiTheme="minorHAnsi" w:hAnsiTheme="minorHAnsi" w:cstheme="minorHAnsi"/>
          <w:b/>
          <w:sz w:val="24"/>
          <w:szCs w:val="24"/>
        </w:rPr>
        <w:t xml:space="preserve"> miesią</w:t>
      </w:r>
      <w:r w:rsidR="00B92202">
        <w:rPr>
          <w:rFonts w:asciiTheme="minorHAnsi" w:hAnsiTheme="minorHAnsi" w:cstheme="minorHAnsi"/>
          <w:b/>
          <w:sz w:val="24"/>
          <w:szCs w:val="24"/>
        </w:rPr>
        <w:t>c</w:t>
      </w:r>
      <w:r w:rsidR="006D3767">
        <w:rPr>
          <w:rFonts w:asciiTheme="minorHAnsi" w:hAnsiTheme="minorHAnsi" w:cstheme="minorHAnsi"/>
          <w:b/>
          <w:sz w:val="24"/>
          <w:szCs w:val="24"/>
        </w:rPr>
        <w:t>e</w:t>
      </w:r>
      <w:r w:rsidR="00F56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6215" w:rsidRPr="00C96943">
        <w:rPr>
          <w:rFonts w:asciiTheme="minorHAnsi" w:hAnsiTheme="minorHAnsi" w:cstheme="minorHAnsi"/>
          <w:sz w:val="24"/>
          <w:szCs w:val="24"/>
        </w:rPr>
        <w:t>(nie dotyczy</w:t>
      </w:r>
      <w:r w:rsidR="00C96943" w:rsidRPr="00C96943">
        <w:rPr>
          <w:rFonts w:asciiTheme="minorHAnsi" w:hAnsiTheme="minorHAnsi" w:cstheme="minorHAnsi"/>
          <w:sz w:val="24"/>
          <w:szCs w:val="24"/>
        </w:rPr>
        <w:t xml:space="preserve"> gwarancji na</w:t>
      </w:r>
      <w:r w:rsidR="00EA22E7">
        <w:rPr>
          <w:rFonts w:asciiTheme="minorHAnsi" w:hAnsiTheme="minorHAnsi" w:cstheme="minorHAnsi"/>
          <w:sz w:val="24"/>
          <w:szCs w:val="24"/>
        </w:rPr>
        <w:t>:</w:t>
      </w:r>
      <w:r w:rsidR="00C96943" w:rsidRPr="00C96943">
        <w:rPr>
          <w:rFonts w:asciiTheme="minorHAnsi" w:hAnsiTheme="minorHAnsi" w:cstheme="minorHAnsi"/>
          <w:sz w:val="24"/>
          <w:szCs w:val="24"/>
        </w:rPr>
        <w:t xml:space="preserve"> źródło promieniowania</w:t>
      </w:r>
      <w:r w:rsidR="00EA22E7">
        <w:rPr>
          <w:rFonts w:asciiTheme="minorHAnsi" w:hAnsiTheme="minorHAnsi" w:cstheme="minorHAnsi"/>
          <w:sz w:val="24"/>
          <w:szCs w:val="24"/>
        </w:rPr>
        <w:t>, interferometr, laser</w:t>
      </w:r>
      <w:r w:rsidR="00C96943" w:rsidRPr="00C96943">
        <w:rPr>
          <w:rFonts w:asciiTheme="minorHAnsi" w:hAnsiTheme="minorHAnsi" w:cstheme="minorHAnsi"/>
          <w:sz w:val="24"/>
          <w:szCs w:val="24"/>
        </w:rPr>
        <w:t>)</w:t>
      </w:r>
      <w:r w:rsidRPr="00C96943">
        <w:rPr>
          <w:rFonts w:asciiTheme="minorHAnsi" w:hAnsiTheme="minorHAnsi" w:cstheme="minorHAnsi"/>
          <w:sz w:val="24"/>
          <w:szCs w:val="24"/>
        </w:rPr>
        <w:t>.</w:t>
      </w:r>
    </w:p>
    <w:p w14:paraId="13E3D935" w14:textId="161F06CB" w:rsidR="00204CA6" w:rsidRPr="00383D8F" w:rsidRDefault="001B4EF8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6D3767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6D3767">
        <w:rPr>
          <w:rFonts w:asciiTheme="minorHAnsi" w:hAnsiTheme="minorHAnsi" w:cstheme="minorHAnsi"/>
          <w:b/>
          <w:sz w:val="24"/>
          <w:szCs w:val="24"/>
        </w:rPr>
        <w:t>48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D41DEE">
      <w:pPr>
        <w:pStyle w:val="TableParagraph"/>
        <w:numPr>
          <w:ilvl w:val="0"/>
          <w:numId w:val="8"/>
        </w:numPr>
        <w:tabs>
          <w:tab w:val="left" w:pos="9214"/>
        </w:tabs>
        <w:spacing w:line="360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D41DEE">
      <w:pPr>
        <w:pStyle w:val="TableParagraph"/>
        <w:numPr>
          <w:ilvl w:val="0"/>
          <w:numId w:val="8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B3B40CD" w:rsidR="00204CA6" w:rsidRPr="00383D8F" w:rsidRDefault="00204CA6" w:rsidP="00D41DEE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6D3767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</w:t>
      </w:r>
      <w:r w:rsidR="006D3767">
        <w:rPr>
          <w:rFonts w:asciiTheme="minorHAnsi" w:hAnsiTheme="minorHAnsi" w:cstheme="minorHAnsi"/>
          <w:sz w:val="24"/>
          <w:szCs w:val="24"/>
        </w:rPr>
        <w:t>ą</w:t>
      </w:r>
      <w:r w:rsidR="00047F68">
        <w:rPr>
          <w:rFonts w:asciiTheme="minorHAnsi" w:hAnsiTheme="minorHAnsi" w:cstheme="minorHAnsi"/>
          <w:sz w:val="24"/>
          <w:szCs w:val="24"/>
        </w:rPr>
        <w:t>c</w:t>
      </w:r>
      <w:r w:rsidR="006D3767">
        <w:rPr>
          <w:rFonts w:asciiTheme="minorHAnsi" w:hAnsiTheme="minorHAnsi" w:cstheme="minorHAnsi"/>
          <w:sz w:val="24"/>
          <w:szCs w:val="24"/>
        </w:rPr>
        <w:t>e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D41DEE">
      <w:pPr>
        <w:pStyle w:val="TableParagraph"/>
        <w:numPr>
          <w:ilvl w:val="0"/>
          <w:numId w:val="9"/>
        </w:numPr>
        <w:tabs>
          <w:tab w:val="left" w:pos="814"/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5FCF9D00" w:rsidR="00204CA6" w:rsidRPr="00383D8F" w:rsidRDefault="00204CA6" w:rsidP="00D41DEE">
      <w:pPr>
        <w:pStyle w:val="TableParagraph"/>
        <w:numPr>
          <w:ilvl w:val="0"/>
          <w:numId w:val="9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6D3767">
        <w:rPr>
          <w:rFonts w:asciiTheme="minorHAnsi" w:hAnsiTheme="minorHAnsi" w:cstheme="minorHAnsi"/>
          <w:sz w:val="24"/>
          <w:szCs w:val="24"/>
        </w:rPr>
        <w:t>24</w:t>
      </w:r>
      <w:r w:rsidR="00C96943">
        <w:rPr>
          <w:rFonts w:asciiTheme="minorHAnsi" w:hAnsiTheme="minorHAnsi" w:cstheme="minorHAnsi"/>
          <w:sz w:val="24"/>
          <w:szCs w:val="24"/>
        </w:rPr>
        <w:t xml:space="preserve"> miesi</w:t>
      </w:r>
      <w:r w:rsidR="006D3767">
        <w:rPr>
          <w:rFonts w:asciiTheme="minorHAnsi" w:hAnsiTheme="minorHAnsi" w:cstheme="minorHAnsi"/>
          <w:sz w:val="24"/>
          <w:szCs w:val="24"/>
        </w:rPr>
        <w:t>ą</w:t>
      </w:r>
      <w:r w:rsidR="00C96943">
        <w:rPr>
          <w:rFonts w:asciiTheme="minorHAnsi" w:hAnsiTheme="minorHAnsi" w:cstheme="minorHAnsi"/>
          <w:sz w:val="24"/>
          <w:szCs w:val="24"/>
        </w:rPr>
        <w:t>c</w:t>
      </w:r>
      <w:r w:rsidR="006D3767">
        <w:rPr>
          <w:rFonts w:asciiTheme="minorHAnsi" w:hAnsiTheme="minorHAnsi" w:cstheme="minorHAnsi"/>
          <w:sz w:val="24"/>
          <w:szCs w:val="24"/>
        </w:rPr>
        <w:t>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B96206">
          <w:pgSz w:w="11910" w:h="16840"/>
          <w:pgMar w:top="1400" w:right="1137" w:bottom="280" w:left="1276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2E20EB62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4005A1">
        <w:t xml:space="preserve">CZĘŚĆ NR </w:t>
      </w:r>
      <w:r w:rsidR="00035765">
        <w:t>1</w:t>
      </w:r>
    </w:p>
    <w:p w14:paraId="06C42971" w14:textId="77777777" w:rsidR="0095537D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75C1269B" w14:textId="77777777" w:rsidR="009048F0" w:rsidRPr="002F23FD" w:rsidRDefault="009048F0" w:rsidP="009048F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Badań Klinicznych (Laboratorium Genomiki)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0DF3104F" w14:textId="77777777" w:rsidR="009048F0" w:rsidRPr="00F949E1" w:rsidRDefault="009048F0" w:rsidP="009048F0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ROBOT PIPETUJĄCY DO PRZYGOTOWYWANIA BIBLIOTEK NGS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KPL.</w:t>
      </w:r>
    </w:p>
    <w:p w14:paraId="371FCD17" w14:textId="77777777" w:rsidR="006524D6" w:rsidRPr="00383D8F" w:rsidRDefault="006524D6" w:rsidP="003D46FA">
      <w:pPr>
        <w:pStyle w:val="Nagwek2"/>
        <w:numPr>
          <w:ilvl w:val="0"/>
          <w:numId w:val="3"/>
        </w:numPr>
        <w:tabs>
          <w:tab w:val="left" w:pos="9214"/>
        </w:tabs>
        <w:ind w:left="567" w:hanging="567"/>
        <w:jc w:val="both"/>
      </w:pPr>
      <w:r w:rsidRPr="00383D8F">
        <w:t>WARUNKI GWARANCJI, RĘKOJMI I SERWISU GWARANCYJNEGO</w:t>
      </w:r>
    </w:p>
    <w:p w14:paraId="5A0BB8D4" w14:textId="448CE230" w:rsidR="0095537D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05AD200E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</w:t>
      </w:r>
      <w:r w:rsidR="00F52D4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1C8CA649" w:rsidR="006524D6" w:rsidRPr="00383D8F" w:rsidRDefault="00424396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B91541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 przeglądy konserwacyjne / serwisowe, to wtedy zgodnie z punktem 4). Ostatni przegląd stanu technicznego w okresie gwarancji, będzie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91541">
        <w:rPr>
          <w:rFonts w:asciiTheme="minorHAnsi" w:hAnsiTheme="minorHAnsi" w:cstheme="minorHAnsi"/>
          <w:sz w:val="24"/>
          <w:szCs w:val="24"/>
        </w:rPr>
        <w:t xml:space="preserve">zrealizowany nie wcześniej niż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91541">
        <w:rPr>
          <w:rFonts w:asciiTheme="minorHAnsi" w:hAnsiTheme="minorHAnsi" w:cstheme="minorHAnsi"/>
          <w:sz w:val="24"/>
          <w:szCs w:val="24"/>
        </w:rPr>
        <w:t xml:space="preserve"> miesiące przed terminem zakończenia okresu gwarancji.</w:t>
      </w:r>
    </w:p>
    <w:p w14:paraId="7DCC10A4" w14:textId="10293A79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urządzenia w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241DAD88" w:rsidR="006524D6" w:rsidRPr="00383D8F" w:rsidRDefault="00416EFF" w:rsidP="003D46FA">
      <w:pPr>
        <w:pStyle w:val="TableParagraph"/>
        <w:numPr>
          <w:ilvl w:val="0"/>
          <w:numId w:val="4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</w:t>
      </w:r>
      <w:r w:rsidR="006524D6" w:rsidRPr="00EA6AE2">
        <w:rPr>
          <w:rFonts w:asciiTheme="minorHAnsi" w:hAnsiTheme="minorHAnsi" w:cstheme="minorHAnsi"/>
          <w:sz w:val="24"/>
          <w:szCs w:val="24"/>
        </w:rPr>
        <w:t>3 dni roboczych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(soboty, niedziele i dni świąteczne ustawowo wolne od pracy </w:t>
      </w:r>
      <w:r w:rsidR="006524D6" w:rsidRPr="000428A1">
        <w:rPr>
          <w:rFonts w:asciiTheme="minorHAnsi" w:hAnsiTheme="minorHAnsi" w:cstheme="minorHAnsi"/>
          <w:sz w:val="24"/>
          <w:szCs w:val="24"/>
        </w:rPr>
        <w:t>nie są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>
        <w:rPr>
          <w:rFonts w:asciiTheme="minorHAnsi" w:hAnsiTheme="minorHAnsi" w:cstheme="minorHAnsi"/>
          <w:sz w:val="24"/>
          <w:szCs w:val="24"/>
        </w:rPr>
        <w:t>.</w:t>
      </w:r>
    </w:p>
    <w:p w14:paraId="7583AE38" w14:textId="4F61FC21" w:rsidR="006524D6" w:rsidRPr="0021148B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21148B">
        <w:rPr>
          <w:rFonts w:asciiTheme="minorHAnsi" w:hAnsiTheme="minorHAnsi" w:cstheme="minorHAnsi"/>
          <w:sz w:val="24"/>
          <w:szCs w:val="24"/>
        </w:rPr>
        <w:t>N</w:t>
      </w:r>
      <w:r w:rsidR="006524D6" w:rsidRPr="0021148B">
        <w:rPr>
          <w:rFonts w:asciiTheme="minorHAnsi" w:hAnsiTheme="minorHAnsi" w:cstheme="minorHAnsi"/>
          <w:sz w:val="24"/>
          <w:szCs w:val="24"/>
        </w:rPr>
        <w:t>aprawa, tj. usunięcie wad lub usterek przedmiotu zamówienia zako</w:t>
      </w:r>
      <w:r w:rsidR="007258B9">
        <w:rPr>
          <w:rFonts w:asciiTheme="minorHAnsi" w:hAnsiTheme="minorHAnsi" w:cstheme="minorHAnsi"/>
          <w:sz w:val="24"/>
          <w:szCs w:val="24"/>
        </w:rPr>
        <w:t>ńczy się w terminie maksimum do</w:t>
      </w:r>
      <w:r w:rsidR="006524D6" w:rsidRPr="0021148B">
        <w:rPr>
          <w:rFonts w:asciiTheme="minorHAnsi" w:hAnsiTheme="minorHAnsi" w:cstheme="minorHAnsi"/>
          <w:sz w:val="24"/>
          <w:szCs w:val="24"/>
        </w:rPr>
        <w:t xml:space="preserve"> </w:t>
      </w:r>
      <w:r w:rsidR="0021148B" w:rsidRPr="007258B9">
        <w:rPr>
          <w:rFonts w:asciiTheme="minorHAnsi" w:hAnsiTheme="minorHAnsi" w:cstheme="minorHAnsi"/>
          <w:sz w:val="24"/>
          <w:szCs w:val="24"/>
        </w:rPr>
        <w:t xml:space="preserve">21 </w:t>
      </w:r>
      <w:r w:rsidR="006524D6" w:rsidRPr="007258B9">
        <w:rPr>
          <w:rFonts w:asciiTheme="minorHAnsi" w:hAnsiTheme="minorHAnsi" w:cstheme="minorHAnsi"/>
          <w:sz w:val="24"/>
          <w:szCs w:val="24"/>
        </w:rPr>
        <w:t>dni roboczych</w:t>
      </w:r>
      <w:r w:rsidR="0021148B" w:rsidRPr="007258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148B" w:rsidRPr="007258B9">
        <w:rPr>
          <w:rFonts w:asciiTheme="minorHAnsi" w:hAnsiTheme="minorHAnsi" w:cstheme="minorHAnsi"/>
          <w:bCs/>
          <w:sz w:val="24"/>
          <w:szCs w:val="24"/>
        </w:rPr>
        <w:t>oraz 30 dni w przypadku konieczności sprowadzenia części z zagranicy</w:t>
      </w:r>
      <w:r w:rsidR="006524D6" w:rsidRPr="0021148B">
        <w:rPr>
          <w:rFonts w:asciiTheme="minorHAnsi" w:hAnsiTheme="minorHAnsi" w:cstheme="minorHAnsi"/>
          <w:sz w:val="24"/>
          <w:szCs w:val="24"/>
        </w:rPr>
        <w:t xml:space="preserve"> liczonych o</w:t>
      </w:r>
      <w:r w:rsidR="00F52D4D" w:rsidRPr="0021148B">
        <w:rPr>
          <w:rFonts w:asciiTheme="minorHAnsi" w:hAnsiTheme="minorHAnsi" w:cstheme="minorHAnsi"/>
          <w:sz w:val="24"/>
          <w:szCs w:val="24"/>
        </w:rPr>
        <w:t>d dnia przystąpienia do naprawy.</w:t>
      </w:r>
    </w:p>
    <w:p w14:paraId="57BF906E" w14:textId="27F1BA97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43525DF7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</w:t>
      </w:r>
      <w:r w:rsidR="007258B9">
        <w:rPr>
          <w:rFonts w:asciiTheme="minorHAnsi" w:hAnsiTheme="minorHAnsi" w:cstheme="minorHAnsi"/>
          <w:sz w:val="24"/>
          <w:szCs w:val="24"/>
        </w:rPr>
        <w:t>rawach gwarancyjnych w terminie</w:t>
      </w:r>
      <w:r w:rsidR="00A41DC4">
        <w:rPr>
          <w:rFonts w:asciiTheme="minorHAnsi" w:hAnsiTheme="minorHAnsi" w:cstheme="minorHAnsi"/>
          <w:sz w:val="24"/>
          <w:szCs w:val="24"/>
        </w:rPr>
        <w:t xml:space="preserve"> </w:t>
      </w:r>
      <w:r w:rsidR="00A41DC4" w:rsidRPr="007258B9">
        <w:rPr>
          <w:rFonts w:asciiTheme="minorHAnsi" w:hAnsiTheme="minorHAnsi" w:cstheme="minorHAnsi"/>
          <w:sz w:val="24"/>
          <w:szCs w:val="24"/>
        </w:rPr>
        <w:t>do 30</w:t>
      </w:r>
      <w:r w:rsidR="006524D6" w:rsidRPr="007258B9">
        <w:rPr>
          <w:rFonts w:asciiTheme="minorHAnsi" w:hAnsiTheme="minorHAnsi" w:cstheme="minorHAnsi"/>
          <w:sz w:val="24"/>
          <w:szCs w:val="24"/>
        </w:rPr>
        <w:t xml:space="preserve"> dni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roboczych, liczonym od dnia zgłoszenia przez Zamawiającego do Wykonawcy czwartego wystąpienia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>ia nie wydłuża okresu gwarancji.</w:t>
      </w:r>
    </w:p>
    <w:p w14:paraId="1504642E" w14:textId="7244D1A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4E7401" w:rsidRPr="007258B9">
        <w:rPr>
          <w:rFonts w:asciiTheme="minorHAnsi" w:hAnsiTheme="minorHAnsi" w:cstheme="minorHAnsi"/>
          <w:sz w:val="24"/>
          <w:szCs w:val="24"/>
        </w:rPr>
        <w:t>8</w:t>
      </w:r>
      <w:r w:rsidR="00F52D4D" w:rsidRPr="007258B9">
        <w:rPr>
          <w:rFonts w:asciiTheme="minorHAnsi" w:hAnsiTheme="minorHAnsi" w:cstheme="minorHAnsi"/>
          <w:sz w:val="24"/>
          <w:szCs w:val="24"/>
        </w:rPr>
        <w:t xml:space="preserve"> lat</w:t>
      </w:r>
      <w:r w:rsidR="00F52D4D">
        <w:rPr>
          <w:rFonts w:asciiTheme="minorHAnsi" w:hAnsiTheme="minorHAnsi" w:cstheme="minorHAnsi"/>
          <w:sz w:val="24"/>
          <w:szCs w:val="24"/>
        </w:rPr>
        <w:t xml:space="preserve"> od daty protokołu odbioru.</w:t>
      </w:r>
    </w:p>
    <w:p w14:paraId="6B70DB61" w14:textId="7FDA6D54" w:rsidR="003D46FA" w:rsidRPr="003D46FA" w:rsidRDefault="00416EFF" w:rsidP="003D46FA">
      <w:pPr>
        <w:pStyle w:val="Akapitzlist"/>
        <w:numPr>
          <w:ilvl w:val="0"/>
          <w:numId w:val="4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6FA">
        <w:rPr>
          <w:rFonts w:asciiTheme="minorHAnsi" w:hAnsiTheme="minorHAnsi" w:cstheme="minorHAnsi"/>
          <w:sz w:val="24"/>
          <w:szCs w:val="24"/>
        </w:rPr>
        <w:t>K</w:t>
      </w:r>
      <w:r w:rsidR="003E1F20" w:rsidRPr="003D46FA">
        <w:rPr>
          <w:rFonts w:asciiTheme="minorHAnsi" w:hAnsiTheme="minorHAnsi" w:cstheme="minorHAnsi"/>
          <w:sz w:val="24"/>
          <w:szCs w:val="24"/>
        </w:rPr>
        <w:t>orzystanie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z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uprawn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639D1704" w:rsidR="008C0B5E" w:rsidRPr="003D46FA" w:rsidRDefault="008C0B5E" w:rsidP="003D46FA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D46FA" w:rsidSect="00B96206">
          <w:type w:val="continuous"/>
          <w:pgSz w:w="11910" w:h="16840"/>
          <w:pgMar w:top="1400" w:right="1137" w:bottom="280" w:left="1276" w:header="708" w:footer="708" w:gutter="0"/>
          <w:cols w:space="708"/>
        </w:sectPr>
      </w:pPr>
      <w:r w:rsidRPr="003D46F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D46FA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1457154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CD511D">
        <w:t xml:space="preserve">CZĘŚĆ NR </w:t>
      </w:r>
      <w:r w:rsidR="00035765">
        <w:t>1</w:t>
      </w:r>
    </w:p>
    <w:p w14:paraId="2B76B641" w14:textId="77777777" w:rsidR="002135F9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55CBC2B3" w14:textId="77777777" w:rsidR="00D41DF1" w:rsidRPr="002F23FD" w:rsidRDefault="00D41DF1" w:rsidP="00D41DF1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Badań Klinicznych (Laboratorium Genomiki)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04F94165" w14:textId="77777777" w:rsidR="00D41DF1" w:rsidRPr="00F949E1" w:rsidRDefault="00D41DF1" w:rsidP="00D41DF1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ROBOT PIPETUJĄCY DO PRZYGOTOWYWANIA BIBLIOTEK NGS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KPL.</w:t>
      </w:r>
    </w:p>
    <w:p w14:paraId="04FAD6D7" w14:textId="77777777" w:rsidR="009048F0" w:rsidRDefault="009048F0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</w:p>
    <w:p w14:paraId="45C38170" w14:textId="77777777" w:rsidR="00604CE7" w:rsidRPr="00383D8F" w:rsidRDefault="00604CE7" w:rsidP="00D41DEE">
      <w:pPr>
        <w:pStyle w:val="Nagwek2"/>
        <w:numPr>
          <w:ilvl w:val="0"/>
          <w:numId w:val="16"/>
        </w:numPr>
        <w:tabs>
          <w:tab w:val="left" w:pos="9214"/>
        </w:tabs>
        <w:ind w:left="567" w:hanging="567"/>
        <w:jc w:val="both"/>
      </w:pPr>
      <w:r w:rsidRPr="00383D8F">
        <w:t>PROCEDURA DOSTAW URZĄDZEŃ</w:t>
      </w:r>
    </w:p>
    <w:p w14:paraId="78498239" w14:textId="77777777" w:rsidR="00604CE7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3715AB0F" w14:textId="77777777" w:rsidR="00604CE7" w:rsidRDefault="00604CE7" w:rsidP="00D41DEE">
      <w:pPr>
        <w:pStyle w:val="Akapitzlist"/>
        <w:numPr>
          <w:ilvl w:val="0"/>
          <w:numId w:val="15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503D15" w14:textId="77777777" w:rsidR="00604CE7" w:rsidRDefault="00604CE7" w:rsidP="00D41DEE">
      <w:pPr>
        <w:pStyle w:val="Akapitzlist"/>
        <w:numPr>
          <w:ilvl w:val="0"/>
          <w:numId w:val="15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02443848" w14:textId="77777777" w:rsidR="00604CE7" w:rsidRPr="00DE082C" w:rsidRDefault="00604CE7" w:rsidP="00D41DEE">
      <w:pPr>
        <w:pStyle w:val="Akapitzlist"/>
        <w:numPr>
          <w:ilvl w:val="0"/>
          <w:numId w:val="15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2FD9FB" w14:textId="77777777" w:rsidR="00604CE7" w:rsidRPr="00DE082C" w:rsidRDefault="00604CE7" w:rsidP="00604CE7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 xml:space="preserve">amawiający poinformuje Wykonawcę na minimum </w:t>
      </w:r>
      <w:r>
        <w:rPr>
          <w:rFonts w:asciiTheme="minorHAnsi" w:hAnsiTheme="minorHAnsi" w:cstheme="minorHAnsi"/>
          <w:b/>
          <w:sz w:val="24"/>
          <w:szCs w:val="24"/>
        </w:rPr>
        <w:t>15</w:t>
      </w:r>
      <w:r w:rsidRPr="00DE082C">
        <w:rPr>
          <w:rFonts w:asciiTheme="minorHAnsi" w:hAnsiTheme="minorHAnsi" w:cstheme="minorHAnsi"/>
          <w:b/>
          <w:sz w:val="24"/>
          <w:szCs w:val="24"/>
        </w:rPr>
        <w:t xml:space="preserve"> dni wcześniej o planowanej dacie rozpoczęcia instalacji systemu w miejscu docelowym.</w:t>
      </w:r>
    </w:p>
    <w:p w14:paraId="5CCA3206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</w:t>
      </w:r>
      <w:r>
        <w:rPr>
          <w:rFonts w:asciiTheme="minorHAnsi" w:hAnsiTheme="minorHAnsi" w:cstheme="minorHAnsi"/>
          <w:sz w:val="24"/>
          <w:szCs w:val="24"/>
        </w:rPr>
        <w:t>zedmiotu zamówienia.</w:t>
      </w:r>
    </w:p>
    <w:p w14:paraId="53EDF7BB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</w:t>
      </w:r>
      <w:r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6B459BD2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Urządzenia zostaną dostarczone w odpowiednich oryginalnych opakowaniach, zapewniających zabezpieczenie przedmiotu dostawy przed wpływem jakichkolwiek </w:t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>szkodliwych czynników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877ADCA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 Uż</w:t>
      </w:r>
      <w:r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2530ACE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odpowiada za to, aby instalowanie oraz uruchamianie urządzeń było przeprowadzone przez osoby posiadające odpowiednią wiedzę i doświadczenie oraz uprawnienia, jeżeli są wymagane z </w:t>
      </w:r>
      <w:r>
        <w:rPr>
          <w:rFonts w:asciiTheme="minorHAnsi" w:hAnsiTheme="minorHAnsi" w:cstheme="minorHAnsi"/>
          <w:sz w:val="24"/>
          <w:szCs w:val="24"/>
        </w:rPr>
        <w:t>mocy prawa.</w:t>
      </w:r>
    </w:p>
    <w:p w14:paraId="56D2544E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</w:t>
      </w:r>
      <w:r w:rsidRPr="008C7B90">
        <w:rPr>
          <w:rFonts w:asciiTheme="minorHAnsi" w:hAnsiTheme="minorHAnsi" w:cstheme="minorHAnsi"/>
          <w:strike/>
          <w:sz w:val="24"/>
          <w:szCs w:val="24"/>
        </w:rPr>
        <w:t xml:space="preserve">Wykonawca ponosi też koszty ewentualnych robót budowlanych, związanych z dostosowaniem np. stropu lub ścian w pomieszczeniu w którym zostanie zainstalowane urządzenie. </w:t>
      </w:r>
      <w:r w:rsidRPr="00383D8F">
        <w:rPr>
          <w:rFonts w:asciiTheme="minorHAnsi" w:hAnsiTheme="minorHAnsi" w:cstheme="minorHAnsi"/>
          <w:sz w:val="24"/>
          <w:szCs w:val="24"/>
        </w:rPr>
        <w:t xml:space="preserve">W zakresie Wykonawcy jest zabezpieczenie miejsc, w których będzie prowadzony montaż, instalacja </w:t>
      </w:r>
      <w:r w:rsidRPr="00383D8F">
        <w:rPr>
          <w:rFonts w:asciiTheme="minorHAnsi" w:hAnsiTheme="minorHAnsi" w:cstheme="minorHAnsi"/>
          <w:sz w:val="24"/>
          <w:szCs w:val="24"/>
        </w:rPr>
        <w:br/>
        <w:t>i uruchomienie sprzętu. Wykonawca zobowiązuje się do pozostawienia miejsc, w których będą prowadzone prace montażowe i instalacyj</w:t>
      </w:r>
      <w:r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5DF91B83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8A14F00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F6087BF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5446E92" w14:textId="77777777" w:rsidR="00604CE7" w:rsidRPr="00383D8F" w:rsidRDefault="00604CE7" w:rsidP="00604CE7">
      <w:pPr>
        <w:pStyle w:val="Nagwek2"/>
        <w:tabs>
          <w:tab w:val="left" w:pos="9214"/>
        </w:tabs>
        <w:ind w:left="567" w:hanging="567"/>
        <w:jc w:val="both"/>
      </w:pPr>
      <w:r w:rsidRPr="00383D8F">
        <w:t>PROCEDURA ODBIORU URZĄDZEŃ</w:t>
      </w:r>
    </w:p>
    <w:p w14:paraId="3D52BC1E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3C541B">
        <w:rPr>
          <w:rFonts w:asciiTheme="minorHAnsi" w:hAnsiTheme="minorHAnsi" w:cstheme="minorHAnsi"/>
          <w:sz w:val="24"/>
          <w:szCs w:val="24"/>
        </w:rPr>
        <w:t>wyłącznie:</w:t>
      </w:r>
      <w:r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</w:t>
      </w:r>
      <w:r>
        <w:rPr>
          <w:rFonts w:asciiTheme="minorHAnsi" w:hAnsiTheme="minorHAnsi" w:cstheme="minorHAnsi"/>
          <w:sz w:val="24"/>
          <w:szCs w:val="24"/>
        </w:rPr>
        <w:t>. Wyklucza się odbiór częściowy.</w:t>
      </w:r>
    </w:p>
    <w:p w14:paraId="2A07A60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zgłasza gotowość do odbioru osobie uprawnionej przez Zamawiającego do kontaktu z Wykonawcami tj. osobie wskazanej w umowie jako odpowiedzialnej za realizację </w:t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>przedmiotu zamówienia. Wymaga się zgłoszenia gotowości nie później niż na</w:t>
      </w:r>
      <w:r>
        <w:rPr>
          <w:rFonts w:asciiTheme="minorHAnsi" w:hAnsiTheme="minorHAnsi" w:cstheme="minorHAnsi"/>
          <w:sz w:val="24"/>
          <w:szCs w:val="24"/>
        </w:rPr>
        <w:t xml:space="preserve"> 1 dzień przed terminem odbioru.</w:t>
      </w:r>
    </w:p>
    <w:p w14:paraId="0278962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7247668" w14:textId="77777777" w:rsidR="00604CE7" w:rsidRDefault="00604CE7" w:rsidP="00D41DEE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</w:t>
      </w:r>
      <w:r>
        <w:rPr>
          <w:rFonts w:asciiTheme="minorHAnsi" w:hAnsiTheme="minorHAnsi" w:cstheme="minorHAnsi"/>
          <w:sz w:val="24"/>
          <w:szCs w:val="24"/>
        </w:rPr>
        <w:t>ykonawcy) przedmiotu zamówienia</w:t>
      </w:r>
    </w:p>
    <w:p w14:paraId="7CDF6EBD" w14:textId="77777777" w:rsidR="00604CE7" w:rsidRDefault="00604CE7" w:rsidP="00D41DEE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22A83C47" w14:textId="77777777" w:rsidR="00604CE7" w:rsidRPr="00922D6D" w:rsidRDefault="00604CE7" w:rsidP="00D41DEE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Pr="00922D6D">
        <w:rPr>
          <w:rFonts w:asciiTheme="minorHAnsi" w:hAnsiTheme="minorHAnsi" w:cstheme="minorHAnsi"/>
          <w:sz w:val="24"/>
          <w:szCs w:val="24"/>
        </w:rPr>
        <w:br/>
        <w:t>z Działu Zaopatrzenia UMB;</w:t>
      </w:r>
    </w:p>
    <w:p w14:paraId="2B1D2DC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Protokół odbioru będzi</w:t>
      </w:r>
      <w:r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19714DA3" w14:textId="4D25FA3D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Z chwilą podpisania protokołu odbioru Wykonawca przekaże Użytkownikowi następujące dokumenty w języku polskim </w:t>
      </w:r>
      <w:r w:rsidR="004B1CB6" w:rsidRPr="007258B9">
        <w:rPr>
          <w:rFonts w:asciiTheme="minorHAnsi" w:hAnsiTheme="minorHAnsi" w:cstheme="minorHAnsi"/>
          <w:sz w:val="24"/>
          <w:szCs w:val="24"/>
        </w:rPr>
        <w:t>lub angielskim</w:t>
      </w:r>
      <w:r w:rsidR="004B1CB6">
        <w:rPr>
          <w:rFonts w:asciiTheme="minorHAnsi" w:hAnsiTheme="minorHAnsi" w:cstheme="minorHAnsi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sz w:val="24"/>
          <w:szCs w:val="24"/>
        </w:rPr>
        <w:t>(bezwzględnym warunkiem podpisania protokołu odbioru jest dostarczenie wszystkich kompletnych niżej wymienionych dokumentów):</w:t>
      </w:r>
    </w:p>
    <w:p w14:paraId="2ABC17BE" w14:textId="77777777" w:rsidR="00604CE7" w:rsidRPr="00383D8F" w:rsidRDefault="00604CE7" w:rsidP="00D41DEE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CE7B057" w14:textId="77777777" w:rsidR="00604CE7" w:rsidRPr="00383D8F" w:rsidRDefault="00604CE7" w:rsidP="00D41DEE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2F64A4B1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08497FE0" w14:textId="430EDEC9" w:rsidR="00604CE7" w:rsidRPr="003E1F20" w:rsidRDefault="00604CE7" w:rsidP="00604CE7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p w14:paraId="468B2D18" w14:textId="6B16BA01" w:rsidR="0095537D" w:rsidRPr="003E1F20" w:rsidRDefault="0095537D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527A7" w14:textId="77777777" w:rsidR="002F4B35" w:rsidRDefault="002F4B35" w:rsidP="00EE7F46">
      <w:r>
        <w:separator/>
      </w:r>
    </w:p>
  </w:endnote>
  <w:endnote w:type="continuationSeparator" w:id="0">
    <w:p w14:paraId="025DBDC4" w14:textId="77777777" w:rsidR="002F4B35" w:rsidRDefault="002F4B35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E2B9" w14:textId="77777777" w:rsidR="002F4B35" w:rsidRDefault="002F4B35" w:rsidP="00EE7F46">
      <w:r>
        <w:separator/>
      </w:r>
    </w:p>
  </w:footnote>
  <w:footnote w:type="continuationSeparator" w:id="0">
    <w:p w14:paraId="0E7C794B" w14:textId="77777777" w:rsidR="002F4B35" w:rsidRDefault="002F4B35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B06"/>
    <w:multiLevelType w:val="hybridMultilevel"/>
    <w:tmpl w:val="2EA26A22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780"/>
    <w:multiLevelType w:val="hybridMultilevel"/>
    <w:tmpl w:val="8D5C6D96"/>
    <w:lvl w:ilvl="0" w:tplc="7A129F4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040DF8"/>
    <w:multiLevelType w:val="hybridMultilevel"/>
    <w:tmpl w:val="D9C85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CF5B3A"/>
    <w:multiLevelType w:val="hybridMultilevel"/>
    <w:tmpl w:val="F5CC56E8"/>
    <w:lvl w:ilvl="0" w:tplc="3B9421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8" w15:restartNumberingAfterBreak="0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DEB"/>
    <w:multiLevelType w:val="hybridMultilevel"/>
    <w:tmpl w:val="EADC9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10A16"/>
    <w:multiLevelType w:val="hybridMultilevel"/>
    <w:tmpl w:val="EEA85758"/>
    <w:lvl w:ilvl="0" w:tplc="63BEDA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C3E53"/>
    <w:multiLevelType w:val="hybridMultilevel"/>
    <w:tmpl w:val="5E94E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E253FEB"/>
    <w:multiLevelType w:val="hybridMultilevel"/>
    <w:tmpl w:val="F6DC1690"/>
    <w:lvl w:ilvl="0" w:tplc="EAFA3F9A">
      <w:start w:val="1"/>
      <w:numFmt w:val="decimal"/>
      <w:pStyle w:val="Nagwek2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E797F"/>
    <w:multiLevelType w:val="hybridMultilevel"/>
    <w:tmpl w:val="90DCD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9"/>
    <w:lvlOverride w:ilvl="0">
      <w:startOverride w:val="1"/>
    </w:lvlOverride>
  </w:num>
  <w:num w:numId="4">
    <w:abstractNumId w:val="13"/>
  </w:num>
  <w:num w:numId="5">
    <w:abstractNumId w:val="17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8"/>
  </w:num>
  <w:num w:numId="12">
    <w:abstractNumId w:val="20"/>
  </w:num>
  <w:num w:numId="13">
    <w:abstractNumId w:val="16"/>
  </w:num>
  <w:num w:numId="14">
    <w:abstractNumId w:val="11"/>
  </w:num>
  <w:num w:numId="15">
    <w:abstractNumId w:val="15"/>
  </w:num>
  <w:num w:numId="16">
    <w:abstractNumId w:val="3"/>
  </w:num>
  <w:num w:numId="17">
    <w:abstractNumId w:val="1"/>
  </w:num>
  <w:num w:numId="18">
    <w:abstractNumId w:val="9"/>
  </w:num>
  <w:num w:numId="19">
    <w:abstractNumId w:val="21"/>
  </w:num>
  <w:num w:numId="20">
    <w:abstractNumId w:val="0"/>
  </w:num>
  <w:num w:numId="21">
    <w:abstractNumId w:val="14"/>
  </w:num>
  <w:num w:numId="22">
    <w:abstractNumId w:val="5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30B5"/>
    <w:rsid w:val="00012DC2"/>
    <w:rsid w:val="00021086"/>
    <w:rsid w:val="00021D78"/>
    <w:rsid w:val="00023671"/>
    <w:rsid w:val="00030067"/>
    <w:rsid w:val="00035765"/>
    <w:rsid w:val="00036851"/>
    <w:rsid w:val="0003725E"/>
    <w:rsid w:val="000428A1"/>
    <w:rsid w:val="00044D4B"/>
    <w:rsid w:val="00046B06"/>
    <w:rsid w:val="000478D5"/>
    <w:rsid w:val="00047F68"/>
    <w:rsid w:val="00060074"/>
    <w:rsid w:val="00062D44"/>
    <w:rsid w:val="00077F8E"/>
    <w:rsid w:val="000820E3"/>
    <w:rsid w:val="00083DA8"/>
    <w:rsid w:val="000B29AB"/>
    <w:rsid w:val="000C04DD"/>
    <w:rsid w:val="00101D24"/>
    <w:rsid w:val="001053C6"/>
    <w:rsid w:val="00105C47"/>
    <w:rsid w:val="001113AD"/>
    <w:rsid w:val="001145AF"/>
    <w:rsid w:val="00126F59"/>
    <w:rsid w:val="00140038"/>
    <w:rsid w:val="00144DC7"/>
    <w:rsid w:val="0014651B"/>
    <w:rsid w:val="00161388"/>
    <w:rsid w:val="00161D53"/>
    <w:rsid w:val="00163C8A"/>
    <w:rsid w:val="0016690E"/>
    <w:rsid w:val="001743A8"/>
    <w:rsid w:val="00180AB4"/>
    <w:rsid w:val="00184C6B"/>
    <w:rsid w:val="0018662F"/>
    <w:rsid w:val="00187B9D"/>
    <w:rsid w:val="001968DE"/>
    <w:rsid w:val="001A2456"/>
    <w:rsid w:val="001B1256"/>
    <w:rsid w:val="001B4EF8"/>
    <w:rsid w:val="001F5B2A"/>
    <w:rsid w:val="001F68B0"/>
    <w:rsid w:val="001F79C8"/>
    <w:rsid w:val="0020079C"/>
    <w:rsid w:val="00204CA6"/>
    <w:rsid w:val="0021148B"/>
    <w:rsid w:val="002135F9"/>
    <w:rsid w:val="0022241B"/>
    <w:rsid w:val="00222B8D"/>
    <w:rsid w:val="00223B50"/>
    <w:rsid w:val="00224606"/>
    <w:rsid w:val="00226702"/>
    <w:rsid w:val="0024083A"/>
    <w:rsid w:val="00255EA4"/>
    <w:rsid w:val="002709FA"/>
    <w:rsid w:val="002A3A44"/>
    <w:rsid w:val="002A561A"/>
    <w:rsid w:val="002B1B84"/>
    <w:rsid w:val="002B51F3"/>
    <w:rsid w:val="002E3BF6"/>
    <w:rsid w:val="002F23FD"/>
    <w:rsid w:val="002F4B35"/>
    <w:rsid w:val="003052A0"/>
    <w:rsid w:val="003074A2"/>
    <w:rsid w:val="00310617"/>
    <w:rsid w:val="00311494"/>
    <w:rsid w:val="0032320B"/>
    <w:rsid w:val="00334231"/>
    <w:rsid w:val="00350024"/>
    <w:rsid w:val="00351385"/>
    <w:rsid w:val="00353551"/>
    <w:rsid w:val="00354642"/>
    <w:rsid w:val="00356576"/>
    <w:rsid w:val="00363021"/>
    <w:rsid w:val="003679C1"/>
    <w:rsid w:val="00373607"/>
    <w:rsid w:val="00383D8F"/>
    <w:rsid w:val="003B1B88"/>
    <w:rsid w:val="003B2E7F"/>
    <w:rsid w:val="003B3DDB"/>
    <w:rsid w:val="003C11BB"/>
    <w:rsid w:val="003C541B"/>
    <w:rsid w:val="003D1AF8"/>
    <w:rsid w:val="003D46FA"/>
    <w:rsid w:val="003E1F20"/>
    <w:rsid w:val="003E2476"/>
    <w:rsid w:val="003E3E2A"/>
    <w:rsid w:val="003E47B0"/>
    <w:rsid w:val="003E62E9"/>
    <w:rsid w:val="004005A1"/>
    <w:rsid w:val="004017ED"/>
    <w:rsid w:val="00403832"/>
    <w:rsid w:val="004102A2"/>
    <w:rsid w:val="00414BB2"/>
    <w:rsid w:val="00416EFF"/>
    <w:rsid w:val="004171AA"/>
    <w:rsid w:val="00417310"/>
    <w:rsid w:val="004235DA"/>
    <w:rsid w:val="00424396"/>
    <w:rsid w:val="00426A5C"/>
    <w:rsid w:val="00433E58"/>
    <w:rsid w:val="00434EB7"/>
    <w:rsid w:val="00441F74"/>
    <w:rsid w:val="0044520F"/>
    <w:rsid w:val="004472A3"/>
    <w:rsid w:val="00460685"/>
    <w:rsid w:val="00461E87"/>
    <w:rsid w:val="004676BE"/>
    <w:rsid w:val="00472506"/>
    <w:rsid w:val="00472C52"/>
    <w:rsid w:val="00474743"/>
    <w:rsid w:val="00475C3D"/>
    <w:rsid w:val="0048526F"/>
    <w:rsid w:val="00486CB3"/>
    <w:rsid w:val="00490600"/>
    <w:rsid w:val="00497272"/>
    <w:rsid w:val="004A0C32"/>
    <w:rsid w:val="004A1C6C"/>
    <w:rsid w:val="004B1CB6"/>
    <w:rsid w:val="004B79E8"/>
    <w:rsid w:val="004C3FEF"/>
    <w:rsid w:val="004E7401"/>
    <w:rsid w:val="004F19ED"/>
    <w:rsid w:val="004F468E"/>
    <w:rsid w:val="004F792A"/>
    <w:rsid w:val="0050070C"/>
    <w:rsid w:val="00501E6D"/>
    <w:rsid w:val="00502298"/>
    <w:rsid w:val="00504A36"/>
    <w:rsid w:val="00505232"/>
    <w:rsid w:val="00545B60"/>
    <w:rsid w:val="00554108"/>
    <w:rsid w:val="005838A6"/>
    <w:rsid w:val="005854BC"/>
    <w:rsid w:val="00586EBC"/>
    <w:rsid w:val="005927BA"/>
    <w:rsid w:val="005B1079"/>
    <w:rsid w:val="005D79DD"/>
    <w:rsid w:val="005E5EFA"/>
    <w:rsid w:val="005F0F96"/>
    <w:rsid w:val="005F5439"/>
    <w:rsid w:val="005F58EA"/>
    <w:rsid w:val="005F7F04"/>
    <w:rsid w:val="00600E2C"/>
    <w:rsid w:val="00601B8F"/>
    <w:rsid w:val="00603351"/>
    <w:rsid w:val="00604CE7"/>
    <w:rsid w:val="006110C6"/>
    <w:rsid w:val="00615C8B"/>
    <w:rsid w:val="00630BA1"/>
    <w:rsid w:val="0064327B"/>
    <w:rsid w:val="006524D6"/>
    <w:rsid w:val="0065570C"/>
    <w:rsid w:val="00665602"/>
    <w:rsid w:val="006720BC"/>
    <w:rsid w:val="00682600"/>
    <w:rsid w:val="006845C6"/>
    <w:rsid w:val="00685DB8"/>
    <w:rsid w:val="006874EB"/>
    <w:rsid w:val="00691B35"/>
    <w:rsid w:val="00694C9A"/>
    <w:rsid w:val="00695CC3"/>
    <w:rsid w:val="006963E0"/>
    <w:rsid w:val="006A5382"/>
    <w:rsid w:val="006B06E3"/>
    <w:rsid w:val="006B21BD"/>
    <w:rsid w:val="006B5AF9"/>
    <w:rsid w:val="006C26CD"/>
    <w:rsid w:val="006C6257"/>
    <w:rsid w:val="006D3767"/>
    <w:rsid w:val="006D6525"/>
    <w:rsid w:val="006F7F0B"/>
    <w:rsid w:val="00724DDB"/>
    <w:rsid w:val="00725898"/>
    <w:rsid w:val="007258B9"/>
    <w:rsid w:val="00731ADB"/>
    <w:rsid w:val="00744135"/>
    <w:rsid w:val="00750DB4"/>
    <w:rsid w:val="00773D41"/>
    <w:rsid w:val="007765B7"/>
    <w:rsid w:val="00783E05"/>
    <w:rsid w:val="00790EBF"/>
    <w:rsid w:val="007912AA"/>
    <w:rsid w:val="00796734"/>
    <w:rsid w:val="007C45D9"/>
    <w:rsid w:val="007D7AEB"/>
    <w:rsid w:val="007E16AA"/>
    <w:rsid w:val="007E2893"/>
    <w:rsid w:val="007E3264"/>
    <w:rsid w:val="007E6909"/>
    <w:rsid w:val="007F140B"/>
    <w:rsid w:val="00804663"/>
    <w:rsid w:val="00811D90"/>
    <w:rsid w:val="008448E9"/>
    <w:rsid w:val="008500A3"/>
    <w:rsid w:val="008901DD"/>
    <w:rsid w:val="008A08AC"/>
    <w:rsid w:val="008A2501"/>
    <w:rsid w:val="008C0B5E"/>
    <w:rsid w:val="008C39CA"/>
    <w:rsid w:val="008D0E16"/>
    <w:rsid w:val="008D2A86"/>
    <w:rsid w:val="00900A37"/>
    <w:rsid w:val="009038CF"/>
    <w:rsid w:val="00903B55"/>
    <w:rsid w:val="009048F0"/>
    <w:rsid w:val="00915624"/>
    <w:rsid w:val="00922D6D"/>
    <w:rsid w:val="0092572B"/>
    <w:rsid w:val="009368B2"/>
    <w:rsid w:val="00943F67"/>
    <w:rsid w:val="00952334"/>
    <w:rsid w:val="00952868"/>
    <w:rsid w:val="0095537D"/>
    <w:rsid w:val="00960696"/>
    <w:rsid w:val="00961F48"/>
    <w:rsid w:val="00962C70"/>
    <w:rsid w:val="00964656"/>
    <w:rsid w:val="00971AE8"/>
    <w:rsid w:val="00973212"/>
    <w:rsid w:val="00983FAC"/>
    <w:rsid w:val="009A0412"/>
    <w:rsid w:val="009A503C"/>
    <w:rsid w:val="009F13B7"/>
    <w:rsid w:val="009F1B14"/>
    <w:rsid w:val="009F65FE"/>
    <w:rsid w:val="00A029A1"/>
    <w:rsid w:val="00A32693"/>
    <w:rsid w:val="00A32E1B"/>
    <w:rsid w:val="00A37459"/>
    <w:rsid w:val="00A41DC4"/>
    <w:rsid w:val="00A46452"/>
    <w:rsid w:val="00A84EDD"/>
    <w:rsid w:val="00A86417"/>
    <w:rsid w:val="00A97FC5"/>
    <w:rsid w:val="00AB1529"/>
    <w:rsid w:val="00AB2205"/>
    <w:rsid w:val="00AC034A"/>
    <w:rsid w:val="00AD208C"/>
    <w:rsid w:val="00B16969"/>
    <w:rsid w:val="00B1712D"/>
    <w:rsid w:val="00B30134"/>
    <w:rsid w:val="00B3459F"/>
    <w:rsid w:val="00B37FE9"/>
    <w:rsid w:val="00B4209F"/>
    <w:rsid w:val="00B43872"/>
    <w:rsid w:val="00B453E4"/>
    <w:rsid w:val="00B617AC"/>
    <w:rsid w:val="00B82E97"/>
    <w:rsid w:val="00B87E66"/>
    <w:rsid w:val="00B92202"/>
    <w:rsid w:val="00B96206"/>
    <w:rsid w:val="00B9722A"/>
    <w:rsid w:val="00BA11A6"/>
    <w:rsid w:val="00BB6E6D"/>
    <w:rsid w:val="00BC4EC7"/>
    <w:rsid w:val="00BE3F6E"/>
    <w:rsid w:val="00BE6DCA"/>
    <w:rsid w:val="00BF4E8F"/>
    <w:rsid w:val="00C04EA6"/>
    <w:rsid w:val="00C21C8E"/>
    <w:rsid w:val="00C25B30"/>
    <w:rsid w:val="00C27D0D"/>
    <w:rsid w:val="00C32D06"/>
    <w:rsid w:val="00C35C9D"/>
    <w:rsid w:val="00C4066E"/>
    <w:rsid w:val="00C5333A"/>
    <w:rsid w:val="00C61C44"/>
    <w:rsid w:val="00C67EFC"/>
    <w:rsid w:val="00C749DD"/>
    <w:rsid w:val="00C93501"/>
    <w:rsid w:val="00C96943"/>
    <w:rsid w:val="00CC2736"/>
    <w:rsid w:val="00CC35FB"/>
    <w:rsid w:val="00CD22A5"/>
    <w:rsid w:val="00CD3EA0"/>
    <w:rsid w:val="00CD511D"/>
    <w:rsid w:val="00CD5943"/>
    <w:rsid w:val="00CE0BAD"/>
    <w:rsid w:val="00CE7529"/>
    <w:rsid w:val="00CF2087"/>
    <w:rsid w:val="00CF59F5"/>
    <w:rsid w:val="00CF6F8F"/>
    <w:rsid w:val="00D12E84"/>
    <w:rsid w:val="00D31FDD"/>
    <w:rsid w:val="00D41DEE"/>
    <w:rsid w:val="00D41DF1"/>
    <w:rsid w:val="00D470E1"/>
    <w:rsid w:val="00D55035"/>
    <w:rsid w:val="00D6367F"/>
    <w:rsid w:val="00D76BF4"/>
    <w:rsid w:val="00D80C10"/>
    <w:rsid w:val="00D85473"/>
    <w:rsid w:val="00DE0F3F"/>
    <w:rsid w:val="00DE4527"/>
    <w:rsid w:val="00E01E97"/>
    <w:rsid w:val="00E061EE"/>
    <w:rsid w:val="00E074D9"/>
    <w:rsid w:val="00E16814"/>
    <w:rsid w:val="00E16CBE"/>
    <w:rsid w:val="00E42D2D"/>
    <w:rsid w:val="00E43A12"/>
    <w:rsid w:val="00E44E82"/>
    <w:rsid w:val="00E56AC1"/>
    <w:rsid w:val="00E578CD"/>
    <w:rsid w:val="00E67FEF"/>
    <w:rsid w:val="00E71ECE"/>
    <w:rsid w:val="00EA22E7"/>
    <w:rsid w:val="00EA6AE2"/>
    <w:rsid w:val="00EB4557"/>
    <w:rsid w:val="00EC760F"/>
    <w:rsid w:val="00ED0B1F"/>
    <w:rsid w:val="00ED1C74"/>
    <w:rsid w:val="00ED21D6"/>
    <w:rsid w:val="00EE7348"/>
    <w:rsid w:val="00EE7F46"/>
    <w:rsid w:val="00F01A8C"/>
    <w:rsid w:val="00F304AD"/>
    <w:rsid w:val="00F46E49"/>
    <w:rsid w:val="00F52419"/>
    <w:rsid w:val="00F52D4D"/>
    <w:rsid w:val="00F5472A"/>
    <w:rsid w:val="00F56215"/>
    <w:rsid w:val="00F820B9"/>
    <w:rsid w:val="00F92A4E"/>
    <w:rsid w:val="00F949E1"/>
    <w:rsid w:val="00FA66B0"/>
    <w:rsid w:val="00FB6827"/>
    <w:rsid w:val="00FB68DF"/>
    <w:rsid w:val="00FC0A1F"/>
    <w:rsid w:val="00FE288A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65602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820B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676BE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034B-8635-4900-82CF-9C18C977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2791</Words>
  <Characters>16747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Kamila Kartaszow</cp:lastModifiedBy>
  <cp:revision>2</cp:revision>
  <cp:lastPrinted>2023-03-20T10:01:00Z</cp:lastPrinted>
  <dcterms:created xsi:type="dcterms:W3CDTF">2023-03-23T09:36:00Z</dcterms:created>
  <dcterms:modified xsi:type="dcterms:W3CDTF">2023-03-23T09:36:00Z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