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EF68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0"/>
        <w:rPr>
          <w:noProof/>
        </w:rPr>
      </w:pPr>
      <w:r w:rsidRPr="00BF1BFA">
        <w:rPr>
          <w:noProof/>
        </w:rPr>
        <w:drawing>
          <wp:inline distT="0" distB="0" distL="0" distR="0" wp14:anchorId="2F01702D" wp14:editId="653937B4">
            <wp:extent cx="5910580" cy="5962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2AF0" w14:textId="77777777" w:rsidR="00D358BD" w:rsidRDefault="00D358BD" w:rsidP="00D358BD">
      <w:pPr>
        <w:pStyle w:val="Nagwek"/>
        <w:tabs>
          <w:tab w:val="clear" w:pos="4536"/>
          <w:tab w:val="clear" w:pos="9072"/>
          <w:tab w:val="center" w:pos="5954"/>
          <w:tab w:val="left" w:pos="8222"/>
          <w:tab w:val="right" w:pos="9498"/>
        </w:tabs>
        <w:ind w:left="284"/>
      </w:pPr>
      <w:r w:rsidRPr="00BF1BFA">
        <w:rPr>
          <w:noProof/>
        </w:rPr>
        <w:drawing>
          <wp:inline distT="0" distB="0" distL="0" distR="0" wp14:anchorId="5F1ADE90" wp14:editId="24D922EA">
            <wp:extent cx="1106805" cy="476885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1D345D" wp14:editId="306EA6F5">
            <wp:simplePos x="0" y="0"/>
            <wp:positionH relativeFrom="margin">
              <wp:posOffset>4386580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5" name="Obraz 5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484E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0" w:right="425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Neutropenię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09BD896B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rPr>
          <w:rFonts w:ascii="Calibri" w:hAnsi="Calibri"/>
          <w:sz w:val="14"/>
          <w:szCs w:val="14"/>
        </w:rPr>
      </w:pPr>
    </w:p>
    <w:p w14:paraId="474D805F" w14:textId="77777777" w:rsidR="00D358BD" w:rsidRDefault="00D358BD" w:rsidP="00D358BD">
      <w:pPr>
        <w:pStyle w:val="Nagwek"/>
        <w:ind w:left="0"/>
      </w:pPr>
      <w:r w:rsidRPr="00A233EB">
        <w:rPr>
          <w:noProof/>
        </w:rPr>
        <w:drawing>
          <wp:inline distT="0" distB="0" distL="0" distR="0" wp14:anchorId="2007D04F" wp14:editId="66CF2F3A">
            <wp:extent cx="5910580" cy="5962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A6B0" w14:textId="77777777" w:rsidR="00D358BD" w:rsidRPr="00160E1B" w:rsidRDefault="00D358BD" w:rsidP="00D358BD">
      <w:pPr>
        <w:pStyle w:val="Nagwek"/>
        <w:ind w:left="0" w:right="425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bezznacznikowego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4A57FF88" w14:textId="77777777" w:rsidR="00D358BD" w:rsidRDefault="00D358BD" w:rsidP="00FF6437">
      <w:pPr>
        <w:pStyle w:val="pkt"/>
        <w:tabs>
          <w:tab w:val="clear" w:pos="6480"/>
          <w:tab w:val="left" w:pos="567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Verdana" w:eastAsia="Calibri" w:hAnsi="Verdana" w:cs="Arial"/>
          <w:b/>
          <w:sz w:val="18"/>
          <w:szCs w:val="18"/>
        </w:rPr>
      </w:pPr>
    </w:p>
    <w:p w14:paraId="31A21FA2" w14:textId="3BBB0F64" w:rsidR="00FF6437" w:rsidRPr="00CA79E8" w:rsidRDefault="00FF6437" w:rsidP="00FF6437">
      <w:pPr>
        <w:pStyle w:val="pkt"/>
        <w:tabs>
          <w:tab w:val="clear" w:pos="6480"/>
          <w:tab w:val="left" w:pos="567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Verdana" w:hAnsi="Verdana" w:cs="Arial"/>
          <w:sz w:val="18"/>
          <w:szCs w:val="18"/>
        </w:rPr>
      </w:pPr>
      <w:r w:rsidRPr="00CA79E8">
        <w:rPr>
          <w:rFonts w:ascii="Verdana" w:eastAsia="Calibri" w:hAnsi="Verdana" w:cs="Arial"/>
          <w:b/>
          <w:sz w:val="18"/>
          <w:szCs w:val="18"/>
        </w:rPr>
        <w:t xml:space="preserve">Nr sprawy: </w:t>
      </w:r>
      <w:r w:rsidR="002F2144">
        <w:rPr>
          <w:rFonts w:ascii="Verdana" w:eastAsia="Calibri" w:hAnsi="Verdana" w:cs="Arial"/>
          <w:b/>
          <w:sz w:val="18"/>
          <w:szCs w:val="18"/>
        </w:rPr>
        <w:t>ZP/</w:t>
      </w:r>
      <w:r w:rsidR="00FC6DA1">
        <w:rPr>
          <w:rFonts w:ascii="Verdana" w:eastAsia="Calibri" w:hAnsi="Verdana" w:cs="Arial"/>
          <w:b/>
          <w:sz w:val="18"/>
          <w:szCs w:val="18"/>
        </w:rPr>
        <w:t>100</w:t>
      </w:r>
      <w:r w:rsidRPr="00CA79E8">
        <w:rPr>
          <w:rFonts w:ascii="Verdana" w:eastAsia="Calibri" w:hAnsi="Verdana" w:cs="Arial"/>
          <w:b/>
          <w:sz w:val="18"/>
          <w:szCs w:val="18"/>
        </w:rPr>
        <w:t>/20</w:t>
      </w:r>
      <w:r w:rsidR="002F2144">
        <w:rPr>
          <w:rFonts w:ascii="Verdana" w:eastAsia="Calibri" w:hAnsi="Verdana" w:cs="Arial"/>
          <w:b/>
          <w:sz w:val="18"/>
          <w:szCs w:val="18"/>
        </w:rPr>
        <w:t>20</w:t>
      </w:r>
    </w:p>
    <w:p w14:paraId="33A45DEC" w14:textId="1063467A" w:rsidR="00FF6437" w:rsidRPr="00873781" w:rsidRDefault="00FF6437" w:rsidP="00FF6437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873781">
        <w:rPr>
          <w:rFonts w:ascii="Verdana" w:eastAsia="Calibri" w:hAnsi="Verdana" w:cs="Arial"/>
          <w:b/>
          <w:sz w:val="18"/>
          <w:szCs w:val="18"/>
        </w:rPr>
        <w:t xml:space="preserve">Załącznik nr </w:t>
      </w:r>
      <w:r>
        <w:rPr>
          <w:rFonts w:ascii="Verdana" w:eastAsia="Calibri" w:hAnsi="Verdana" w:cs="Arial"/>
          <w:b/>
          <w:sz w:val="18"/>
          <w:szCs w:val="18"/>
        </w:rPr>
        <w:t>5</w:t>
      </w:r>
      <w:r w:rsidR="0005183B"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14:paraId="6A61A643" w14:textId="1A643FE8" w:rsidR="00FF6437" w:rsidRDefault="00FF6437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OŚWIADCZENIE WYKONAWCY</w:t>
      </w:r>
    </w:p>
    <w:p w14:paraId="12F4761C" w14:textId="77777777" w:rsidR="008D2CF5" w:rsidRPr="007003E2" w:rsidRDefault="008D2CF5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</w:p>
    <w:p w14:paraId="3F345672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5E521CA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</w:pPr>
      <w:r w:rsidRPr="007003E2"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1997C8A4" w14:textId="4763C6F2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59D40349" w14:textId="77777777" w:rsidR="008D2CF5" w:rsidRPr="007003E2" w:rsidRDefault="008D2CF5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EF8F6D8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Nazwa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.............................................................................................................</w:t>
      </w:r>
    </w:p>
    <w:p w14:paraId="6022B04E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</w:p>
    <w:p w14:paraId="2DD299A5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Adres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</w:t>
      </w:r>
    </w:p>
    <w:p w14:paraId="035D2BB5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28626D49" w14:textId="5DA724B2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Składając ofertę na</w:t>
      </w:r>
      <w:r>
        <w:rPr>
          <w:rFonts w:ascii="Verdana" w:eastAsiaTheme="minorHAnsi" w:hAnsi="Verdana"/>
          <w:sz w:val="18"/>
          <w:szCs w:val="18"/>
        </w:rPr>
        <w:t xml:space="preserve"> </w:t>
      </w:r>
      <w:r w:rsidR="008D2CF5">
        <w:rPr>
          <w:rFonts w:ascii="Verdana" w:eastAsiaTheme="minorHAnsi" w:hAnsi="Verdana"/>
          <w:sz w:val="18"/>
          <w:szCs w:val="18"/>
        </w:rPr>
        <w:t>dostawę</w:t>
      </w:r>
      <w:r w:rsidRPr="007003E2">
        <w:rPr>
          <w:rFonts w:ascii="Verdana" w:eastAsiaTheme="minorHAnsi" w:hAnsi="Verdana"/>
          <w:sz w:val="18"/>
          <w:szCs w:val="18"/>
        </w:rPr>
        <w:t xml:space="preserve"> pn.:</w:t>
      </w:r>
    </w:p>
    <w:p w14:paraId="63075BA4" w14:textId="79D4AA09" w:rsidR="00FF6437" w:rsidRPr="002111FD" w:rsidRDefault="00FF6437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="008D2CF5" w:rsidRPr="008D2CF5">
        <w:rPr>
          <w:rFonts w:ascii="Verdana" w:hAnsi="Verdana" w:cs="Arial"/>
          <w:b/>
          <w:sz w:val="18"/>
          <w:szCs w:val="18"/>
        </w:rPr>
        <w:t>Sukcesywn</w:t>
      </w:r>
      <w:r w:rsidR="00DF4729">
        <w:rPr>
          <w:rFonts w:ascii="Verdana" w:hAnsi="Verdana" w:cs="Arial"/>
          <w:b/>
          <w:sz w:val="18"/>
          <w:szCs w:val="18"/>
        </w:rPr>
        <w:t>a</w:t>
      </w:r>
      <w:r w:rsidR="008D2CF5" w:rsidRPr="008D2CF5">
        <w:rPr>
          <w:rFonts w:ascii="Verdana" w:hAnsi="Verdana" w:cs="Arial"/>
          <w:b/>
          <w:sz w:val="18"/>
          <w:szCs w:val="18"/>
        </w:rPr>
        <w:t xml:space="preserve"> dostaw</w:t>
      </w:r>
      <w:r w:rsidR="00DF4729">
        <w:rPr>
          <w:rFonts w:ascii="Verdana" w:hAnsi="Verdana" w:cs="Arial"/>
          <w:b/>
          <w:sz w:val="18"/>
          <w:szCs w:val="18"/>
        </w:rPr>
        <w:t>a</w:t>
      </w:r>
      <w:r w:rsidR="008D2CF5" w:rsidRPr="008D2CF5">
        <w:rPr>
          <w:rFonts w:ascii="Verdana" w:hAnsi="Verdana" w:cs="Arial"/>
          <w:b/>
          <w:sz w:val="18"/>
          <w:szCs w:val="18"/>
        </w:rPr>
        <w:t xml:space="preserve"> odczynników laboratoryjnych i chemicznych niezbędnych do realizacji projektów: „Wyleczymy Neutropenię (FIXNET): wykorzystanie identyfikacji zaburzeń funkcji proteaz granulocytów obojętnochłonnych jako nowych możliwości diagnostycznych i terapeutycznych” oraz „Platforma do szybkiego, bezznacznikowego obrazowania, identyfikacji i sortowania podtypów komórek białaczkowych (RAPID).</w:t>
      </w:r>
      <w:r>
        <w:rPr>
          <w:rFonts w:ascii="Verdana" w:eastAsiaTheme="minorHAnsi" w:hAnsi="Verdana"/>
          <w:b/>
          <w:bCs/>
          <w:sz w:val="22"/>
          <w:szCs w:val="22"/>
        </w:rPr>
        <w:t>”</w:t>
      </w:r>
    </w:p>
    <w:p w14:paraId="2C537F6A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A4BE15F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C11C782" w14:textId="77777777" w:rsidR="00FF6437" w:rsidRPr="007003E2" w:rsidRDefault="00FF6437" w:rsidP="00FF643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Nie należę do</w:t>
      </w:r>
      <w:r w:rsidR="0090176B">
        <w:rPr>
          <w:rFonts w:ascii="Verdana" w:eastAsiaTheme="minorHAnsi" w:hAnsi="Verdana"/>
          <w:sz w:val="18"/>
          <w:szCs w:val="18"/>
        </w:rPr>
        <w:t xml:space="preserve"> żadnej</w:t>
      </w:r>
      <w:r w:rsidRPr="007003E2">
        <w:rPr>
          <w:rFonts w:ascii="Verdana" w:eastAsiaTheme="minorHAnsi" w:hAnsi="Verdana"/>
          <w:sz w:val="18"/>
          <w:szCs w:val="18"/>
        </w:rPr>
        <w:t xml:space="preserve"> grupy kapitałowej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011FC9CE" w14:textId="77777777" w:rsidR="00FF6437" w:rsidRPr="007003E2" w:rsidRDefault="00FF6437" w:rsidP="00FF6437">
      <w:pPr>
        <w:tabs>
          <w:tab w:val="clear" w:pos="6480"/>
        </w:tabs>
        <w:spacing w:line="360" w:lineRule="auto"/>
        <w:ind w:left="426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3B8D95D0" w14:textId="77777777" w:rsidR="00FF6437" w:rsidRPr="007003E2" w:rsidRDefault="00FF6437" w:rsidP="00FF6437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 xml:space="preserve"> *)</w:t>
      </w:r>
    </w:p>
    <w:p w14:paraId="41B92C52" w14:textId="77777777" w:rsidR="00FF6437" w:rsidRPr="007003E2" w:rsidRDefault="00FF6437" w:rsidP="00FF6437">
      <w:pPr>
        <w:tabs>
          <w:tab w:val="clear" w:pos="6480"/>
        </w:tabs>
        <w:ind w:left="708" w:firstLine="0"/>
        <w:rPr>
          <w:rFonts w:ascii="Verdana" w:eastAsiaTheme="minorHAnsi" w:hAnsi="Verdana"/>
          <w:sz w:val="18"/>
          <w:szCs w:val="18"/>
        </w:rPr>
      </w:pPr>
    </w:p>
    <w:p w14:paraId="77E63056" w14:textId="77777777"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54D93852" w14:textId="77777777"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2C527CFA" w14:textId="77777777" w:rsidR="00FF6437" w:rsidRPr="007003E2" w:rsidRDefault="00FF6437" w:rsidP="00FF6437">
      <w:pPr>
        <w:tabs>
          <w:tab w:val="clear" w:pos="6480"/>
        </w:tabs>
        <w:spacing w:line="360" w:lineRule="auto"/>
        <w:ind w:left="1134" w:firstLine="0"/>
        <w:rPr>
          <w:rFonts w:ascii="Verdana" w:eastAsiaTheme="minorHAnsi" w:hAnsi="Verdana"/>
          <w:sz w:val="18"/>
          <w:szCs w:val="18"/>
        </w:rPr>
      </w:pPr>
    </w:p>
    <w:p w14:paraId="73915ED4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lastRenderedPageBreak/>
        <w:t>…………………………………………………</w:t>
      </w:r>
    </w:p>
    <w:p w14:paraId="2AEFED51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</w:p>
    <w:p w14:paraId="51701178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…………………………………………………</w:t>
      </w:r>
    </w:p>
    <w:p w14:paraId="535B08A7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667C343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  <w:r w:rsidRPr="008514AF">
        <w:rPr>
          <w:rFonts w:ascii="Verdana" w:eastAsiaTheme="minorHAnsi" w:hAnsi="Verdana"/>
          <w:b/>
          <w:bCs/>
          <w:sz w:val="18"/>
          <w:szCs w:val="18"/>
          <w:u w:val="single"/>
        </w:rPr>
        <w:t>*) - niepotrzebne skreślić</w:t>
      </w:r>
    </w:p>
    <w:p w14:paraId="35BABDF4" w14:textId="77777777" w:rsidR="00FF6437" w:rsidRPr="00675D2C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</w:p>
    <w:p w14:paraId="58160099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14:paraId="5F21C7F2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2E006B01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6115C1E7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1ABCB222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540A7574" w14:textId="77777777" w:rsidR="005572E0" w:rsidRDefault="00FF6437" w:rsidP="00EE4A15">
      <w:pPr>
        <w:ind w:left="2835" w:firstLine="0"/>
      </w:pPr>
      <w:r>
        <w:rPr>
          <w:rFonts w:ascii="Verdana" w:hAnsi="Verdana" w:cs="Arial"/>
          <w:b/>
          <w:u w:val="single"/>
        </w:rPr>
        <w:t xml:space="preserve">Kwalifikowany podpis </w:t>
      </w:r>
      <w:r w:rsidRPr="00142BF4">
        <w:rPr>
          <w:rFonts w:ascii="Verdana" w:hAnsi="Verdana" w:cs="Arial"/>
          <w:b/>
          <w:u w:val="single"/>
        </w:rPr>
        <w:t>elektroniczny Wykonawcy</w:t>
      </w:r>
    </w:p>
    <w:sectPr w:rsidR="005572E0" w:rsidSect="008D2CF5">
      <w:headerReference w:type="default" r:id="rId10"/>
      <w:pgSz w:w="11906" w:h="16838"/>
      <w:pgMar w:top="18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4B9C" w14:textId="77777777" w:rsidR="00AF7272" w:rsidRDefault="00AF7272" w:rsidP="00C11827">
      <w:r>
        <w:separator/>
      </w:r>
    </w:p>
  </w:endnote>
  <w:endnote w:type="continuationSeparator" w:id="0">
    <w:p w14:paraId="63263362" w14:textId="77777777" w:rsidR="00AF7272" w:rsidRDefault="00AF7272" w:rsidP="00C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8B856" w14:textId="77777777" w:rsidR="00AF7272" w:rsidRDefault="00AF7272" w:rsidP="00C11827">
      <w:r>
        <w:separator/>
      </w:r>
    </w:p>
  </w:footnote>
  <w:footnote w:type="continuationSeparator" w:id="0">
    <w:p w14:paraId="23AD97BB" w14:textId="77777777" w:rsidR="00AF7272" w:rsidRDefault="00AF7272" w:rsidP="00C1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01B9" w14:textId="012A3A4D" w:rsidR="00C11827" w:rsidRDefault="00C11827" w:rsidP="00EE4A15">
    <w:pPr>
      <w:pStyle w:val="Nagwek"/>
      <w:ind w:left="0" w:right="6378" w:firstLine="0"/>
      <w:jc w:val="center"/>
    </w:pPr>
  </w:p>
  <w:p w14:paraId="7BB9DDE9" w14:textId="77777777" w:rsidR="00C11827" w:rsidRDefault="00C11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437"/>
    <w:rsid w:val="0005183B"/>
    <w:rsid w:val="001110D1"/>
    <w:rsid w:val="002F2144"/>
    <w:rsid w:val="00326CBA"/>
    <w:rsid w:val="00546A21"/>
    <w:rsid w:val="005572E0"/>
    <w:rsid w:val="008223F4"/>
    <w:rsid w:val="008D2CF5"/>
    <w:rsid w:val="0090176B"/>
    <w:rsid w:val="00AF7272"/>
    <w:rsid w:val="00B06D40"/>
    <w:rsid w:val="00C11827"/>
    <w:rsid w:val="00D358BD"/>
    <w:rsid w:val="00D71314"/>
    <w:rsid w:val="00DF4729"/>
    <w:rsid w:val="00EE4A15"/>
    <w:rsid w:val="00FC3287"/>
    <w:rsid w:val="00FC6DA1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0A3940A"/>
  <w15:docId w15:val="{6C773EDA-927D-425B-B020-28049F6E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437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F6437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17</cp:revision>
  <dcterms:created xsi:type="dcterms:W3CDTF">2019-07-26T07:55:00Z</dcterms:created>
  <dcterms:modified xsi:type="dcterms:W3CDTF">2020-10-30T09:00:00Z</dcterms:modified>
</cp:coreProperties>
</file>