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E21234">
        <w:rPr>
          <w:rFonts w:cstheme="minorHAnsi"/>
          <w:b/>
          <w:szCs w:val="24"/>
        </w:rPr>
        <w:t>79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E2123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Księgowy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E2123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Księgowy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E21234">
        <w:rPr>
          <w:rFonts w:cstheme="minorHAnsi"/>
          <w:b/>
          <w:szCs w:val="24"/>
        </w:rPr>
        <w:t>-82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</w:p>
    <w:p w:rsidR="00014D42" w:rsidRDefault="00014D42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cstheme="minorHAnsi"/>
          <w:b/>
          <w:szCs w:val="24"/>
        </w:rPr>
        <w:t>Cele </w:t>
      </w:r>
      <w:r w:rsidR="006D314F" w:rsidRPr="00E20497">
        <w:rPr>
          <w:rFonts w:cstheme="minorHAnsi"/>
          <w:b/>
          <w:szCs w:val="24"/>
        </w:rPr>
        <w:t>szkolenia</w:t>
      </w:r>
      <w:r w:rsidRPr="00C16956">
        <w:rPr>
          <w:rFonts w:eastAsia="TimesNewRoman" w:cstheme="minorHAnsi"/>
          <w:b/>
          <w:szCs w:val="24"/>
        </w:rPr>
        <w:t>: </w:t>
      </w:r>
      <w:r w:rsidRPr="00C16956">
        <w:rPr>
          <w:rFonts w:cstheme="minorHAnsi"/>
          <w:b/>
          <w:szCs w:val="24"/>
        </w:rPr>
        <w:t>Szkolenie </w:t>
      </w:r>
      <w:r w:rsidRPr="00C16956">
        <w:rPr>
          <w:rFonts w:ascii="Calibri Light" w:hAnsi="Calibri Light" w:cstheme="minorHAnsi"/>
          <w:b/>
          <w:szCs w:val="24"/>
        </w:rPr>
        <w:t>ma na </w:t>
      </w:r>
      <w:r w:rsidR="006D314F" w:rsidRPr="00C16956">
        <w:rPr>
          <w:rFonts w:ascii="Calibri Light" w:hAnsi="Calibri Light" w:cstheme="minorHAnsi"/>
          <w:b/>
          <w:szCs w:val="24"/>
        </w:rPr>
        <w:t>celu</w:t>
      </w:r>
      <w:r w:rsidRPr="00C16956">
        <w:rPr>
          <w:rFonts w:ascii="Calibri Light" w:hAnsi="Calibri Light" w:cstheme="minorHAnsi"/>
          <w:b/>
          <w:szCs w:val="24"/>
        </w:rPr>
        <w:t> nabycie </w:t>
      </w:r>
      <w:r w:rsidR="00041F04" w:rsidRPr="00C16956">
        <w:rPr>
          <w:rFonts w:ascii="Calibri Light" w:hAnsi="Calibri Light" w:cstheme="minorHAnsi"/>
          <w:b/>
          <w:szCs w:val="24"/>
        </w:rPr>
        <w:t>umiejętności z zakresu:</w:t>
      </w:r>
    </w:p>
    <w:p w:rsidR="00041F04" w:rsidRPr="00C16956" w:rsidRDefault="00041F0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1.</w:t>
      </w:r>
      <w:r w:rsidR="00E21234" w:rsidRPr="00C16956">
        <w:rPr>
          <w:rFonts w:ascii="Calibri Light" w:hAnsi="Calibri Light" w:cstheme="minorHAnsi"/>
          <w:b/>
          <w:szCs w:val="24"/>
        </w:rPr>
        <w:t xml:space="preserve"> Organizacja działalności gospodarczej-wiadomości wstępne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2. Rachunkowość jako system informacyjny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 xml:space="preserve">3. Charakterystyka aktywów i  pasywów 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4</w:t>
      </w:r>
      <w:r w:rsidR="00041F04" w:rsidRPr="00C16956">
        <w:rPr>
          <w:rFonts w:ascii="Calibri Light" w:hAnsi="Calibri Light" w:cstheme="minorHAnsi"/>
          <w:b/>
          <w:szCs w:val="24"/>
        </w:rPr>
        <w:t>.</w:t>
      </w:r>
      <w:r w:rsidRPr="00C16956">
        <w:rPr>
          <w:rFonts w:ascii="Calibri Light" w:hAnsi="Calibri Light" w:cstheme="minorHAnsi"/>
          <w:b/>
          <w:szCs w:val="24"/>
        </w:rPr>
        <w:t xml:space="preserve"> Operacje gospodarcze</w:t>
      </w:r>
    </w:p>
    <w:p w:rsidR="00041F0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5. Dowody księgowe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6. Zasady</w:t>
      </w:r>
      <w:r w:rsidR="00C16956">
        <w:rPr>
          <w:rFonts w:ascii="Calibri Light" w:hAnsi="Calibri Light" w:cstheme="minorHAnsi"/>
          <w:b/>
          <w:szCs w:val="24"/>
        </w:rPr>
        <w:t xml:space="preserve"> ewidencji operacji gospodarczych</w:t>
      </w:r>
      <w:r w:rsidRPr="00C16956">
        <w:rPr>
          <w:rFonts w:ascii="Calibri Light" w:hAnsi="Calibri Light" w:cstheme="minorHAnsi"/>
          <w:b/>
          <w:szCs w:val="24"/>
        </w:rPr>
        <w:t xml:space="preserve"> w księgach rachunkowych</w:t>
      </w:r>
    </w:p>
    <w:p w:rsidR="00041F0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7. Wycena, dokumentowanie i ewidencja podstawowych operacji gospodarczych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8.</w:t>
      </w:r>
      <w:r w:rsidR="00C16956">
        <w:rPr>
          <w:rFonts w:ascii="Calibri Light" w:hAnsi="Calibri Light" w:cstheme="minorHAnsi"/>
          <w:b/>
          <w:szCs w:val="24"/>
        </w:rPr>
        <w:t xml:space="preserve"> </w:t>
      </w:r>
      <w:r w:rsidR="00C16956" w:rsidRPr="00C16956">
        <w:rPr>
          <w:rFonts w:ascii="Calibri Light" w:hAnsi="Calibri Light" w:cstheme="minorHAnsi"/>
          <w:b/>
          <w:szCs w:val="24"/>
        </w:rPr>
        <w:t>Ewidencja</w:t>
      </w:r>
      <w:r w:rsidRPr="00C16956">
        <w:rPr>
          <w:rFonts w:ascii="Calibri Light" w:hAnsi="Calibri Light" w:cstheme="minorHAnsi"/>
          <w:b/>
          <w:szCs w:val="24"/>
        </w:rPr>
        <w:t xml:space="preserve"> operacji gospodarczych kształtujących wynik finansowy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9.</w:t>
      </w:r>
      <w:r w:rsidR="00C16956">
        <w:rPr>
          <w:rFonts w:ascii="Calibri Light" w:hAnsi="Calibri Light" w:cstheme="minorHAnsi"/>
          <w:b/>
          <w:szCs w:val="24"/>
        </w:rPr>
        <w:t xml:space="preserve"> </w:t>
      </w:r>
      <w:r w:rsidRPr="00C16956">
        <w:rPr>
          <w:rFonts w:ascii="Calibri Light" w:hAnsi="Calibri Light" w:cstheme="minorHAnsi"/>
          <w:b/>
          <w:szCs w:val="24"/>
        </w:rPr>
        <w:t>Sporządzanie sprawozdania finansowego jednostek, w których występują podstawowe, typowe operacje gospodarcze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 xml:space="preserve">10. Studium </w:t>
      </w:r>
      <w:r w:rsidR="0035313E" w:rsidRPr="00C16956">
        <w:rPr>
          <w:rFonts w:ascii="Calibri Light" w:hAnsi="Calibri Light" w:cstheme="minorHAnsi"/>
          <w:b/>
          <w:szCs w:val="24"/>
        </w:rPr>
        <w:t>przypadku od</w:t>
      </w:r>
      <w:r w:rsidRPr="00C16956">
        <w:rPr>
          <w:rFonts w:ascii="Calibri Light" w:hAnsi="Calibri Light" w:cstheme="minorHAnsi"/>
          <w:b/>
          <w:szCs w:val="24"/>
        </w:rPr>
        <w:t xml:space="preserve"> bilansu otwarcia do bilansu zamknięcia i rachunku zysków i strat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11. Podstawowe etyki w działalności gospodarczej i zawodowej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 xml:space="preserve">12. Ogólne zasady funkcjonowania </w:t>
      </w:r>
      <w:r w:rsidR="0035313E" w:rsidRPr="00C16956">
        <w:rPr>
          <w:rFonts w:ascii="Calibri Light" w:hAnsi="Calibri Light" w:cstheme="minorHAnsi"/>
          <w:b/>
          <w:szCs w:val="24"/>
        </w:rPr>
        <w:t>systemu</w:t>
      </w:r>
      <w:r w:rsidRPr="00C16956">
        <w:rPr>
          <w:rFonts w:ascii="Calibri Light" w:hAnsi="Calibri Light" w:cstheme="minorHAnsi"/>
          <w:b/>
          <w:szCs w:val="24"/>
        </w:rPr>
        <w:t xml:space="preserve"> finansowo-księgowego do prowadzenia ksiąg rachunkowych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13. System podatkowy w Polsce</w:t>
      </w:r>
    </w:p>
    <w:p w:rsidR="00E21234" w:rsidRPr="00C16956" w:rsidRDefault="00E2123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 xml:space="preserve">14. Podatek od towarów i usług (VAT) </w:t>
      </w:r>
      <w:r w:rsidR="0035313E" w:rsidRPr="00C16956">
        <w:rPr>
          <w:rFonts w:ascii="Calibri Light" w:hAnsi="Calibri Light" w:cstheme="minorHAnsi"/>
          <w:b/>
          <w:szCs w:val="24"/>
        </w:rPr>
        <w:t xml:space="preserve">–podstawowe zagadnienia </w:t>
      </w:r>
    </w:p>
    <w:p w:rsidR="0035313E" w:rsidRPr="00C16956" w:rsidRDefault="0035313E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 xml:space="preserve">15. Podatki dochodowe –ogólne zasady i formy opodatkowania działalności gospodarczej </w:t>
      </w:r>
    </w:p>
    <w:p w:rsidR="0035313E" w:rsidRPr="00C16956" w:rsidRDefault="0035313E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>16. Podatki i opłaty obciążające przedsiębiorstwa- ogólna charakterystyka</w:t>
      </w:r>
    </w:p>
    <w:p w:rsidR="006D314F" w:rsidRDefault="0035313E" w:rsidP="00E20497">
      <w:pPr>
        <w:spacing w:before="0" w:line="240" w:lineRule="auto"/>
        <w:rPr>
          <w:rFonts w:cstheme="minorHAnsi"/>
          <w:b/>
          <w:szCs w:val="24"/>
        </w:rPr>
      </w:pPr>
      <w:r w:rsidRPr="00C16956">
        <w:rPr>
          <w:rFonts w:ascii="Calibri Light" w:hAnsi="Calibri Light" w:cstheme="minorHAnsi"/>
          <w:b/>
          <w:szCs w:val="24"/>
        </w:rPr>
        <w:t xml:space="preserve">17. </w:t>
      </w:r>
      <w:r w:rsidR="00C16956" w:rsidRPr="00C16956">
        <w:rPr>
          <w:rFonts w:cstheme="minorHAnsi"/>
          <w:b/>
          <w:szCs w:val="24"/>
        </w:rPr>
        <w:t>S</w:t>
      </w:r>
      <w:r w:rsidRPr="00C16956">
        <w:rPr>
          <w:rFonts w:cstheme="minorHAnsi"/>
          <w:b/>
          <w:szCs w:val="24"/>
        </w:rPr>
        <w:t>kładki ro</w:t>
      </w:r>
      <w:r w:rsidR="00C16956" w:rsidRPr="00C16956">
        <w:rPr>
          <w:rFonts w:cstheme="minorHAnsi"/>
          <w:b/>
          <w:szCs w:val="24"/>
        </w:rPr>
        <w:t>zlicz</w:t>
      </w:r>
      <w:r w:rsidR="00C16956">
        <w:rPr>
          <w:rFonts w:cstheme="minorHAnsi"/>
          <w:b/>
          <w:szCs w:val="24"/>
        </w:rPr>
        <w:t>a</w:t>
      </w:r>
      <w:r w:rsidR="00C16956" w:rsidRPr="00C16956">
        <w:rPr>
          <w:rFonts w:cstheme="minorHAnsi"/>
          <w:b/>
          <w:szCs w:val="24"/>
        </w:rPr>
        <w:t>ne z Zakładem Ubezpieczeń S</w:t>
      </w:r>
      <w:r w:rsidR="00C16956">
        <w:rPr>
          <w:rFonts w:cstheme="minorHAnsi"/>
          <w:b/>
          <w:szCs w:val="24"/>
        </w:rPr>
        <w:t>połecznych -ich rodzaje i ogólne</w:t>
      </w:r>
      <w:r w:rsidR="00C16956" w:rsidRPr="00C16956">
        <w:rPr>
          <w:rFonts w:cstheme="minorHAnsi"/>
          <w:b/>
          <w:szCs w:val="24"/>
        </w:rPr>
        <w:t xml:space="preserve"> zasady rozliczania</w:t>
      </w:r>
      <w:r w:rsidR="00C16956">
        <w:rPr>
          <w:rFonts w:cstheme="minorHAnsi"/>
          <w:b/>
          <w:szCs w:val="24"/>
        </w:rPr>
        <w:t xml:space="preserve"> </w:t>
      </w:r>
    </w:p>
    <w:p w:rsidR="00172B7D" w:rsidRPr="00E20497" w:rsidRDefault="00172B7D" w:rsidP="00172B7D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172B7D" w:rsidRPr="00C16956" w:rsidRDefault="00172B7D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dem </w:t>
      </w:r>
      <w:r w:rsidRPr="00E20497">
        <w:rPr>
          <w:rFonts w:cstheme="minorHAnsi"/>
          <w:szCs w:val="24"/>
        </w:rPr>
        <w:lastRenderedPageBreak/>
        <w:t>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014D42" w:rsidRDefault="00014D4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 xml:space="preserve">ormularzu oferty należy podać cenę za usługę kursu jednej osoby wraz z </w:t>
      </w:r>
      <w:r w:rsidR="003128E8" w:rsidRPr="0030086F">
        <w:rPr>
          <w:rFonts w:cstheme="minorHAnsi"/>
          <w:b/>
          <w:szCs w:val="24"/>
        </w:rPr>
        <w:t>egzaminem</w:t>
      </w:r>
      <w:r w:rsidR="003128E8">
        <w:rPr>
          <w:rFonts w:cstheme="minorHAnsi"/>
          <w:b/>
          <w:szCs w:val="24"/>
        </w:rPr>
        <w:t xml:space="preserve"> i ubezpieczeniem nnw.</w:t>
      </w:r>
      <w:bookmarkStart w:id="4" w:name="_GoBack"/>
      <w:bookmarkEnd w:id="4"/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128E8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128E8">
        <w:rPr>
          <w:rFonts w:cstheme="minorHAnsi"/>
          <w:szCs w:val="24"/>
        </w:rPr>
        <w:t xml:space="preserve"> 10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AA756D">
        <w:rPr>
          <w:rFonts w:cstheme="minorHAnsi"/>
          <w:szCs w:val="24"/>
        </w:rPr>
        <w:t>0</w:t>
      </w:r>
      <w:r w:rsidR="003128E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128E8">
        <w:rPr>
          <w:rFonts w:cstheme="minorHAnsi"/>
          <w:szCs w:val="24"/>
        </w:rPr>
        <w:t xml:space="preserve"> r. o godzinie 10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39" w:rsidRDefault="00096039" w:rsidP="00E20497">
      <w:pPr>
        <w:spacing w:before="0" w:line="240" w:lineRule="auto"/>
      </w:pPr>
      <w:r>
        <w:separator/>
      </w:r>
    </w:p>
  </w:endnote>
  <w:endnote w:type="continuationSeparator" w:id="0">
    <w:p w:rsidR="00096039" w:rsidRDefault="0009603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42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39" w:rsidRDefault="00096039" w:rsidP="00E20497">
      <w:pPr>
        <w:spacing w:before="0" w:line="240" w:lineRule="auto"/>
      </w:pPr>
      <w:r>
        <w:separator/>
      </w:r>
    </w:p>
  </w:footnote>
  <w:footnote w:type="continuationSeparator" w:id="0">
    <w:p w:rsidR="00096039" w:rsidRDefault="0009603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4D42"/>
    <w:rsid w:val="00041F04"/>
    <w:rsid w:val="00046A1A"/>
    <w:rsid w:val="00052FA3"/>
    <w:rsid w:val="00076423"/>
    <w:rsid w:val="00083C28"/>
    <w:rsid w:val="00096039"/>
    <w:rsid w:val="000B0B89"/>
    <w:rsid w:val="000B1806"/>
    <w:rsid w:val="001079C7"/>
    <w:rsid w:val="001243AC"/>
    <w:rsid w:val="00127B62"/>
    <w:rsid w:val="001457E6"/>
    <w:rsid w:val="00172B7D"/>
    <w:rsid w:val="001763FC"/>
    <w:rsid w:val="001E7410"/>
    <w:rsid w:val="001E7767"/>
    <w:rsid w:val="00211895"/>
    <w:rsid w:val="00224AB3"/>
    <w:rsid w:val="00274E75"/>
    <w:rsid w:val="0030086F"/>
    <w:rsid w:val="003128E8"/>
    <w:rsid w:val="00335AAE"/>
    <w:rsid w:val="0035313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84125"/>
    <w:rsid w:val="00B93AFC"/>
    <w:rsid w:val="00BB1F5B"/>
    <w:rsid w:val="00BB2565"/>
    <w:rsid w:val="00BC22D2"/>
    <w:rsid w:val="00C16956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21234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22</cp:revision>
  <cp:lastPrinted>2022-02-17T07:46:00Z</cp:lastPrinted>
  <dcterms:created xsi:type="dcterms:W3CDTF">2022-04-26T09:04:00Z</dcterms:created>
  <dcterms:modified xsi:type="dcterms:W3CDTF">2023-02-28T08:47:00Z</dcterms:modified>
</cp:coreProperties>
</file>