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4B858DB3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znak: IZP.271</w:t>
      </w:r>
      <w:r w:rsidR="00D877A8">
        <w:rPr>
          <w:rFonts w:asciiTheme="minorHAnsi" w:hAnsiTheme="minorHAnsi" w:cstheme="minorHAnsi"/>
          <w:b/>
          <w:bCs/>
          <w:sz w:val="22"/>
          <w:szCs w:val="22"/>
        </w:rPr>
        <w:t>.26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D877A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59F3" w:rsidRPr="00D877A8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Z.PZP.)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CE1B" w14:textId="77777777" w:rsidR="002B17FB" w:rsidRDefault="002B17FB" w:rsidP="007E4908">
      <w:r>
        <w:separator/>
      </w:r>
    </w:p>
  </w:endnote>
  <w:endnote w:type="continuationSeparator" w:id="0">
    <w:p w14:paraId="1ED2EBA4" w14:textId="77777777" w:rsidR="002B17FB" w:rsidRDefault="002B17F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F68" w14:textId="77777777" w:rsidR="002B17FB" w:rsidRDefault="002B17FB" w:rsidP="007E4908">
      <w:r>
        <w:separator/>
      </w:r>
    </w:p>
  </w:footnote>
  <w:footnote w:type="continuationSeparator" w:id="0">
    <w:p w14:paraId="2D560CAF" w14:textId="77777777" w:rsidR="002B17FB" w:rsidRDefault="002B17FB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47736363" w:rsidR="00A550DD" w:rsidRPr="00D877A8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sz w:val="20"/>
        <w:szCs w:val="22"/>
        <w:lang w:eastAsia="en-US"/>
      </w:rPr>
    </w:pPr>
    <w:r w:rsidRPr="00D877A8">
      <w:rPr>
        <w:rFonts w:ascii="Calibri" w:eastAsia="Calibri" w:hAnsi="Calibri" w:cs="Calibri"/>
        <w:b/>
        <w:noProof/>
        <w:sz w:val="20"/>
        <w:szCs w:val="22"/>
      </w:rPr>
      <w:t>IZP.271</w:t>
    </w:r>
    <w:r w:rsidR="00D877A8">
      <w:rPr>
        <w:rFonts w:ascii="Calibri" w:eastAsia="Calibri" w:hAnsi="Calibri" w:cs="Calibri"/>
        <w:b/>
        <w:noProof/>
        <w:sz w:val="20"/>
        <w:szCs w:val="22"/>
      </w:rPr>
      <w:t>.26.</w:t>
    </w:r>
    <w:r w:rsidRPr="00D877A8">
      <w:rPr>
        <w:rFonts w:ascii="Calibri" w:eastAsia="Calibri" w:hAnsi="Calibri" w:cs="Calibri"/>
        <w:b/>
        <w:noProof/>
        <w:sz w:val="20"/>
        <w:szCs w:val="22"/>
      </w:rPr>
      <w:t>202</w:t>
    </w:r>
    <w:r w:rsidR="003B1E43" w:rsidRPr="00D877A8">
      <w:rPr>
        <w:rFonts w:ascii="Calibri" w:eastAsia="Calibri" w:hAnsi="Calibri" w:cs="Calibri"/>
        <w:b/>
        <w:noProof/>
        <w:sz w:val="20"/>
        <w:szCs w:val="22"/>
      </w:rPr>
      <w:t>3</w:t>
    </w:r>
    <w:r w:rsidRPr="00D877A8">
      <w:rPr>
        <w:rFonts w:ascii="Calibri" w:eastAsia="Calibri" w:hAnsi="Calibri" w:cs="Calibri"/>
        <w:b/>
        <w:noProof/>
        <w:sz w:val="20"/>
        <w:szCs w:val="22"/>
      </w:rPr>
      <w:t>.</w:t>
    </w:r>
    <w:r w:rsidR="00C559F3" w:rsidRPr="00D877A8">
      <w:rPr>
        <w:rFonts w:ascii="Calibri" w:eastAsia="Calibri" w:hAnsi="Calibri" w:cs="Calibri"/>
        <w:b/>
        <w:noProof/>
        <w:sz w:val="20"/>
        <w:szCs w:val="22"/>
      </w:rPr>
      <w:t>J</w:t>
    </w:r>
    <w:r w:rsidRPr="00D877A8">
      <w:rPr>
        <w:rFonts w:ascii="Calibri" w:eastAsia="Calibri" w:hAnsi="Calibri" w:cs="Calibri"/>
        <w:b/>
        <w:noProof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F112FE70"/>
    <w:lvl w:ilvl="0" w:tplc="E0D87B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17FB"/>
    <w:rsid w:val="002B2A89"/>
    <w:rsid w:val="002C4AF7"/>
    <w:rsid w:val="002C7B6E"/>
    <w:rsid w:val="002F3F01"/>
    <w:rsid w:val="0030115E"/>
    <w:rsid w:val="00312EBC"/>
    <w:rsid w:val="003274E6"/>
    <w:rsid w:val="003764DF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920A6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CE2035"/>
    <w:rsid w:val="00D252E5"/>
    <w:rsid w:val="00D2583B"/>
    <w:rsid w:val="00D363A4"/>
    <w:rsid w:val="00D42A58"/>
    <w:rsid w:val="00D560E0"/>
    <w:rsid w:val="00D766FD"/>
    <w:rsid w:val="00D76C59"/>
    <w:rsid w:val="00D877A8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2023-06-15T06:56:00Z</cp:lastPrinted>
  <dcterms:created xsi:type="dcterms:W3CDTF">2023-09-25T08:17:00Z</dcterms:created>
  <dcterms:modified xsi:type="dcterms:W3CDTF">2023-09-25T13:13:00Z</dcterms:modified>
</cp:coreProperties>
</file>