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3A" w:rsidRDefault="0037293A" w:rsidP="00507ECA"/>
    <w:p w:rsidR="001835C1" w:rsidRDefault="001835C1" w:rsidP="0037293A"/>
    <w:p w:rsidR="001835C1" w:rsidRPr="003E28BB" w:rsidRDefault="001835C1" w:rsidP="001835C1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IZP.271.10</w:t>
      </w:r>
      <w:r w:rsidRPr="003E28BB">
        <w:rPr>
          <w:rFonts w:ascii="Tahoma" w:hAnsi="Tahoma" w:cs="Tahoma"/>
          <w:sz w:val="20"/>
          <w:szCs w:val="20"/>
        </w:rPr>
        <w:t xml:space="preserve">.2023.PK                                   Mszana Dolna dnia </w:t>
      </w:r>
      <w:r>
        <w:rPr>
          <w:rFonts w:ascii="Tahoma" w:hAnsi="Tahoma" w:cs="Tahoma"/>
          <w:sz w:val="20"/>
          <w:szCs w:val="20"/>
        </w:rPr>
        <w:t>13.06</w:t>
      </w:r>
      <w:r w:rsidRPr="003E28BB">
        <w:rPr>
          <w:rFonts w:ascii="Tahoma" w:hAnsi="Tahoma" w:cs="Tahoma"/>
          <w:sz w:val="20"/>
          <w:szCs w:val="20"/>
        </w:rPr>
        <w:t xml:space="preserve">.2023r. </w:t>
      </w:r>
    </w:p>
    <w:p w:rsidR="001835C1" w:rsidRDefault="001835C1" w:rsidP="001835C1">
      <w:pPr>
        <w:pStyle w:val="Default"/>
      </w:pPr>
    </w:p>
    <w:p w:rsidR="001835C1" w:rsidRDefault="001835C1" w:rsidP="001835C1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1835C1" w:rsidRPr="00C61B12" w:rsidRDefault="001835C1" w:rsidP="001835C1">
      <w:pPr>
        <w:pStyle w:val="Default"/>
        <w:rPr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1835C1" w:rsidRDefault="001835C1" w:rsidP="001835C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b/>
          <w:sz w:val="22"/>
          <w:szCs w:val="22"/>
        </w:rPr>
      </w:pPr>
      <w:r w:rsidRPr="003E28BB">
        <w:rPr>
          <w:rFonts w:ascii="Tahoma" w:hAnsi="Tahoma" w:cs="Tahoma"/>
          <w:b/>
          <w:sz w:val="22"/>
          <w:szCs w:val="22"/>
        </w:rPr>
        <w:t>„</w:t>
      </w:r>
      <w:r w:rsidRPr="003E28BB">
        <w:rPr>
          <w:rStyle w:val="Pogrubienie"/>
          <w:rFonts w:ascii="Tahoma" w:hAnsi="Tahoma" w:cs="Tahoma"/>
          <w:sz w:val="22"/>
          <w:szCs w:val="22"/>
        </w:rPr>
        <w:t>MODERNIZACJA OBIEKTU SPORTOWEGO ORLIK W KASINIE WIELKIEJ</w:t>
      </w:r>
      <w:r w:rsidRPr="003E28BB">
        <w:rPr>
          <w:rFonts w:ascii="Tahoma" w:hAnsi="Tahoma" w:cs="Tahoma"/>
          <w:b/>
          <w:sz w:val="22"/>
          <w:szCs w:val="22"/>
        </w:rPr>
        <w:t>”</w:t>
      </w:r>
    </w:p>
    <w:p w:rsidR="001835C1" w:rsidRPr="003E28BB" w:rsidRDefault="001835C1" w:rsidP="001835C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2"/>
          <w:szCs w:val="22"/>
        </w:rPr>
      </w:pPr>
    </w:p>
    <w:p w:rsidR="0037293A" w:rsidRPr="001835C1" w:rsidRDefault="001835C1" w:rsidP="001835C1">
      <w:pPr>
        <w:widowControl w:val="0"/>
        <w:spacing w:after="120" w:line="120" w:lineRule="atLeast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1835C1">
        <w:rPr>
          <w:rFonts w:ascii="Tahoma" w:eastAsia="Calibri" w:hAnsi="Tahoma" w:cs="Tahoma"/>
          <w:sz w:val="20"/>
          <w:szCs w:val="20"/>
          <w:lang w:val="pl-PL"/>
        </w:rPr>
        <w:t>Działając na podstawie  art. 284 ust. 2 ustawy z 11 września 2019 r. – Prawo zamówień publicznych (</w:t>
      </w:r>
      <w:proofErr w:type="spellStart"/>
      <w:r w:rsidRPr="001835C1">
        <w:rPr>
          <w:rFonts w:ascii="Tahoma" w:eastAsia="Calibri" w:hAnsi="Tahoma" w:cs="Tahoma"/>
          <w:sz w:val="20"/>
          <w:szCs w:val="20"/>
          <w:lang w:val="pl-PL"/>
        </w:rPr>
        <w:t>Dz.U</w:t>
      </w:r>
      <w:proofErr w:type="spellEnd"/>
      <w:r w:rsidRPr="001835C1">
        <w:rPr>
          <w:rFonts w:ascii="Tahoma" w:eastAsia="Calibri" w:hAnsi="Tahoma" w:cs="Tahoma"/>
          <w:sz w:val="20"/>
          <w:szCs w:val="20"/>
          <w:lang w:val="pl-PL"/>
        </w:rPr>
        <w:t>. z 2022r poz.1710 ze zm. ), Zamawiający przekazuje poniżej treść zapytań, które wpłynęły do Zamawiającego w dniu 03.05.2023 r. wraz z udzielonymi odpowiedziami i wyjaśnieniami jak poniżej.</w:t>
      </w:r>
      <w:bookmarkStart w:id="0" w:name="_GoBack"/>
      <w:bookmarkEnd w:id="0"/>
    </w:p>
    <w:p w:rsidR="0037293A" w:rsidRPr="001835C1" w:rsidRDefault="001835C1" w:rsidP="0037293A">
      <w:pPr>
        <w:rPr>
          <w:lang w:val="pl-PL"/>
        </w:rPr>
      </w:pPr>
      <w:r w:rsidRPr="001835C1">
        <w:rPr>
          <w:lang w:val="pl-PL"/>
        </w:rPr>
        <w:t>PYTANIE 1</w:t>
      </w:r>
    </w:p>
    <w:p w:rsidR="0037293A" w:rsidRPr="001835C1" w:rsidRDefault="0037293A" w:rsidP="0037293A">
      <w:pPr>
        <w:rPr>
          <w:lang w:val="pl-PL"/>
        </w:rPr>
      </w:pPr>
      <w:r w:rsidRPr="001835C1">
        <w:rPr>
          <w:lang w:val="pl-PL"/>
        </w:rPr>
        <w:t xml:space="preserve">Zamawiający w postępowaniu podaje parametry, które </w:t>
      </w:r>
      <w:proofErr w:type="spellStart"/>
      <w:r w:rsidRPr="001835C1">
        <w:rPr>
          <w:lang w:val="pl-PL"/>
        </w:rPr>
        <w:t>spełania</w:t>
      </w:r>
      <w:proofErr w:type="spellEnd"/>
      <w:r w:rsidRPr="001835C1">
        <w:rPr>
          <w:lang w:val="pl-PL"/>
        </w:rPr>
        <w:t xml:space="preserve"> tylko jeden producent trawy. Wnosimy o dopuszczenie do przetargu jako rozwiązania równoważnego trawy  składającej się z włókna </w:t>
      </w:r>
      <w:proofErr w:type="spellStart"/>
      <w:r w:rsidRPr="001835C1">
        <w:rPr>
          <w:lang w:val="pl-PL"/>
        </w:rPr>
        <w:t>monofilowego</w:t>
      </w:r>
      <w:proofErr w:type="spellEnd"/>
      <w:r w:rsidRPr="001835C1">
        <w:rPr>
          <w:lang w:val="pl-PL"/>
        </w:rPr>
        <w:t xml:space="preserve"> prostego i kręconego. Włókno </w:t>
      </w:r>
      <w:proofErr w:type="spellStart"/>
      <w:r w:rsidRPr="001835C1">
        <w:rPr>
          <w:lang w:val="pl-PL"/>
        </w:rPr>
        <w:t>monofilowe</w:t>
      </w:r>
      <w:proofErr w:type="spellEnd"/>
      <w:r w:rsidRPr="001835C1">
        <w:rPr>
          <w:lang w:val="pl-PL"/>
        </w:rPr>
        <w:t xml:space="preserve"> </w:t>
      </w:r>
      <w:proofErr w:type="spellStart"/>
      <w:r w:rsidRPr="001835C1">
        <w:rPr>
          <w:lang w:val="pl-PL"/>
        </w:rPr>
        <w:t>teksturyzowane</w:t>
      </w:r>
      <w:proofErr w:type="spellEnd"/>
      <w:r w:rsidRPr="001835C1">
        <w:rPr>
          <w:lang w:val="pl-PL"/>
        </w:rPr>
        <w:t xml:space="preserve"> (kręcone) utrzymuje granulat przed przemieszczaniem się. Takie  rozwiązanie zapewni Zamawiającemu trawę o wysokiej jakości oraz zapewni odpowiednie warunki i komfort gry. Proponowany produkt jest ponad 3 krotnie gęściejszy niż wymagania przetargowe a co najważniejsze i istotne spełnia wymagania normy obowiązującej dla sztucznych traw EN 15330-1:2013. Zaproponowana przez nas nawierzchnia to trawa </w:t>
      </w:r>
      <w:proofErr w:type="spellStart"/>
      <w:r w:rsidRPr="001835C1">
        <w:rPr>
          <w:lang w:val="pl-PL"/>
        </w:rPr>
        <w:t>tzw</w:t>
      </w:r>
      <w:proofErr w:type="spellEnd"/>
      <w:r w:rsidRPr="001835C1">
        <w:rPr>
          <w:lang w:val="pl-PL"/>
        </w:rPr>
        <w:t xml:space="preserve"> </w:t>
      </w:r>
      <w:proofErr w:type="spellStart"/>
      <w:r w:rsidRPr="001835C1">
        <w:rPr>
          <w:lang w:val="pl-PL"/>
        </w:rPr>
        <w:t>bezzasypowa</w:t>
      </w:r>
      <w:proofErr w:type="spellEnd"/>
      <w:r w:rsidRPr="001835C1">
        <w:rPr>
          <w:lang w:val="pl-PL"/>
        </w:rPr>
        <w:t xml:space="preserve">, która zapewnia odpowiednie warunki do gry w piłkę nożną. Trawę tę przysypuje się małą ilością piasku w celu dociążenia nawierzchni. Zaproponowane parametry są typowe i charakterystyczne dla tego typu nawierzchni. Dopuszczenie do przetargu poniższego rozwiązania przyczyni się do poszerzenia konkurencyjności. 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Proponowane przez nas parametry nawierzchni: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1.</w:t>
      </w:r>
      <w:r w:rsidRPr="001835C1">
        <w:rPr>
          <w:lang w:val="pl-PL"/>
        </w:rPr>
        <w:tab/>
        <w:t xml:space="preserve">typ włókna – </w:t>
      </w:r>
      <w:proofErr w:type="spellStart"/>
      <w:r w:rsidRPr="001835C1">
        <w:rPr>
          <w:lang w:val="pl-PL"/>
        </w:rPr>
        <w:t>Monofilowe</w:t>
      </w:r>
      <w:proofErr w:type="spellEnd"/>
      <w:r w:rsidRPr="001835C1">
        <w:rPr>
          <w:lang w:val="pl-PL"/>
        </w:rPr>
        <w:t xml:space="preserve"> PE -kombinacja włókien prostych i skręconych, min. 3 rodzaje włókien w tym 1 rodzaj włókna prostego i 2 rodzaje włókna skręconego, potwierdzone stosownym raportem z badań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2.</w:t>
      </w:r>
      <w:r w:rsidRPr="001835C1">
        <w:rPr>
          <w:lang w:val="pl-PL"/>
        </w:rPr>
        <w:tab/>
        <w:t>wysokość włókien ponad podkładem min. 30 max.35 mm,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 xml:space="preserve">3. </w:t>
      </w:r>
      <w:r w:rsidRPr="001835C1">
        <w:rPr>
          <w:lang w:val="pl-PL"/>
        </w:rPr>
        <w:tab/>
      </w:r>
      <w:proofErr w:type="spellStart"/>
      <w:r w:rsidRPr="001835C1">
        <w:rPr>
          <w:lang w:val="pl-PL"/>
        </w:rPr>
        <w:t>dtex</w:t>
      </w:r>
      <w:proofErr w:type="spellEnd"/>
      <w:r w:rsidRPr="001835C1">
        <w:rPr>
          <w:lang w:val="pl-PL"/>
        </w:rPr>
        <w:t>: min. 29500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 xml:space="preserve">4. </w:t>
      </w:r>
      <w:r w:rsidRPr="001835C1">
        <w:rPr>
          <w:lang w:val="pl-PL"/>
        </w:rPr>
        <w:tab/>
        <w:t>grubość włókien: min. 390 mikronów, 280mikronów i 180 mikronów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5.</w:t>
      </w:r>
      <w:r w:rsidRPr="001835C1">
        <w:rPr>
          <w:lang w:val="pl-PL"/>
        </w:rPr>
        <w:tab/>
        <w:t>ilość pęczków - min 18.800 / m2,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 xml:space="preserve">6. </w:t>
      </w:r>
      <w:r w:rsidRPr="001835C1">
        <w:rPr>
          <w:lang w:val="pl-PL"/>
        </w:rPr>
        <w:tab/>
        <w:t>ilość włókien – min. 490.000 / m2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7.</w:t>
      </w:r>
      <w:r w:rsidRPr="001835C1">
        <w:rPr>
          <w:lang w:val="pl-PL"/>
        </w:rPr>
        <w:tab/>
        <w:t>waga włókna – min 2600 g/ m2,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8.</w:t>
      </w:r>
      <w:r w:rsidRPr="001835C1">
        <w:rPr>
          <w:lang w:val="pl-PL"/>
        </w:rPr>
        <w:tab/>
        <w:t>waga całkowita nawierzchni – min 4.150 g/ m2,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9.</w:t>
      </w:r>
      <w:r w:rsidRPr="001835C1">
        <w:rPr>
          <w:lang w:val="pl-PL"/>
        </w:rPr>
        <w:tab/>
        <w:t>przepuszczalność wody dla systemu – min 2450 mm/h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10.</w:t>
      </w:r>
      <w:r w:rsidRPr="001835C1">
        <w:rPr>
          <w:lang w:val="pl-PL"/>
        </w:rPr>
        <w:tab/>
        <w:t>siła wyrywania pęczka przed starzeniem wodą: min. 80N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 xml:space="preserve">11. </w:t>
      </w:r>
      <w:r w:rsidRPr="001835C1">
        <w:rPr>
          <w:lang w:val="pl-PL"/>
        </w:rPr>
        <w:tab/>
        <w:t>siła wyrywania pęczka po starzeniu wodą: min. 75N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12.</w:t>
      </w:r>
      <w:r w:rsidRPr="001835C1">
        <w:rPr>
          <w:lang w:val="pl-PL"/>
        </w:rPr>
        <w:tab/>
        <w:t>wytrzymałość łączenia klejonego przed starzeniem wodą: min. 190N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 xml:space="preserve">13. </w:t>
      </w:r>
      <w:r w:rsidRPr="001835C1">
        <w:rPr>
          <w:lang w:val="pl-PL"/>
        </w:rPr>
        <w:tab/>
        <w:t>wytrzymałość łączenia klejonego po starzeniem wodą: min. 180N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14.</w:t>
      </w:r>
      <w:r w:rsidRPr="001835C1">
        <w:rPr>
          <w:lang w:val="pl-PL"/>
        </w:rPr>
        <w:tab/>
        <w:t>kolor – zielony dwukolorowy</w:t>
      </w:r>
    </w:p>
    <w:p w:rsidR="0037293A" w:rsidRPr="001835C1" w:rsidRDefault="0037293A" w:rsidP="0037293A">
      <w:pPr>
        <w:rPr>
          <w:lang w:val="pl-PL"/>
        </w:rPr>
      </w:pPr>
      <w:r w:rsidRPr="001835C1">
        <w:rPr>
          <w:lang w:val="pl-PL"/>
        </w:rPr>
        <w:t xml:space="preserve">15. </w:t>
      </w:r>
      <w:r w:rsidRPr="001835C1">
        <w:rPr>
          <w:lang w:val="pl-PL"/>
        </w:rPr>
        <w:tab/>
        <w:t>Podkład amortyzujący prefabrykowany, polietylenowy o grubości min. 10mm zgodny z badaniem laboratoryjnym</w:t>
      </w:r>
    </w:p>
    <w:p w:rsidR="0037293A" w:rsidRPr="001835C1" w:rsidRDefault="0037293A" w:rsidP="0037293A">
      <w:pPr>
        <w:rPr>
          <w:lang w:val="pl-PL"/>
        </w:rPr>
      </w:pPr>
      <w:r w:rsidRPr="001835C1">
        <w:rPr>
          <w:lang w:val="pl-PL"/>
        </w:rPr>
        <w:lastRenderedPageBreak/>
        <w:t>Dokumenty potwierdzające minimalne parametry oferowanej nawierzchni: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1.</w:t>
      </w:r>
      <w:r w:rsidRPr="001835C1">
        <w:rPr>
          <w:lang w:val="pl-PL"/>
        </w:rPr>
        <w:tab/>
        <w:t>Raport z badań specjalistycznego laboratorium na zgodność z normą PN-EN 15330-1 potwierdzający  wszystkie parametry oferowanego systemu nawierzchni  (</w:t>
      </w:r>
      <w:proofErr w:type="spellStart"/>
      <w:r w:rsidRPr="001835C1">
        <w:rPr>
          <w:lang w:val="pl-PL"/>
        </w:rPr>
        <w:t>trawa+podkład</w:t>
      </w:r>
      <w:proofErr w:type="spellEnd"/>
      <w:r w:rsidRPr="001835C1">
        <w:rPr>
          <w:lang w:val="pl-PL"/>
        </w:rPr>
        <w:t>) wymagane w dokumentacji. Parametry oferowanej nawierzchni muszą być wszystkie potwierdzone w jednym raporcie.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2.</w:t>
      </w:r>
      <w:r w:rsidRPr="001835C1">
        <w:rPr>
          <w:lang w:val="pl-PL"/>
        </w:rPr>
        <w:tab/>
        <w:t xml:space="preserve">badanie reakcji na ogień dla oferowanej trawy syntetycznej wg normy EN 13501-1 wykonane przez akredytowane laboratorium potwierdzające </w:t>
      </w:r>
      <w:proofErr w:type="spellStart"/>
      <w:r w:rsidRPr="001835C1">
        <w:rPr>
          <w:lang w:val="pl-PL"/>
        </w:rPr>
        <w:t>trudnozapalność</w:t>
      </w:r>
      <w:proofErr w:type="spellEnd"/>
      <w:r w:rsidRPr="001835C1">
        <w:rPr>
          <w:lang w:val="pl-PL"/>
        </w:rPr>
        <w:t xml:space="preserve"> dla klasy , min. Bfl-s1 dla oferowanej trawy syntetycznej  (podkład </w:t>
      </w:r>
      <w:proofErr w:type="spellStart"/>
      <w:r w:rsidRPr="001835C1">
        <w:rPr>
          <w:lang w:val="pl-PL"/>
        </w:rPr>
        <w:t>amortyzujący+sztuczna</w:t>
      </w:r>
      <w:proofErr w:type="spellEnd"/>
      <w:r w:rsidRPr="001835C1">
        <w:rPr>
          <w:lang w:val="pl-PL"/>
        </w:rPr>
        <w:t xml:space="preserve"> </w:t>
      </w:r>
      <w:proofErr w:type="spellStart"/>
      <w:r w:rsidRPr="001835C1">
        <w:rPr>
          <w:lang w:val="pl-PL"/>
        </w:rPr>
        <w:t>trawa+piasek</w:t>
      </w:r>
      <w:proofErr w:type="spellEnd"/>
      <w:r w:rsidRPr="001835C1">
        <w:rPr>
          <w:lang w:val="pl-PL"/>
        </w:rPr>
        <w:t xml:space="preserve"> kwarcowy). 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3.</w:t>
      </w:r>
      <w:r w:rsidRPr="001835C1">
        <w:rPr>
          <w:lang w:val="pl-PL"/>
        </w:rPr>
        <w:tab/>
        <w:t>atest PZH lub równoważny dla trawy syntetycznej oraz zastosowanego podkładu amortyzującego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4.</w:t>
      </w:r>
      <w:r w:rsidRPr="001835C1">
        <w:rPr>
          <w:lang w:val="pl-PL"/>
        </w:rPr>
        <w:tab/>
        <w:t>autoryzacja producenta trawy syntetycznej, wystawiona dla wykonawcy na realizowaną inwestycję wraz z potwierdzeniem gwarancji udzielonej przez producenta na tę nawierzchnię.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5.</w:t>
      </w:r>
      <w:r w:rsidRPr="001835C1">
        <w:rPr>
          <w:lang w:val="pl-PL"/>
        </w:rPr>
        <w:tab/>
        <w:t>Posiadanie przez producenta statusu licencjonowanego producenta FIFA (FLP)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6.</w:t>
      </w:r>
      <w:r w:rsidRPr="001835C1">
        <w:rPr>
          <w:lang w:val="pl-PL"/>
        </w:rPr>
        <w:tab/>
        <w:t>karta techniczna oferowanej trawy syntetycznej oraz podkładu potwierdzona przez jej producenta.</w:t>
      </w:r>
    </w:p>
    <w:p w:rsidR="0037293A" w:rsidRPr="001835C1" w:rsidRDefault="0037293A" w:rsidP="001835C1">
      <w:pPr>
        <w:spacing w:after="0"/>
        <w:rPr>
          <w:lang w:val="pl-PL"/>
        </w:rPr>
      </w:pPr>
      <w:r w:rsidRPr="001835C1">
        <w:rPr>
          <w:lang w:val="pl-PL"/>
        </w:rPr>
        <w:t>7.</w:t>
      </w:r>
      <w:r w:rsidRPr="001835C1">
        <w:rPr>
          <w:lang w:val="pl-PL"/>
        </w:rPr>
        <w:tab/>
        <w:t xml:space="preserve">Raport z badań testu </w:t>
      </w:r>
      <w:proofErr w:type="spellStart"/>
      <w:r w:rsidRPr="001835C1">
        <w:rPr>
          <w:lang w:val="pl-PL"/>
        </w:rPr>
        <w:t>Lisport</w:t>
      </w:r>
      <w:proofErr w:type="spellEnd"/>
      <w:r w:rsidRPr="001835C1">
        <w:rPr>
          <w:lang w:val="pl-PL"/>
        </w:rPr>
        <w:t xml:space="preserve"> na min. 500.000 cykli dla włókna prostego oferowanej trawy syntetycznej przeprowadzony przez niezależne i akredytowane przez </w:t>
      </w:r>
      <w:proofErr w:type="spellStart"/>
      <w:r w:rsidRPr="001835C1">
        <w:rPr>
          <w:lang w:val="pl-PL"/>
        </w:rPr>
        <w:t>Fifa</w:t>
      </w:r>
      <w:proofErr w:type="spellEnd"/>
      <w:r w:rsidRPr="001835C1">
        <w:rPr>
          <w:lang w:val="pl-PL"/>
        </w:rPr>
        <w:t xml:space="preserve"> laboratorium zgodnie z normą EN 15306 „Nawierzchnie do otwartych terenów sportowych – narażenie trawy na oddziaływania” . Dopuszcza się badania dla innego modelu trawy wykonanej z dokładnie tego samego rodzaju włókna co oferowana nawierzchnia</w:t>
      </w:r>
    </w:p>
    <w:p w:rsidR="001835C1" w:rsidRDefault="001835C1" w:rsidP="001835C1"/>
    <w:p w:rsidR="001835C1" w:rsidRPr="001835C1" w:rsidRDefault="001835C1" w:rsidP="001835C1">
      <w:pPr>
        <w:rPr>
          <w:lang w:val="pl-PL"/>
        </w:rPr>
      </w:pPr>
      <w:r w:rsidRPr="001835C1">
        <w:rPr>
          <w:lang w:val="pl-PL"/>
        </w:rPr>
        <w:t>Ad.1</w:t>
      </w:r>
    </w:p>
    <w:p w:rsidR="001835C1" w:rsidRDefault="001835C1" w:rsidP="001835C1">
      <w:pPr>
        <w:rPr>
          <w:lang w:val="pl-PL"/>
        </w:rPr>
      </w:pPr>
      <w:r>
        <w:rPr>
          <w:lang w:val="pl-PL"/>
        </w:rPr>
        <w:t>W odpowie</w:t>
      </w:r>
      <w:r w:rsidRPr="001835C1">
        <w:rPr>
          <w:lang w:val="pl-PL"/>
        </w:rPr>
        <w:t xml:space="preserve">dzi  na </w:t>
      </w:r>
      <w:r>
        <w:rPr>
          <w:lang w:val="pl-PL"/>
        </w:rPr>
        <w:t xml:space="preserve">skierowane </w:t>
      </w:r>
      <w:r w:rsidRPr="001835C1">
        <w:rPr>
          <w:lang w:val="pl-PL"/>
        </w:rPr>
        <w:t xml:space="preserve"> zapytanie  </w:t>
      </w:r>
      <w:r>
        <w:rPr>
          <w:lang w:val="pl-PL"/>
        </w:rPr>
        <w:t>Zamawiający wyjaśnia, iż dopuszcza  zaproponowany produkt</w:t>
      </w:r>
      <w:r w:rsidRPr="001835C1">
        <w:rPr>
          <w:lang w:val="pl-PL"/>
        </w:rPr>
        <w:t xml:space="preserve">  jakim jest przedstawiona charakterystyka mat sztucznej trawy</w:t>
      </w:r>
      <w:r>
        <w:rPr>
          <w:lang w:val="pl-PL"/>
        </w:rPr>
        <w:t>,</w:t>
      </w:r>
      <w:r w:rsidRPr="001835C1">
        <w:rPr>
          <w:lang w:val="pl-PL"/>
        </w:rPr>
        <w:t xml:space="preserve"> która przy </w:t>
      </w:r>
      <w:r>
        <w:rPr>
          <w:lang w:val="pl-PL"/>
        </w:rPr>
        <w:t>przyjęciu grubości włó</w:t>
      </w:r>
      <w:r w:rsidRPr="001835C1">
        <w:rPr>
          <w:lang w:val="pl-PL"/>
        </w:rPr>
        <w:t>kien na poziomi</w:t>
      </w:r>
      <w:r>
        <w:rPr>
          <w:lang w:val="pl-PL"/>
        </w:rPr>
        <w:t>e min 300 mikronów spełnia okreś</w:t>
      </w:r>
      <w:r w:rsidRPr="001835C1">
        <w:rPr>
          <w:lang w:val="pl-PL"/>
        </w:rPr>
        <w:t>lon</w:t>
      </w:r>
      <w:r>
        <w:rPr>
          <w:lang w:val="pl-PL"/>
        </w:rPr>
        <w:t xml:space="preserve">e wymagania Zamawiającego, </w:t>
      </w:r>
      <w:r w:rsidRPr="001835C1">
        <w:rPr>
          <w:lang w:val="pl-PL"/>
        </w:rPr>
        <w:t xml:space="preserve"> jednak </w:t>
      </w:r>
      <w:r>
        <w:rPr>
          <w:lang w:val="pl-PL"/>
        </w:rPr>
        <w:t xml:space="preserve">pod  warunkiem  wypełnienia </w:t>
      </w:r>
      <w:r w:rsidRPr="001835C1">
        <w:rPr>
          <w:lang w:val="pl-PL"/>
        </w:rPr>
        <w:t xml:space="preserve"> trawy produktem wieloskładnikowym granulatem typu </w:t>
      </w:r>
      <w:proofErr w:type="spellStart"/>
      <w:r w:rsidRPr="001835C1">
        <w:rPr>
          <w:lang w:val="pl-PL"/>
        </w:rPr>
        <w:t>bioflex</w:t>
      </w:r>
      <w:proofErr w:type="spellEnd"/>
      <w:r w:rsidRPr="001835C1">
        <w:rPr>
          <w:lang w:val="pl-PL"/>
        </w:rPr>
        <w:t xml:space="preserve"> kwarco</w:t>
      </w:r>
      <w:r>
        <w:rPr>
          <w:lang w:val="pl-PL"/>
        </w:rPr>
        <w:t xml:space="preserve">wym powlekanym o średnicy ziaren </w:t>
      </w:r>
      <w:r w:rsidRPr="001835C1">
        <w:rPr>
          <w:lang w:val="pl-PL"/>
        </w:rPr>
        <w:t xml:space="preserve"> 0,8do 1,2 </w:t>
      </w:r>
      <w:proofErr w:type="spellStart"/>
      <w:r w:rsidRPr="001835C1">
        <w:rPr>
          <w:lang w:val="pl-PL"/>
        </w:rPr>
        <w:t>mm</w:t>
      </w:r>
      <w:proofErr w:type="spellEnd"/>
      <w:r w:rsidRPr="001835C1">
        <w:rPr>
          <w:lang w:val="pl-PL"/>
        </w:rPr>
        <w:t xml:space="preserve">. Pozostałe parametry </w:t>
      </w:r>
      <w:proofErr w:type="spellStart"/>
      <w:r w:rsidRPr="001835C1">
        <w:rPr>
          <w:lang w:val="pl-PL"/>
        </w:rPr>
        <w:t>wg</w:t>
      </w:r>
      <w:proofErr w:type="spellEnd"/>
      <w:r w:rsidRPr="001835C1">
        <w:rPr>
          <w:lang w:val="pl-PL"/>
        </w:rPr>
        <w:t>. specyfikacji</w:t>
      </w:r>
      <w:r>
        <w:rPr>
          <w:lang w:val="pl-PL"/>
        </w:rPr>
        <w:t xml:space="preserve">. </w:t>
      </w:r>
    </w:p>
    <w:p w:rsidR="00AE7D15" w:rsidRPr="001835C1" w:rsidRDefault="00AE7D15" w:rsidP="001835C1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Z-ca Wójta /-/ Katarzyna Szybiak</w:t>
      </w:r>
    </w:p>
    <w:p w:rsidR="00D02A62" w:rsidRPr="001835C1" w:rsidRDefault="00D02A62" w:rsidP="00507ECA">
      <w:pPr>
        <w:rPr>
          <w:lang w:val="pl-PL"/>
        </w:rPr>
      </w:pPr>
    </w:p>
    <w:sectPr w:rsidR="00D02A62" w:rsidRPr="001835C1" w:rsidSect="00085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07ECA"/>
    <w:rsid w:val="000856E6"/>
    <w:rsid w:val="001835C1"/>
    <w:rsid w:val="0037293A"/>
    <w:rsid w:val="00507ECA"/>
    <w:rsid w:val="00645DE2"/>
    <w:rsid w:val="006A1BCE"/>
    <w:rsid w:val="009E105E"/>
    <w:rsid w:val="00AC6E18"/>
    <w:rsid w:val="00AE0E26"/>
    <w:rsid w:val="00AE7D15"/>
    <w:rsid w:val="00B223D6"/>
    <w:rsid w:val="00D02A62"/>
    <w:rsid w:val="00DA7EF8"/>
    <w:rsid w:val="00D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paragraph" w:customStyle="1" w:styleId="Default">
    <w:name w:val="Default"/>
    <w:rsid w:val="00183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18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Gołębiewska</dc:creator>
  <cp:lastModifiedBy>Bozena</cp:lastModifiedBy>
  <cp:revision>2</cp:revision>
  <dcterms:created xsi:type="dcterms:W3CDTF">2023-06-13T12:30:00Z</dcterms:created>
  <dcterms:modified xsi:type="dcterms:W3CDTF">2023-06-13T12:30:00Z</dcterms:modified>
</cp:coreProperties>
</file>