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F64A0" w14:textId="3C83C3D4" w:rsidR="008626F4" w:rsidRDefault="00634B86" w:rsidP="003E127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PROJEKT</w:t>
      </w:r>
    </w:p>
    <w:p w14:paraId="1E3E4D7C" w14:textId="77777777" w:rsidR="0038131D" w:rsidRPr="00050480" w:rsidRDefault="0038131D" w:rsidP="003E127D">
      <w:pPr>
        <w:jc w:val="center"/>
        <w:rPr>
          <w:b/>
          <w:bCs/>
          <w:sz w:val="32"/>
          <w:szCs w:val="32"/>
        </w:rPr>
      </w:pPr>
    </w:p>
    <w:p w14:paraId="2898792F" w14:textId="789F86AC" w:rsidR="008626F4" w:rsidRPr="00050480" w:rsidRDefault="00634B86" w:rsidP="005A15AC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Naprawa rusztu drewnianego podłogi w hali sportowej wraz z ułożeniem nowej wykładziny</w:t>
      </w:r>
    </w:p>
    <w:p w14:paraId="2C592D4A" w14:textId="77777777" w:rsidR="003E127D" w:rsidRDefault="003E127D"/>
    <w:p w14:paraId="39DAE559" w14:textId="210F5299" w:rsidR="003E127D" w:rsidRDefault="00634B86">
      <w:r>
        <w:t>Kod wg CPV: 45212200-8 Roboty budowlane w zakresie budowy obiektów sportowych</w:t>
      </w:r>
    </w:p>
    <w:p w14:paraId="389D328E" w14:textId="49210F6E" w:rsidR="003E127D" w:rsidRDefault="003E127D"/>
    <w:p w14:paraId="1459D923" w14:textId="55EBD5F3" w:rsidR="00FD04E4" w:rsidRDefault="00FD04E4"/>
    <w:p w14:paraId="537BBAFF" w14:textId="4CC19BCF" w:rsidR="00FD04E4" w:rsidRDefault="00FD04E4"/>
    <w:p w14:paraId="3A831F81" w14:textId="77777777" w:rsidR="00FD04E4" w:rsidRDefault="00FD04E4"/>
    <w:p w14:paraId="5601AECE" w14:textId="77777777" w:rsidR="003E127D" w:rsidRDefault="003E127D"/>
    <w:p w14:paraId="0E933AD0" w14:textId="77777777" w:rsidR="003E127D" w:rsidRDefault="003E127D"/>
    <w:p w14:paraId="6948DE5C" w14:textId="77777777" w:rsidR="003E127D" w:rsidRDefault="003E127D"/>
    <w:p w14:paraId="02B022E2" w14:textId="77777777" w:rsidR="003E127D" w:rsidRDefault="003E127D"/>
    <w:p w14:paraId="67BC0127" w14:textId="77777777" w:rsidR="003E127D" w:rsidRDefault="003E127D"/>
    <w:p w14:paraId="4D0E7605" w14:textId="3A36EA01" w:rsidR="003E127D" w:rsidRDefault="003E127D" w:rsidP="006F1449">
      <w:pPr>
        <w:spacing w:after="0"/>
      </w:pPr>
      <w:r>
        <w:t>Lokalizacja:</w:t>
      </w:r>
    </w:p>
    <w:p w14:paraId="3BF717CA" w14:textId="6CDDC6A4" w:rsidR="003774D7" w:rsidRDefault="003774D7" w:rsidP="006F1449">
      <w:pPr>
        <w:spacing w:after="0"/>
      </w:pPr>
      <w:r>
        <w:t>Akademia Nauk Stosowanych w Tarnowie</w:t>
      </w:r>
    </w:p>
    <w:p w14:paraId="5D59E2BF" w14:textId="1158688B" w:rsidR="00C31B1F" w:rsidRDefault="00C31B1F" w:rsidP="006F1449">
      <w:pPr>
        <w:spacing w:after="0"/>
      </w:pPr>
      <w:r>
        <w:t>ul. Mickiewicza 8, 33-100 Tarnów</w:t>
      </w:r>
    </w:p>
    <w:p w14:paraId="05668903" w14:textId="32852F61" w:rsidR="00C31B1F" w:rsidRDefault="00C31B1F"/>
    <w:p w14:paraId="3A775988" w14:textId="0FB28037" w:rsidR="003E127D" w:rsidRDefault="003E127D"/>
    <w:p w14:paraId="4DED6E3C" w14:textId="28AACCBD" w:rsidR="003E127D" w:rsidRDefault="003E127D"/>
    <w:p w14:paraId="3B7D3970" w14:textId="4E11622A" w:rsidR="003E127D" w:rsidRDefault="003E127D"/>
    <w:p w14:paraId="0BEFD55B" w14:textId="0AD8AD59" w:rsidR="003E127D" w:rsidRDefault="003E127D"/>
    <w:p w14:paraId="357EE608" w14:textId="535C6065" w:rsidR="003E127D" w:rsidRDefault="003E127D"/>
    <w:p w14:paraId="5D4FB546" w14:textId="55EA3869" w:rsidR="00FD04E4" w:rsidRDefault="00FD04E4"/>
    <w:p w14:paraId="15830943" w14:textId="5F06FF24" w:rsidR="00FD04E4" w:rsidRDefault="00FD04E4"/>
    <w:p w14:paraId="285EA33A" w14:textId="47EEFA71" w:rsidR="00A80636" w:rsidRDefault="00A80636" w:rsidP="00050480">
      <w:pPr>
        <w:spacing w:after="0"/>
      </w:pPr>
      <w:r>
        <w:t>Opracował:</w:t>
      </w:r>
    </w:p>
    <w:p w14:paraId="131A8023" w14:textId="09FC6D9D" w:rsidR="003774D7" w:rsidRDefault="00A80636" w:rsidP="00050480">
      <w:pPr>
        <w:spacing w:after="0"/>
      </w:pPr>
      <w:r>
        <w:t>Janusz Kozioł</w:t>
      </w:r>
    </w:p>
    <w:p w14:paraId="25CC08DA" w14:textId="77777777" w:rsidR="00FD04E4" w:rsidRDefault="00FD04E4"/>
    <w:p w14:paraId="7CE64927" w14:textId="5F2E3506" w:rsidR="00050480" w:rsidRDefault="00050480"/>
    <w:p w14:paraId="1DCEA7E2" w14:textId="77777777" w:rsidR="006F1449" w:rsidRDefault="006F1449"/>
    <w:p w14:paraId="2090EF90" w14:textId="2BCFD824" w:rsidR="003E127D" w:rsidRDefault="003E127D" w:rsidP="00FD04E4">
      <w:pPr>
        <w:jc w:val="center"/>
      </w:pPr>
      <w:r>
        <w:t xml:space="preserve">Tarnów, dnia </w:t>
      </w:r>
      <w:r w:rsidR="00634B86">
        <w:t>22.06</w:t>
      </w:r>
      <w:r>
        <w:t>.2022 r.</w:t>
      </w:r>
    </w:p>
    <w:p w14:paraId="7A655F1E" w14:textId="32008AB3" w:rsidR="00C31B1F" w:rsidRDefault="00050480" w:rsidP="00472C84">
      <w:pPr>
        <w:spacing w:after="0" w:line="240" w:lineRule="auto"/>
        <w:ind w:left="426"/>
        <w:jc w:val="center"/>
        <w:rPr>
          <w:u w:val="single"/>
        </w:rPr>
      </w:pPr>
      <w:r w:rsidRPr="00232C13">
        <w:rPr>
          <w:u w:val="single"/>
        </w:rPr>
        <w:lastRenderedPageBreak/>
        <w:t>OPIS TECHNICZNY</w:t>
      </w:r>
    </w:p>
    <w:p w14:paraId="35F25D51" w14:textId="77777777" w:rsidR="00472C84" w:rsidRPr="00232C13" w:rsidRDefault="00472C84" w:rsidP="00472C84">
      <w:pPr>
        <w:spacing w:after="0" w:line="240" w:lineRule="auto"/>
        <w:ind w:left="426"/>
        <w:rPr>
          <w:u w:val="single"/>
        </w:rPr>
      </w:pPr>
    </w:p>
    <w:p w14:paraId="7C706B43" w14:textId="2DF927B5" w:rsidR="00472C84" w:rsidRPr="00F045B6" w:rsidRDefault="00F045B6" w:rsidP="009A0A47">
      <w:pPr>
        <w:pStyle w:val="Bezodstpw"/>
        <w:numPr>
          <w:ilvl w:val="0"/>
          <w:numId w:val="43"/>
        </w:numPr>
        <w:ind w:left="284" w:hanging="284"/>
      </w:pPr>
      <w:r w:rsidRPr="00F045B6">
        <w:t>PODSTAWA OPRACOWANIA</w:t>
      </w:r>
      <w:r w:rsidR="00472C84">
        <w:t>.</w:t>
      </w:r>
    </w:p>
    <w:p w14:paraId="2D3C90A2" w14:textId="68F5BEF1" w:rsidR="00C31B1F" w:rsidRDefault="009A0A47" w:rsidP="009A0A47">
      <w:pPr>
        <w:pStyle w:val="Akapitzlist"/>
        <w:numPr>
          <w:ilvl w:val="1"/>
          <w:numId w:val="1"/>
        </w:numPr>
        <w:spacing w:after="0" w:line="240" w:lineRule="auto"/>
        <w:ind w:left="426" w:hanging="426"/>
      </w:pPr>
      <w:r>
        <w:t xml:space="preserve"> </w:t>
      </w:r>
      <w:r w:rsidR="00232C13">
        <w:t>Z</w:t>
      </w:r>
      <w:r w:rsidR="00C31B1F">
        <w:t>lecenie Inwestora</w:t>
      </w:r>
      <w:r w:rsidR="00050480">
        <w:t>,</w:t>
      </w:r>
    </w:p>
    <w:p w14:paraId="25EA0C20" w14:textId="3B8EB1DD" w:rsidR="00C31B1F" w:rsidRDefault="00232C13" w:rsidP="009A0A47">
      <w:pPr>
        <w:pStyle w:val="Akapitzlist"/>
        <w:numPr>
          <w:ilvl w:val="1"/>
          <w:numId w:val="1"/>
        </w:numPr>
        <w:spacing w:after="0" w:line="240" w:lineRule="auto"/>
        <w:ind w:left="426" w:hanging="426"/>
      </w:pPr>
      <w:r>
        <w:t>I</w:t>
      </w:r>
      <w:r w:rsidR="00C31B1F">
        <w:t>nwentaryzacja budynku w niezbędnym zakresie, oględziny budynku z natury</w:t>
      </w:r>
      <w:r w:rsidR="00050480">
        <w:t>,</w:t>
      </w:r>
    </w:p>
    <w:p w14:paraId="3F5EFB85" w14:textId="1F6F9206" w:rsidR="004613CC" w:rsidRDefault="00232C13" w:rsidP="009A0A47">
      <w:pPr>
        <w:pStyle w:val="Akapitzlist"/>
        <w:numPr>
          <w:ilvl w:val="1"/>
          <w:numId w:val="1"/>
        </w:numPr>
        <w:spacing w:after="0" w:line="240" w:lineRule="auto"/>
        <w:ind w:left="426" w:hanging="426"/>
      </w:pPr>
      <w:r>
        <w:t>O</w:t>
      </w:r>
      <w:r w:rsidR="004613CC">
        <w:t>bowiązujące akty prawne i normy</w:t>
      </w:r>
      <w:r w:rsidR="00050480">
        <w:t>,</w:t>
      </w:r>
    </w:p>
    <w:p w14:paraId="1872F3E8" w14:textId="716F1BD6" w:rsidR="004613CC" w:rsidRDefault="00232C13" w:rsidP="009A0A47">
      <w:pPr>
        <w:pStyle w:val="Akapitzlist"/>
        <w:numPr>
          <w:ilvl w:val="1"/>
          <w:numId w:val="1"/>
        </w:numPr>
        <w:spacing w:after="0" w:line="240" w:lineRule="auto"/>
        <w:ind w:left="426" w:hanging="426"/>
      </w:pPr>
      <w:r>
        <w:t>U</w:t>
      </w:r>
      <w:r w:rsidR="004613CC">
        <w:t>zgodnienia z Inwestorem</w:t>
      </w:r>
      <w:r w:rsidR="00050480">
        <w:t>.</w:t>
      </w:r>
    </w:p>
    <w:p w14:paraId="28B4207A" w14:textId="77777777" w:rsidR="00F045B6" w:rsidRDefault="00F045B6" w:rsidP="00472C84">
      <w:pPr>
        <w:pStyle w:val="Akapitzlist"/>
        <w:spacing w:after="0" w:line="240" w:lineRule="auto"/>
        <w:ind w:left="426"/>
      </w:pPr>
    </w:p>
    <w:p w14:paraId="7A6D568A" w14:textId="69E3E7D9" w:rsidR="00C31B1F" w:rsidRDefault="00F045B6" w:rsidP="009A0A47">
      <w:pPr>
        <w:pStyle w:val="Bezodstpw"/>
        <w:numPr>
          <w:ilvl w:val="0"/>
          <w:numId w:val="1"/>
        </w:numPr>
        <w:ind w:left="284" w:hanging="295"/>
      </w:pPr>
      <w:r w:rsidRPr="00472C84">
        <w:t xml:space="preserve">PRZEDMIOT </w:t>
      </w:r>
      <w:r w:rsidR="00C37DAE" w:rsidRPr="00472C84">
        <w:t>ZAMÓ</w:t>
      </w:r>
      <w:r w:rsidR="00472C84">
        <w:t>WIENIA.</w:t>
      </w:r>
    </w:p>
    <w:p w14:paraId="4895FE1C" w14:textId="77777777" w:rsidR="00472C84" w:rsidRPr="00472C84" w:rsidRDefault="00472C84" w:rsidP="00472C84">
      <w:pPr>
        <w:pStyle w:val="Bezodstpw"/>
        <w:ind w:left="720"/>
      </w:pPr>
    </w:p>
    <w:p w14:paraId="03CA8234" w14:textId="39CC905B" w:rsidR="00C31B1F" w:rsidRPr="009A0A47" w:rsidRDefault="00C31B1F" w:rsidP="009A0A47">
      <w:pPr>
        <w:spacing w:after="0" w:line="240" w:lineRule="auto"/>
        <w:jc w:val="both"/>
      </w:pPr>
      <w:r w:rsidRPr="009A0A47">
        <w:t xml:space="preserve">Przedmiotem </w:t>
      </w:r>
      <w:r w:rsidR="007D07D2" w:rsidRPr="009A0A47">
        <w:t xml:space="preserve">zamówienia </w:t>
      </w:r>
      <w:r w:rsidRPr="009A0A47">
        <w:t xml:space="preserve">jest </w:t>
      </w:r>
      <w:r w:rsidR="00634B86" w:rsidRPr="009A0A47">
        <w:rPr>
          <w:bCs/>
        </w:rPr>
        <w:t>naprawa rusztu drewnianego podłogi w hali sportowej wraz z ułożeniem nowej wykładziny</w:t>
      </w:r>
      <w:r w:rsidR="00634B86" w:rsidRPr="009A0A47">
        <w:rPr>
          <w:b/>
          <w:bCs/>
        </w:rPr>
        <w:t xml:space="preserve"> </w:t>
      </w:r>
      <w:r w:rsidRPr="009A0A47">
        <w:t xml:space="preserve">w budynku </w:t>
      </w:r>
      <w:r w:rsidR="00634B86" w:rsidRPr="009A0A47">
        <w:t xml:space="preserve">E </w:t>
      </w:r>
      <w:r w:rsidRPr="009A0A47">
        <w:t xml:space="preserve"> </w:t>
      </w:r>
      <w:r w:rsidR="00FA62B6" w:rsidRPr="009A0A47">
        <w:t>Akademii Nauk Stosowanych</w:t>
      </w:r>
      <w:r w:rsidRPr="009A0A47">
        <w:t xml:space="preserve"> w Tarnowie</w:t>
      </w:r>
      <w:r w:rsidR="007D07D2" w:rsidRPr="009A0A47">
        <w:t>.</w:t>
      </w:r>
    </w:p>
    <w:p w14:paraId="07D6738B" w14:textId="77777777" w:rsidR="009D00C1" w:rsidRDefault="009D00C1" w:rsidP="00472C84">
      <w:pPr>
        <w:spacing w:after="0" w:line="240" w:lineRule="auto"/>
        <w:ind w:left="426"/>
      </w:pPr>
    </w:p>
    <w:p w14:paraId="04E0A004" w14:textId="67425056" w:rsidR="009D00C1" w:rsidRPr="00472C84" w:rsidRDefault="009D00C1" w:rsidP="009A0A47">
      <w:pPr>
        <w:pStyle w:val="Bezodstpw"/>
        <w:numPr>
          <w:ilvl w:val="0"/>
          <w:numId w:val="1"/>
        </w:numPr>
        <w:ind w:left="284" w:hanging="284"/>
      </w:pPr>
      <w:bookmarkStart w:id="0" w:name="_Hlk104444627"/>
      <w:r w:rsidRPr="00472C84">
        <w:t>OPIS STANU ISTNIEJĄCEGO, LOKALIZACJA</w:t>
      </w:r>
      <w:r w:rsidR="00472C84">
        <w:t>.</w:t>
      </w:r>
    </w:p>
    <w:bookmarkEnd w:id="0"/>
    <w:p w14:paraId="38677805" w14:textId="77777777" w:rsidR="009D00C1" w:rsidRDefault="009D00C1" w:rsidP="00472C84">
      <w:pPr>
        <w:pStyle w:val="Akapitzlist"/>
        <w:spacing w:after="0" w:line="240" w:lineRule="auto"/>
        <w:ind w:left="426"/>
      </w:pPr>
    </w:p>
    <w:p w14:paraId="747424FD" w14:textId="066499BA" w:rsidR="009D00C1" w:rsidRDefault="009D00C1" w:rsidP="009A0A47">
      <w:pPr>
        <w:spacing w:after="0" w:line="240" w:lineRule="auto"/>
        <w:jc w:val="both"/>
      </w:pPr>
      <w:r>
        <w:t xml:space="preserve">Podłoga sportowa hali areny sportowej do gier zespołowych jest użytkowana nieprzerwanie od 2012r. Z roku na rok pojawia się coraz więcej przypadków zarwania podłogi, co jest niebezpieczne dla osób korzystających z obiektu. Podłoga wykonana jest z płyty typu P5, opartej na podwójnym </w:t>
      </w:r>
      <w:proofErr w:type="spellStart"/>
      <w:r>
        <w:t>legarowaniu</w:t>
      </w:r>
      <w:proofErr w:type="spellEnd"/>
      <w:r>
        <w:t xml:space="preserve">. Na wierzchu położona jest wykładzina sportowa. Uszkodzenia </w:t>
      </w:r>
      <w:proofErr w:type="spellStart"/>
      <w:r>
        <w:t>legarowania</w:t>
      </w:r>
      <w:proofErr w:type="spellEnd"/>
      <w:r>
        <w:t xml:space="preserve"> są niebezpieczne dla zawodników i studentów użytkujących obiekt</w:t>
      </w:r>
      <w:r w:rsidR="009A0A47">
        <w:t>,</w:t>
      </w:r>
      <w:r>
        <w:t xml:space="preserve"> z uwagi na zmianę punktową sztywności podłoża w szczególności (parametry wytrzymałości i poślizgu) w miejscach dynamicznego wyskoku zawodników do piłki i opadania z dużej wysokości (zagrywka, atak). Ponadto na powierzchni wykładziny stwierdza się częściowe ubytki, zarysowania i utratę parametrów powierzchni roboczej wykładziny.</w:t>
      </w:r>
    </w:p>
    <w:p w14:paraId="26BC0190" w14:textId="77777777" w:rsidR="009D00C1" w:rsidRDefault="009D00C1" w:rsidP="00E17871">
      <w:pPr>
        <w:spacing w:after="0" w:line="240" w:lineRule="auto"/>
        <w:ind w:left="426"/>
        <w:jc w:val="both"/>
      </w:pPr>
    </w:p>
    <w:p w14:paraId="1594AA56" w14:textId="22BED56D" w:rsidR="009D00C1" w:rsidRDefault="009D00C1" w:rsidP="009A0A47">
      <w:pPr>
        <w:spacing w:after="0" w:line="240" w:lineRule="auto"/>
        <w:jc w:val="both"/>
      </w:pPr>
      <w:bookmarkStart w:id="1" w:name="_Hlk108612576"/>
      <w:r>
        <w:t>Prace naprawy rusztu drewnianego i wymiana nawierzchni areny sportowej będące przedmiotem niniejszego opracowania należy wykonać w budynku E Akademii Nauk Stosowanych w Tarnowie usytuowanym przy ul. Mickiewicza 8. Inwestycja dotyczy tylko wnętrza budynku, nie dotyczy zagospodarowania działki.</w:t>
      </w:r>
      <w:bookmarkEnd w:id="1"/>
      <w:r>
        <w:t xml:space="preserve">  </w:t>
      </w:r>
    </w:p>
    <w:p w14:paraId="0357617D" w14:textId="77777777" w:rsidR="009D00C1" w:rsidRDefault="009D00C1" w:rsidP="00472C84">
      <w:pPr>
        <w:spacing w:after="0" w:line="240" w:lineRule="auto"/>
        <w:ind w:left="426"/>
      </w:pPr>
    </w:p>
    <w:p w14:paraId="4A43AD62" w14:textId="5C56E1FF" w:rsidR="009D00C1" w:rsidRPr="006B230E" w:rsidRDefault="009D00C1" w:rsidP="009A0A47">
      <w:pPr>
        <w:spacing w:after="0" w:line="240" w:lineRule="auto"/>
      </w:pPr>
      <w:r w:rsidRPr="006B230E">
        <w:t>Budynek EFG to budynek murowany z 2012</w:t>
      </w:r>
      <w:r w:rsidR="009A0A47">
        <w:t xml:space="preserve"> </w:t>
      </w:r>
      <w:r w:rsidRPr="006B230E">
        <w:t>r</w:t>
      </w:r>
      <w:r w:rsidR="009A0A47">
        <w:t>.</w:t>
      </w:r>
      <w:r w:rsidRPr="006B230E">
        <w:t xml:space="preserve"> złożony z trzech części:</w:t>
      </w:r>
    </w:p>
    <w:p w14:paraId="215F728D" w14:textId="52F44F68" w:rsidR="009D00C1" w:rsidRDefault="009D00C1" w:rsidP="009A0A47">
      <w:pPr>
        <w:pStyle w:val="Akapitzlist"/>
        <w:numPr>
          <w:ilvl w:val="0"/>
          <w:numId w:val="44"/>
        </w:numPr>
        <w:spacing w:after="0" w:line="240" w:lineRule="auto"/>
      </w:pPr>
      <w:r w:rsidRPr="006B230E">
        <w:t>E - hala sportowa wraz z zapleczem</w:t>
      </w:r>
      <w:r w:rsidR="009A0A47">
        <w:t>,</w:t>
      </w:r>
    </w:p>
    <w:p w14:paraId="65BA5EEA" w14:textId="450F88A2" w:rsidR="009D00C1" w:rsidRDefault="009D00C1" w:rsidP="009A0A47">
      <w:pPr>
        <w:pStyle w:val="Akapitzlist"/>
        <w:numPr>
          <w:ilvl w:val="0"/>
          <w:numId w:val="44"/>
        </w:numPr>
        <w:spacing w:after="0" w:line="240" w:lineRule="auto"/>
      </w:pPr>
      <w:r w:rsidRPr="006B230E">
        <w:t>F - basen wraz z zapleczem</w:t>
      </w:r>
      <w:r w:rsidR="009A0A47">
        <w:t>,</w:t>
      </w:r>
    </w:p>
    <w:p w14:paraId="39D83317" w14:textId="7FF97BA6" w:rsidR="009D00C1" w:rsidRPr="006B230E" w:rsidRDefault="009D00C1" w:rsidP="009A0A47">
      <w:pPr>
        <w:pStyle w:val="Akapitzlist"/>
        <w:numPr>
          <w:ilvl w:val="0"/>
          <w:numId w:val="44"/>
        </w:numPr>
        <w:spacing w:after="0" w:line="240" w:lineRule="auto"/>
      </w:pPr>
      <w:r w:rsidRPr="006B230E">
        <w:t>G - budynek dydaktyczny</w:t>
      </w:r>
      <w:r w:rsidR="009A0A47">
        <w:t>.</w:t>
      </w:r>
    </w:p>
    <w:p w14:paraId="362CCB67" w14:textId="77777777" w:rsidR="009D00C1" w:rsidRPr="006B230E" w:rsidRDefault="009D00C1" w:rsidP="00472C84">
      <w:pPr>
        <w:spacing w:after="0" w:line="240" w:lineRule="auto"/>
        <w:ind w:left="426"/>
      </w:pPr>
    </w:p>
    <w:p w14:paraId="6F840449" w14:textId="77777777" w:rsidR="009D00C1" w:rsidRPr="006B230E" w:rsidRDefault="009D00C1" w:rsidP="009A0A47">
      <w:pPr>
        <w:spacing w:after="0" w:line="240" w:lineRule="auto"/>
        <w:jc w:val="both"/>
      </w:pPr>
      <w:r w:rsidRPr="006B230E">
        <w:t>Części E i F to budynki połączone wspólnym podpiwniczeniem - wykorzystanym jako parking podziemny. Budynek G posiada wspólne instalacje z budynkami części E i F, lecz nie posiada z nimi połączenia.</w:t>
      </w:r>
    </w:p>
    <w:p w14:paraId="36A54481" w14:textId="77777777" w:rsidR="009D00C1" w:rsidRPr="006B230E" w:rsidRDefault="009D00C1" w:rsidP="009A0A47">
      <w:pPr>
        <w:spacing w:after="0" w:line="240" w:lineRule="auto"/>
        <w:jc w:val="both"/>
      </w:pPr>
      <w:r w:rsidRPr="006B230E">
        <w:t>Budynek E to układ złożony z dwukondygnacyjnego zaplecza dla sali gimnastycznej i części jednokondygnacyjnej sali gimnastycznej o wysokości jak dwukondygnacyjny budynek zaplecza .</w:t>
      </w:r>
    </w:p>
    <w:p w14:paraId="32AB6DEA" w14:textId="521BA227" w:rsidR="009D00C1" w:rsidRPr="006B230E" w:rsidRDefault="009D00C1" w:rsidP="009A0A47">
      <w:pPr>
        <w:spacing w:after="0" w:line="240" w:lineRule="auto"/>
        <w:jc w:val="both"/>
      </w:pPr>
      <w:r w:rsidRPr="006B230E">
        <w:t>Budynek F podobnie jak budynek E złożony z dwukondygnacyjnego zaplecza oraz części jednokondygnacyjnej basenu o wysokości jak dwukondygnacyjny budynek zaplecza</w:t>
      </w:r>
      <w:r w:rsidR="009A0A47">
        <w:t xml:space="preserve">. </w:t>
      </w:r>
      <w:r w:rsidRPr="006B230E">
        <w:t>Oba budynki połączone są jednym dużym holem. Budynek G jest to konstrukcja 4 kondygnacyjna przylega jedną ścianą do budynku F Wszystkie budynki zakończone są dachem płaskim pokrytym papą.</w:t>
      </w:r>
    </w:p>
    <w:p w14:paraId="75A48844" w14:textId="77777777" w:rsidR="009D00C1" w:rsidRPr="006B230E" w:rsidRDefault="009D00C1" w:rsidP="00472C84">
      <w:pPr>
        <w:spacing w:after="0" w:line="240" w:lineRule="auto"/>
        <w:ind w:left="426"/>
      </w:pPr>
    </w:p>
    <w:p w14:paraId="440C85E0" w14:textId="77777777" w:rsidR="009D00C1" w:rsidRPr="006B230E" w:rsidRDefault="009D00C1" w:rsidP="009A0A47">
      <w:pPr>
        <w:spacing w:after="0" w:line="240" w:lineRule="auto"/>
      </w:pPr>
      <w:r w:rsidRPr="006B230E">
        <w:t>Łącznie budynek E,F,G:</w:t>
      </w:r>
    </w:p>
    <w:p w14:paraId="2F78AEE1" w14:textId="7308E079" w:rsidR="009D00C1" w:rsidRPr="009A0A47" w:rsidRDefault="009D00C1" w:rsidP="009A0A47">
      <w:pPr>
        <w:spacing w:after="0" w:line="240" w:lineRule="auto"/>
        <w:rPr>
          <w:vertAlign w:val="superscript"/>
        </w:rPr>
      </w:pPr>
      <w:r w:rsidRPr="006B230E">
        <w:t>Powierzchnia zabudowy 5247,54 m</w:t>
      </w:r>
      <w:r w:rsidR="009A0A47">
        <w:rPr>
          <w:vertAlign w:val="superscript"/>
        </w:rPr>
        <w:t>2</w:t>
      </w:r>
    </w:p>
    <w:p w14:paraId="43D9B2AC" w14:textId="13FCCE43" w:rsidR="009D00C1" w:rsidRPr="009A0A47" w:rsidRDefault="009D00C1" w:rsidP="009A0A47">
      <w:pPr>
        <w:spacing w:after="0" w:line="240" w:lineRule="auto"/>
        <w:rPr>
          <w:vertAlign w:val="superscript"/>
        </w:rPr>
      </w:pPr>
      <w:r w:rsidRPr="006B230E">
        <w:t>Powierzchnia całkowita 17051,54 m</w:t>
      </w:r>
      <w:r w:rsidR="009A0A47">
        <w:rPr>
          <w:vertAlign w:val="superscript"/>
        </w:rPr>
        <w:t>2</w:t>
      </w:r>
    </w:p>
    <w:p w14:paraId="11A84E86" w14:textId="156B3354" w:rsidR="009D00C1" w:rsidRPr="009A0A47" w:rsidRDefault="009D00C1" w:rsidP="009A0A47">
      <w:pPr>
        <w:spacing w:after="0" w:line="240" w:lineRule="auto"/>
        <w:rPr>
          <w:vertAlign w:val="superscript"/>
        </w:rPr>
      </w:pPr>
      <w:r w:rsidRPr="006B230E">
        <w:t>Powierzchnia netto: część E 9479 m</w:t>
      </w:r>
      <w:r w:rsidR="009A0A47">
        <w:rPr>
          <w:vertAlign w:val="superscript"/>
        </w:rPr>
        <w:t>2</w:t>
      </w:r>
      <w:r w:rsidRPr="006B230E">
        <w:t>, część F 13245,39 m</w:t>
      </w:r>
      <w:r w:rsidR="009A0A47">
        <w:rPr>
          <w:vertAlign w:val="superscript"/>
        </w:rPr>
        <w:t>2</w:t>
      </w:r>
      <w:r w:rsidRPr="006B230E">
        <w:t>, część G 3764,6 m</w:t>
      </w:r>
      <w:r w:rsidR="009A0A47">
        <w:rPr>
          <w:vertAlign w:val="superscript"/>
        </w:rPr>
        <w:t>2</w:t>
      </w:r>
      <w:r w:rsidRPr="006B230E">
        <w:t xml:space="preserve"> – łącznie 26488,99 m</w:t>
      </w:r>
      <w:r w:rsidR="009A0A47">
        <w:rPr>
          <w:vertAlign w:val="superscript"/>
        </w:rPr>
        <w:t>2</w:t>
      </w:r>
    </w:p>
    <w:p w14:paraId="00D91C96" w14:textId="36669951" w:rsidR="009D00C1" w:rsidRPr="006B230E" w:rsidRDefault="009D00C1" w:rsidP="009A0A47">
      <w:pPr>
        <w:spacing w:after="0" w:line="240" w:lineRule="auto"/>
      </w:pPr>
      <w:r w:rsidRPr="006B230E">
        <w:t>Kubatura obiektu 81 121,78 m</w:t>
      </w:r>
      <w:r w:rsidR="009A0A47">
        <w:rPr>
          <w:vertAlign w:val="superscript"/>
        </w:rPr>
        <w:t>3</w:t>
      </w:r>
      <w:r>
        <w:t xml:space="preserve"> </w:t>
      </w:r>
    </w:p>
    <w:p w14:paraId="242A58EC" w14:textId="77777777" w:rsidR="009D00C1" w:rsidRPr="006B230E" w:rsidRDefault="009D00C1" w:rsidP="009A0A47">
      <w:pPr>
        <w:spacing w:after="0" w:line="240" w:lineRule="auto"/>
      </w:pPr>
      <w:r w:rsidRPr="006B230E">
        <w:lastRenderedPageBreak/>
        <w:t>Wysokość: część E 9,2 m, część F 9,2 m, część G 19,22 m</w:t>
      </w:r>
    </w:p>
    <w:p w14:paraId="07A21295" w14:textId="77777777" w:rsidR="009D00C1" w:rsidRPr="006B230E" w:rsidRDefault="009D00C1" w:rsidP="00472C84">
      <w:pPr>
        <w:spacing w:after="0" w:line="240" w:lineRule="auto"/>
        <w:ind w:left="426"/>
      </w:pPr>
    </w:p>
    <w:p w14:paraId="6FAF899F" w14:textId="77777777" w:rsidR="009D00C1" w:rsidRPr="006B230E" w:rsidRDefault="009D00C1" w:rsidP="009A0A47">
      <w:pPr>
        <w:spacing w:after="0" w:line="240" w:lineRule="auto"/>
        <w:jc w:val="both"/>
      </w:pPr>
      <w:r w:rsidRPr="006B230E">
        <w:t>Budynek EFG wyposażony jest w wspólne instalacje dla części E, części F i części G.</w:t>
      </w:r>
    </w:p>
    <w:p w14:paraId="3C3F96C1" w14:textId="77777777" w:rsidR="009D00C1" w:rsidRPr="006B230E" w:rsidRDefault="009D00C1" w:rsidP="009A0A47">
      <w:pPr>
        <w:spacing w:after="0" w:line="240" w:lineRule="auto"/>
        <w:jc w:val="both"/>
      </w:pPr>
      <w:r w:rsidRPr="006B230E">
        <w:t>Elektryczną i odgromową</w:t>
      </w:r>
    </w:p>
    <w:p w14:paraId="6E874141" w14:textId="77777777" w:rsidR="009D00C1" w:rsidRPr="006B230E" w:rsidRDefault="009D00C1" w:rsidP="009A0A47">
      <w:pPr>
        <w:spacing w:after="0" w:line="240" w:lineRule="auto"/>
        <w:jc w:val="both"/>
      </w:pPr>
      <w:r w:rsidRPr="006B230E">
        <w:t>Grzewczą</w:t>
      </w:r>
    </w:p>
    <w:p w14:paraId="55DF3DF8" w14:textId="77777777" w:rsidR="009D00C1" w:rsidRPr="006B230E" w:rsidRDefault="009D00C1" w:rsidP="009A0A47">
      <w:pPr>
        <w:spacing w:after="0" w:line="240" w:lineRule="auto"/>
        <w:jc w:val="both"/>
      </w:pPr>
      <w:r w:rsidRPr="006B230E">
        <w:t>Teletechniczną (telefoniczna, internetową, monitoringu i alarmową, ppoż.)</w:t>
      </w:r>
    </w:p>
    <w:p w14:paraId="70592789" w14:textId="77777777" w:rsidR="009D00C1" w:rsidRPr="006B230E" w:rsidRDefault="009D00C1" w:rsidP="009A0A47">
      <w:pPr>
        <w:spacing w:after="0" w:line="240" w:lineRule="auto"/>
        <w:jc w:val="both"/>
      </w:pPr>
      <w:r w:rsidRPr="006B230E">
        <w:t>Sanitarną (wodociągowa i kanalizacyjna)</w:t>
      </w:r>
    </w:p>
    <w:p w14:paraId="274EA7CF" w14:textId="77777777" w:rsidR="009D00C1" w:rsidRPr="006B230E" w:rsidRDefault="009D00C1" w:rsidP="009A0A47">
      <w:pPr>
        <w:spacing w:after="0" w:line="240" w:lineRule="auto"/>
        <w:jc w:val="both"/>
      </w:pPr>
      <w:r w:rsidRPr="006B230E">
        <w:t>Wentylacji grawitacyjnej, mechanicznej i klimatyzacji centralnej</w:t>
      </w:r>
    </w:p>
    <w:p w14:paraId="0F887F8D" w14:textId="77777777" w:rsidR="009D00C1" w:rsidRDefault="009D00C1" w:rsidP="00E17871">
      <w:pPr>
        <w:spacing w:after="0" w:line="240" w:lineRule="auto"/>
        <w:ind w:left="426"/>
        <w:jc w:val="both"/>
      </w:pPr>
    </w:p>
    <w:p w14:paraId="0292056A" w14:textId="77777777" w:rsidR="009D00C1" w:rsidRDefault="009D00C1" w:rsidP="009A0A47">
      <w:pPr>
        <w:spacing w:after="0" w:line="240" w:lineRule="auto"/>
        <w:jc w:val="both"/>
      </w:pPr>
      <w:r>
        <w:t>Inwestycja nie jest zaliczana do inwestycji mogących pogorszyć stan środowiska, nie ma negatywnego wpływu na otoczenie oraz na higienę i zdrowie użytkowników projektowanych obiektów budowlanych, nie ma wpływu na środowisko.</w:t>
      </w:r>
    </w:p>
    <w:p w14:paraId="36E66809" w14:textId="77777777" w:rsidR="009D00C1" w:rsidRDefault="009D00C1" w:rsidP="00E17871">
      <w:pPr>
        <w:spacing w:after="0" w:line="240" w:lineRule="auto"/>
        <w:ind w:left="426"/>
        <w:jc w:val="both"/>
      </w:pPr>
    </w:p>
    <w:p w14:paraId="4031E169" w14:textId="77777777" w:rsidR="009D00C1" w:rsidRDefault="009D00C1" w:rsidP="009A0A47">
      <w:pPr>
        <w:spacing w:after="0" w:line="240" w:lineRule="auto"/>
        <w:jc w:val="both"/>
      </w:pPr>
      <w:r>
        <w:t>Warunki ochrony przeciwpożarowej</w:t>
      </w:r>
    </w:p>
    <w:p w14:paraId="54A15634" w14:textId="77777777" w:rsidR="009D00C1" w:rsidRDefault="009D00C1" w:rsidP="009A0A47">
      <w:pPr>
        <w:spacing w:after="0" w:line="240" w:lineRule="auto"/>
        <w:jc w:val="both"/>
      </w:pPr>
      <w:r w:rsidRPr="00FA0721">
        <w:t>Warunki och</w:t>
      </w:r>
      <w:r>
        <w:t>rony p.poż nie ulegają zmianie.</w:t>
      </w:r>
    </w:p>
    <w:p w14:paraId="7610F1A5" w14:textId="77777777" w:rsidR="00472C84" w:rsidRDefault="00472C84" w:rsidP="00472C84">
      <w:pPr>
        <w:spacing w:after="0" w:line="240" w:lineRule="auto"/>
        <w:ind w:left="426"/>
      </w:pPr>
    </w:p>
    <w:p w14:paraId="5A17491C" w14:textId="7DCE339F" w:rsidR="003329A1" w:rsidRDefault="00472C84" w:rsidP="009A0A47">
      <w:pPr>
        <w:pStyle w:val="Bezodstpw"/>
        <w:numPr>
          <w:ilvl w:val="0"/>
          <w:numId w:val="1"/>
        </w:numPr>
      </w:pPr>
      <w:r>
        <w:t>ZAKRES PRAC</w:t>
      </w:r>
    </w:p>
    <w:tbl>
      <w:tblPr>
        <w:tblW w:w="92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6566"/>
        <w:gridCol w:w="1276"/>
        <w:gridCol w:w="600"/>
      </w:tblGrid>
      <w:tr w:rsidR="00E17871" w:rsidRPr="00E17871" w14:paraId="1785AFCD" w14:textId="77777777" w:rsidTr="00E17871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1C18A" w14:textId="77777777" w:rsidR="00E17871" w:rsidRPr="00E17871" w:rsidRDefault="00E17871" w:rsidP="00E1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6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A9DB5" w14:textId="77777777" w:rsidR="00E17871" w:rsidRPr="00E17871" w:rsidRDefault="00E17871" w:rsidP="00E1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Wyszczególnienie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0E2AD" w14:textId="77777777" w:rsidR="00E17871" w:rsidRPr="00E17871" w:rsidRDefault="00E17871" w:rsidP="00E1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C4C9FD" w14:textId="77777777" w:rsidR="00E17871" w:rsidRPr="00E17871" w:rsidRDefault="00E17871" w:rsidP="00E1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  <w:proofErr w:type="spellEnd"/>
          </w:p>
        </w:tc>
      </w:tr>
      <w:tr w:rsidR="00E17871" w:rsidRPr="00E17871" w14:paraId="691EC70F" w14:textId="77777777" w:rsidTr="00E1787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60A7C" w14:textId="77777777" w:rsidR="00E17871" w:rsidRPr="00E17871" w:rsidRDefault="00E17871" w:rsidP="00E1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D2E09" w14:textId="77777777" w:rsidR="00E17871" w:rsidRPr="00E17871" w:rsidRDefault="00E17871" w:rsidP="00E1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BD3D3" w14:textId="77777777" w:rsidR="00E17871" w:rsidRPr="00E17871" w:rsidRDefault="00E17871" w:rsidP="00E1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1A4D94" w14:textId="77777777" w:rsidR="00E17871" w:rsidRPr="00E17871" w:rsidRDefault="00E17871" w:rsidP="00E1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E17871" w:rsidRPr="00E17871" w14:paraId="7DAE8F60" w14:textId="77777777" w:rsidTr="00E17871">
        <w:trPr>
          <w:trHeight w:val="300"/>
        </w:trPr>
        <w:tc>
          <w:tcPr>
            <w:tcW w:w="82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2F2F2"/>
            <w:vAlign w:val="center"/>
            <w:hideMark/>
          </w:tcPr>
          <w:p w14:paraId="5CC76F4D" w14:textId="77777777" w:rsidR="00E17871" w:rsidRPr="00E17871" w:rsidRDefault="00E17871" w:rsidP="00E1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56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2F2F2"/>
            <w:vAlign w:val="bottom"/>
            <w:hideMark/>
          </w:tcPr>
          <w:p w14:paraId="6A05D501" w14:textId="77777777" w:rsidR="00E17871" w:rsidRPr="00E17871" w:rsidRDefault="00E17871" w:rsidP="00E178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Naprawa rusztu drewnianego podłogi w hali sportowej wraz z ułożeniem nowej wykładziny</w:t>
            </w:r>
          </w:p>
        </w:tc>
        <w:tc>
          <w:tcPr>
            <w:tcW w:w="12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2F2F2"/>
            <w:vAlign w:val="center"/>
            <w:hideMark/>
          </w:tcPr>
          <w:p w14:paraId="7CC9871D" w14:textId="77777777" w:rsidR="00E17871" w:rsidRPr="00E17871" w:rsidRDefault="00E17871" w:rsidP="00E1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2F2F2"/>
            <w:vAlign w:val="center"/>
            <w:hideMark/>
          </w:tcPr>
          <w:p w14:paraId="5A51581F" w14:textId="77777777" w:rsidR="00E17871" w:rsidRPr="00E17871" w:rsidRDefault="00E17871" w:rsidP="00E1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17871" w:rsidRPr="00E17871" w14:paraId="0D089E2C" w14:textId="77777777" w:rsidTr="00E1787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CBF4838" w14:textId="77777777" w:rsidR="00E17871" w:rsidRPr="00E17871" w:rsidRDefault="00E17871" w:rsidP="00E17871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1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41424703" w14:textId="77777777" w:rsidR="00E17871" w:rsidRPr="00E17871" w:rsidRDefault="00E17871" w:rsidP="00E17871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Demontaże z wywozem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6AB208C" w14:textId="77777777" w:rsidR="00E17871" w:rsidRPr="00E17871" w:rsidRDefault="00E17871" w:rsidP="00E17871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E0C6844" w14:textId="77777777" w:rsidR="00E17871" w:rsidRPr="00E17871" w:rsidRDefault="00E17871" w:rsidP="00E17871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17871" w:rsidRPr="00E17871" w14:paraId="1F664417" w14:textId="77777777" w:rsidTr="00E1787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1EA8AA92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1.1.1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47A45970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Zerwanie posadzki z tworzyw sztucznych - analogia - arena sportowa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707F296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1 348,00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6F21040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E17871" w:rsidRPr="00E17871" w14:paraId="6B6F8F8E" w14:textId="77777777" w:rsidTr="00E1787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14EDBDB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1.1.2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39552E8F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Demontaż listew przyściennych wentylowanych - analogia - arena sportowa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13E8012A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173,00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6815A3C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</w:tr>
      <w:tr w:rsidR="00E17871" w:rsidRPr="00E17871" w14:paraId="07570AB9" w14:textId="77777777" w:rsidTr="00E17871">
        <w:trPr>
          <w:trHeight w:val="61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1E319AC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1.1.3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705CA24A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Demontaż płyt typu P5 - analogia - strefa o zwiększonym obciążeniu + miejscowe uszkodzenia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CCAE3AD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368,00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E8D21CF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E17871" w:rsidRPr="00E17871" w14:paraId="494A6395" w14:textId="77777777" w:rsidTr="00E17871">
        <w:trPr>
          <w:trHeight w:val="61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1430CE3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1.1.4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74522459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Rozebranie posadzek z deszczułek mocowanych na gwoździe - do 61 deszczułek na m2 posadzki - analogia - strefa o zwiększonym obciążeniu + miejscowe uszkodzenia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E4959E7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368,00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F0AB83A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E17871" w:rsidRPr="00E17871" w14:paraId="46D2FCDF" w14:textId="77777777" w:rsidTr="00E17871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5DB3527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1.1.5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0592F3D6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Demontaż izolacji poziomej </w:t>
            </w:r>
            <w:proofErr w:type="spellStart"/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podposadzkowej</w:t>
            </w:r>
            <w:proofErr w:type="spellEnd"/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przeciwwilgociowej z folii PE 0,2mm - analogia - strefa o zwiększonym obciążeniu + miejscowe uszkodzenia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1A103F9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368,00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922603E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E17871" w:rsidRPr="00E17871" w14:paraId="322F2876" w14:textId="77777777" w:rsidTr="00E1787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73BC264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1.1.6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3A9D45D4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Demontaż </w:t>
            </w:r>
            <w:proofErr w:type="spellStart"/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listw</w:t>
            </w:r>
            <w:proofErr w:type="spellEnd"/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progowych drzwiowych - analogia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E8CA524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14,49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4A828BA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</w:tr>
      <w:tr w:rsidR="00E17871" w:rsidRPr="00E17871" w14:paraId="787D975D" w14:textId="77777777" w:rsidTr="00E1787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62FF5E1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1.1.7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08F8AFBA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Demontaż drabinek gimnastycznych - drabinki do ponownego montażu - analogia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77A3721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82,50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6A1CE8C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E17871" w:rsidRPr="00E17871" w14:paraId="34AEC29A" w14:textId="77777777" w:rsidTr="00E17871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524C812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1.1.8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6F1C02A0" w14:textId="77777777" w:rsidR="00E17871" w:rsidRPr="009848BE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lang w:eastAsia="pl-PL"/>
              </w:rPr>
            </w:pPr>
            <w:r w:rsidRPr="009848BE">
              <w:rPr>
                <w:rFonts w:ascii="Calibri" w:eastAsia="Times New Roman" w:hAnsi="Calibri" w:cs="Calibri"/>
                <w:lang w:eastAsia="pl-PL"/>
              </w:rPr>
              <w:t>Wywóz i utylizacja materiałów z demontażów samochodami samowyładowczymi na odległość do 1km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09D94C9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25,00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861A2C8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m3</w:t>
            </w:r>
          </w:p>
        </w:tc>
      </w:tr>
      <w:tr w:rsidR="00E17871" w:rsidRPr="00E17871" w14:paraId="54E803FA" w14:textId="77777777" w:rsidTr="00E17871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F6C4FA9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1.1.9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6938C555" w14:textId="77777777" w:rsidR="00E17871" w:rsidRPr="009848BE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lang w:eastAsia="pl-PL"/>
              </w:rPr>
            </w:pPr>
            <w:r w:rsidRPr="009848BE">
              <w:rPr>
                <w:rFonts w:ascii="Calibri" w:eastAsia="Times New Roman" w:hAnsi="Calibri" w:cs="Calibri"/>
                <w:lang w:eastAsia="pl-PL"/>
              </w:rPr>
              <w:t>Wywiezienie gruzu  bez względu na rodzaj rozbieranej konstrukcji samochodami samowyładowczymi - na każdy następny 1km ponad 1km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1F73DE6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25,00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50E693C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m3</w:t>
            </w:r>
          </w:p>
        </w:tc>
      </w:tr>
      <w:tr w:rsidR="00E17871" w:rsidRPr="00E17871" w14:paraId="269828BD" w14:textId="77777777" w:rsidTr="00E1787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63ED7E36" w14:textId="77777777" w:rsidR="00E17871" w:rsidRPr="00E17871" w:rsidRDefault="00E17871" w:rsidP="00E17871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290FC924" w14:textId="77777777" w:rsidR="00E17871" w:rsidRPr="00E17871" w:rsidRDefault="00E17871" w:rsidP="00E17871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Montaże wraz z robotami </w:t>
            </w:r>
            <w:proofErr w:type="spellStart"/>
            <w:r w:rsidRPr="00E1787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towąrzyszącymi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DA436A7" w14:textId="77777777" w:rsidR="00E17871" w:rsidRPr="00E17871" w:rsidRDefault="00E17871" w:rsidP="00E17871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FD196EE" w14:textId="77777777" w:rsidR="00E17871" w:rsidRPr="00E17871" w:rsidRDefault="00E17871" w:rsidP="00E17871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17871" w:rsidRPr="00E17871" w14:paraId="6C08B54B" w14:textId="77777777" w:rsidTr="00E17871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65FB34D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2.1.1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106E663F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Izolacja pozioma </w:t>
            </w:r>
            <w:proofErr w:type="spellStart"/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podposadzkowa</w:t>
            </w:r>
            <w:proofErr w:type="spellEnd"/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przeciwwilgociowa i przeciwwodna z folii PE 0,2mm - analogia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655271F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368,00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BCABEDB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E17871" w:rsidRPr="00E17871" w14:paraId="78614FF9" w14:textId="77777777" w:rsidTr="00E17871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51FE101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2.1.2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5307A66C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Dostawa i montaż systemu pod większe obciążenia - ruszt zagęszczony + sklejka 12 mm - system kompletny - analogia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67886CE0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318,00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7C5BFF0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E17871" w:rsidRPr="00E17871" w14:paraId="559C0FCA" w14:textId="77777777" w:rsidTr="00E17871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845F1FA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2.1.3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3E60DAAA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Dostawa i montaż systemu - naprawy miejscowe  - ruszt + płyta typu P5 12 mm - system kompletny - analogia (płyta typu P5 z demontażu)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4B1733E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50,00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69ECFF0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E17871" w:rsidRPr="00E17871" w14:paraId="1C39F2CD" w14:textId="77777777" w:rsidTr="00E17871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F169DE9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2.1.4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01B4D235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Posadzki z wykładzin sportowych kolorystyka wg. wyboru Zamawiającego - analogia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10F0F793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1 348,00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7567E5A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E17871" w:rsidRPr="00E17871" w14:paraId="53BE48D2" w14:textId="77777777" w:rsidTr="00E1787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6246D79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2.1.5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6E88B457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Zgrzewanie wykładzin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D7B5157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1 348,00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EEC2117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E17871" w:rsidRPr="00E17871" w14:paraId="2A432D3A" w14:textId="77777777" w:rsidTr="00E1787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45FC757C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2.1.6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0133DDAF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Montaż listew przyściennych wentylowanych - analogia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3DCC2890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173,00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C3CF9AC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</w:tr>
      <w:tr w:rsidR="00E17871" w:rsidRPr="00E17871" w14:paraId="09F9E5E0" w14:textId="77777777" w:rsidTr="00E1787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6E2AD991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2.1.7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7CE98529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Montaż drabinek gimnastycznych (uprzednio zdemontowanych) - analogia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5A66EE8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82,50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CF97B3E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</w:tr>
      <w:tr w:rsidR="00E17871" w:rsidRPr="00E17871" w14:paraId="3EFF2ABB" w14:textId="77777777" w:rsidTr="00E17871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2F468AA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2.1.8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056014A2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Wykonanie linii boisk (malowanie) zgodnie z istniejącymi oznaczeniami wg. wymagań Zamawiającego; (1. piłka ręczna, 2. siatkówka, 3. koszykówka, 4. linie rozgraniczające 3 strefy do siatkówki)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2043A48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073CB52D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</w:tr>
      <w:tr w:rsidR="00E17871" w:rsidRPr="00E17871" w14:paraId="2C36BC73" w14:textId="77777777" w:rsidTr="00E17871">
        <w:trPr>
          <w:trHeight w:val="555"/>
        </w:trPr>
        <w:tc>
          <w:tcPr>
            <w:tcW w:w="82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E17284A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2.1.9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bottom"/>
            <w:hideMark/>
          </w:tcPr>
          <w:p w14:paraId="39718F5A" w14:textId="77777777" w:rsidR="00E17871" w:rsidRPr="00E17871" w:rsidRDefault="00E17871" w:rsidP="00E17871">
            <w:pPr>
              <w:spacing w:after="0" w:line="240" w:lineRule="auto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Drobne elementy ze stali nierdzewnej - listwy drzwiowe ze stali nierdzewnej szerokie z przetłoczeniem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4953BD2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14,49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7C24D61B" w14:textId="77777777" w:rsidR="00E17871" w:rsidRPr="00E17871" w:rsidRDefault="00E17871" w:rsidP="00E17871">
            <w:pPr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871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</w:tr>
    </w:tbl>
    <w:p w14:paraId="63A37B61" w14:textId="77777777" w:rsidR="00E17871" w:rsidRDefault="00E17871" w:rsidP="00E17871">
      <w:pPr>
        <w:pStyle w:val="Bezodstpw"/>
      </w:pPr>
    </w:p>
    <w:p w14:paraId="0B5EE13C" w14:textId="77777777" w:rsidR="00472C84" w:rsidRDefault="00472C84" w:rsidP="00472C84">
      <w:pPr>
        <w:spacing w:after="0" w:line="240" w:lineRule="auto"/>
        <w:ind w:left="426"/>
      </w:pPr>
    </w:p>
    <w:p w14:paraId="03133132" w14:textId="2509A4D2" w:rsidR="00472C84" w:rsidRPr="00233DF6" w:rsidRDefault="0068423F" w:rsidP="00721450">
      <w:pPr>
        <w:spacing w:after="0" w:line="240" w:lineRule="auto"/>
        <w:jc w:val="both"/>
        <w:rPr>
          <w:color w:val="FF0000"/>
        </w:rPr>
      </w:pPr>
      <w:r>
        <w:t xml:space="preserve">Zakres robót – na podstawie przedmiaru, który stanowi materiał pomocniczy dla Wykonawcy do obliczenia ceny oferty. </w:t>
      </w:r>
    </w:p>
    <w:p w14:paraId="4A5C8A91" w14:textId="77777777" w:rsidR="003329A1" w:rsidRDefault="003329A1" w:rsidP="0068423F">
      <w:pPr>
        <w:spacing w:after="0" w:line="240" w:lineRule="auto"/>
        <w:ind w:left="426"/>
        <w:jc w:val="both"/>
      </w:pPr>
    </w:p>
    <w:p w14:paraId="327CF003" w14:textId="77777777" w:rsidR="00580AE2" w:rsidRDefault="003329A1" w:rsidP="00721450">
      <w:pPr>
        <w:spacing w:after="0" w:line="240" w:lineRule="auto"/>
        <w:jc w:val="both"/>
      </w:pPr>
      <w:bookmarkStart w:id="2" w:name="_Hlk108610410"/>
      <w:r>
        <w:t>Powierzchnie nowej wykładziny podzielono na strefy wg kolorystyki przedstawionej w częś</w:t>
      </w:r>
      <w:r w:rsidR="00580AE2">
        <w:t>ci graficznej według poniższej specyfikacji:</w:t>
      </w:r>
    </w:p>
    <w:p w14:paraId="5B3CBCE2" w14:textId="4996218B" w:rsidR="003329A1" w:rsidRDefault="003329A1" w:rsidP="00721450">
      <w:pPr>
        <w:pStyle w:val="Akapitzlist"/>
        <w:numPr>
          <w:ilvl w:val="0"/>
          <w:numId w:val="45"/>
        </w:numPr>
        <w:spacing w:after="0" w:line="240" w:lineRule="auto"/>
        <w:ind w:left="426" w:hanging="426"/>
        <w:jc w:val="both"/>
      </w:pPr>
      <w:r w:rsidRPr="00721450">
        <w:rPr>
          <w:u w:val="single"/>
        </w:rPr>
        <w:t xml:space="preserve">Strefę </w:t>
      </w:r>
      <w:r w:rsidR="00580AE2" w:rsidRPr="00721450">
        <w:rPr>
          <w:u w:val="single"/>
        </w:rPr>
        <w:t>pod większe obciążenia</w:t>
      </w:r>
      <w:r>
        <w:t xml:space="preserve"> należy wykonać w miejscach oznaczonych kolorem ciemnoszarym. </w:t>
      </w:r>
      <w:r w:rsidRPr="009848BE">
        <w:t>Strefa</w:t>
      </w:r>
      <w:r w:rsidR="00721450" w:rsidRPr="009848BE">
        <w:t xml:space="preserve"> ta</w:t>
      </w:r>
      <w:r w:rsidRPr="009848BE">
        <w:t xml:space="preserve"> </w:t>
      </w:r>
      <w:r>
        <w:t>ma umożliwić transport na kołach (przejazd) wózka typu NIFTY 1700 bez konieczności podkładania płyt przejazdowych (w załączeniu udostępniono opracowanie dotyczące</w:t>
      </w:r>
      <w:r w:rsidR="000F25D1">
        <w:t xml:space="preserve"> </w:t>
      </w:r>
      <w:r w:rsidR="009848BE">
        <w:t>obciążeń</w:t>
      </w:r>
      <w:r w:rsidR="000F25D1">
        <w:t xml:space="preserve"> podnośnika NIFTY 170). </w:t>
      </w:r>
      <w:r>
        <w:t>Stref</w:t>
      </w:r>
      <w:r w:rsidR="000F25D1">
        <w:t>y</w:t>
      </w:r>
      <w:r>
        <w:t xml:space="preserve"> o pozwalającym na przeniesienie zwiększonego obciążenia przewidziano od ś</w:t>
      </w:r>
      <w:r w:rsidR="00580AE2">
        <w:t>ciany przy trybunach mobilnych i przy ściance wspinaczkowej z możliwością transportu podnośnika na zewnątrz poprzez drzwi ewakuacyjne. Łączna powierzchnia strefy pod większe obciążenie oszacowano na około 318 m</w:t>
      </w:r>
      <w:r w:rsidR="00580AE2" w:rsidRPr="00721450">
        <w:rPr>
          <w:vertAlign w:val="superscript"/>
        </w:rPr>
        <w:t>2</w:t>
      </w:r>
      <w:r w:rsidR="00580AE2">
        <w:t>.</w:t>
      </w:r>
    </w:p>
    <w:p w14:paraId="7E4BC16A" w14:textId="28EB28FA" w:rsidR="00580AE2" w:rsidRDefault="00580AE2" w:rsidP="00721450">
      <w:pPr>
        <w:pStyle w:val="Akapitzlist"/>
        <w:numPr>
          <w:ilvl w:val="0"/>
          <w:numId w:val="45"/>
        </w:numPr>
        <w:spacing w:after="0" w:line="240" w:lineRule="auto"/>
        <w:ind w:left="426" w:hanging="426"/>
        <w:jc w:val="both"/>
      </w:pPr>
      <w:r w:rsidRPr="00721450">
        <w:rPr>
          <w:u w:val="single"/>
        </w:rPr>
        <w:t>Strefę miejscowych napraw</w:t>
      </w:r>
      <w:r>
        <w:t xml:space="preserve"> umiejscowiono obok drabinek gimnastycznych. Oszacowano konieczność wykonania napraw na łącznej powierzchni około 50 m</w:t>
      </w:r>
      <w:r w:rsidRPr="00721450">
        <w:rPr>
          <w:vertAlign w:val="superscript"/>
        </w:rPr>
        <w:t>2</w:t>
      </w:r>
      <w:r>
        <w:t>.</w:t>
      </w:r>
    </w:p>
    <w:p w14:paraId="1BE41495" w14:textId="3AA3024D" w:rsidR="00580AE2" w:rsidRDefault="00580AE2" w:rsidP="00721450">
      <w:pPr>
        <w:pStyle w:val="Akapitzlist"/>
        <w:numPr>
          <w:ilvl w:val="0"/>
          <w:numId w:val="45"/>
        </w:numPr>
        <w:spacing w:after="0" w:line="240" w:lineRule="auto"/>
        <w:ind w:left="426" w:hanging="426"/>
        <w:jc w:val="both"/>
      </w:pPr>
      <w:r w:rsidRPr="00721450">
        <w:rPr>
          <w:u w:val="single"/>
        </w:rPr>
        <w:t>Strefę pola środkowego</w:t>
      </w:r>
      <w:r>
        <w:t xml:space="preserve"> zgodnie z istniejącą strefą w kolorze pomarańczowym oszacowano na około 162 m</w:t>
      </w:r>
      <w:r w:rsidRPr="00721450">
        <w:rPr>
          <w:vertAlign w:val="superscript"/>
        </w:rPr>
        <w:t>2</w:t>
      </w:r>
      <w:r>
        <w:t>.</w:t>
      </w:r>
    </w:p>
    <w:p w14:paraId="6A3C516A" w14:textId="2B760585" w:rsidR="00580AE2" w:rsidRDefault="00580AE2" w:rsidP="00721450">
      <w:pPr>
        <w:pStyle w:val="Akapitzlist"/>
        <w:numPr>
          <w:ilvl w:val="0"/>
          <w:numId w:val="45"/>
        </w:numPr>
        <w:spacing w:after="0" w:line="240" w:lineRule="auto"/>
        <w:ind w:left="426" w:hanging="426"/>
        <w:jc w:val="both"/>
      </w:pPr>
      <w:r w:rsidRPr="00721450">
        <w:rPr>
          <w:u w:val="single"/>
        </w:rPr>
        <w:t>Strefę właściwą boiska</w:t>
      </w:r>
      <w:r>
        <w:t xml:space="preserve"> oznaczoną w kolorze niebieskim (w którym to obszarze należy wykonać miejscowe naprawy) oszacowano na około 638 m</w:t>
      </w:r>
      <w:r w:rsidRPr="00721450">
        <w:rPr>
          <w:vertAlign w:val="superscript"/>
        </w:rPr>
        <w:t>2</w:t>
      </w:r>
      <w:r>
        <w:t>.</w:t>
      </w:r>
    </w:p>
    <w:p w14:paraId="3334C182" w14:textId="7D8DBA98" w:rsidR="00580AE2" w:rsidRDefault="00580AE2" w:rsidP="00721450">
      <w:pPr>
        <w:pStyle w:val="Akapitzlist"/>
        <w:numPr>
          <w:ilvl w:val="0"/>
          <w:numId w:val="45"/>
        </w:numPr>
        <w:spacing w:after="0" w:line="240" w:lineRule="auto"/>
        <w:ind w:left="426" w:hanging="426"/>
        <w:jc w:val="both"/>
      </w:pPr>
      <w:r w:rsidRPr="00721450">
        <w:rPr>
          <w:u w:val="single"/>
        </w:rPr>
        <w:t>Strefy boczne</w:t>
      </w:r>
      <w:r>
        <w:t xml:space="preserve"> w kolorze jasnoszarym oszacowano na około 230 m</w:t>
      </w:r>
      <w:r w:rsidRPr="00721450">
        <w:rPr>
          <w:vertAlign w:val="superscript"/>
        </w:rPr>
        <w:t>2</w:t>
      </w:r>
      <w:r>
        <w:t>.</w:t>
      </w:r>
    </w:p>
    <w:p w14:paraId="0DF2FF4F" w14:textId="77777777" w:rsidR="000F25D1" w:rsidRDefault="000F25D1" w:rsidP="0068423F">
      <w:pPr>
        <w:spacing w:after="0" w:line="240" w:lineRule="auto"/>
        <w:ind w:left="426"/>
        <w:jc w:val="both"/>
      </w:pPr>
    </w:p>
    <w:p w14:paraId="320DA1E1" w14:textId="31A9DFB7" w:rsidR="00580AE2" w:rsidRDefault="00580AE2" w:rsidP="00721450">
      <w:pPr>
        <w:spacing w:after="0" w:line="240" w:lineRule="auto"/>
        <w:jc w:val="both"/>
      </w:pPr>
      <w:r>
        <w:t>Łączna</w:t>
      </w:r>
      <w:r w:rsidRPr="00233DF6">
        <w:t xml:space="preserve"> </w:t>
      </w:r>
      <w:r w:rsidR="009848BE">
        <w:t xml:space="preserve">powierzchnia </w:t>
      </w:r>
      <w:r>
        <w:t>wykładziny sportowej oszacowano na 1348m</w:t>
      </w:r>
      <w:r w:rsidRPr="00580AE2">
        <w:rPr>
          <w:vertAlign w:val="superscript"/>
        </w:rPr>
        <w:t>2</w:t>
      </w:r>
      <w:r>
        <w:t>.</w:t>
      </w:r>
    </w:p>
    <w:p w14:paraId="09555837" w14:textId="5B0FFDFB" w:rsidR="00580AE2" w:rsidRDefault="00580AE2" w:rsidP="00721450">
      <w:pPr>
        <w:spacing w:after="0" w:line="240" w:lineRule="auto"/>
        <w:jc w:val="both"/>
      </w:pPr>
      <w:r>
        <w:t>Łączn</w:t>
      </w:r>
      <w:r w:rsidR="009848BE">
        <w:t xml:space="preserve">a długość </w:t>
      </w:r>
      <w:r>
        <w:t xml:space="preserve">listew drewnianych wentylowanych oszacowano na 173 </w:t>
      </w:r>
      <w:proofErr w:type="spellStart"/>
      <w:r>
        <w:t>mb</w:t>
      </w:r>
      <w:proofErr w:type="spellEnd"/>
      <w:r>
        <w:t>.</w:t>
      </w:r>
    </w:p>
    <w:bookmarkEnd w:id="2"/>
    <w:p w14:paraId="6F4A6A0B" w14:textId="77777777" w:rsidR="0068423F" w:rsidRDefault="0068423F" w:rsidP="00721450">
      <w:pPr>
        <w:spacing w:after="0" w:line="240" w:lineRule="auto"/>
      </w:pPr>
    </w:p>
    <w:p w14:paraId="1C5E5874" w14:textId="66C6F8A4" w:rsidR="00472C84" w:rsidRDefault="00472C84" w:rsidP="00721450">
      <w:pPr>
        <w:pStyle w:val="Bezodstpw"/>
        <w:numPr>
          <w:ilvl w:val="0"/>
          <w:numId w:val="1"/>
        </w:numPr>
        <w:ind w:left="142" w:hanging="142"/>
      </w:pPr>
      <w:r w:rsidRPr="00472C84">
        <w:t>WYMAGANE PARAMETRY TECHNICZNE WYKŁADZINY SPORTOWEJ</w:t>
      </w:r>
      <w:r>
        <w:t>.</w:t>
      </w:r>
    </w:p>
    <w:p w14:paraId="5B462E74" w14:textId="77777777" w:rsidR="00721450" w:rsidRDefault="00721450" w:rsidP="00721450">
      <w:pPr>
        <w:spacing w:after="0" w:line="240" w:lineRule="auto"/>
      </w:pPr>
    </w:p>
    <w:p w14:paraId="6A7410D6" w14:textId="3E7016D0" w:rsidR="00472C84" w:rsidRPr="001E2A86" w:rsidRDefault="00472C84" w:rsidP="00721450">
      <w:pPr>
        <w:spacing w:after="0" w:line="240" w:lineRule="auto"/>
        <w:jc w:val="both"/>
        <w:rPr>
          <w:rFonts w:cstheme="minorHAnsi"/>
        </w:rPr>
      </w:pPr>
      <w:r w:rsidRPr="000B7728">
        <w:rPr>
          <w:rFonts w:cstheme="minorHAnsi"/>
          <w:b/>
          <w:noProof/>
          <w:lang w:eastAsia="pl-PL"/>
        </w:rPr>
        <w:t xml:space="preserve">Wymagane parametry wykładziny sportowej </w:t>
      </w:r>
      <w:r w:rsidRPr="001E2A86">
        <w:rPr>
          <w:rFonts w:cstheme="minorHAnsi"/>
          <w:b/>
          <w:noProof/>
          <w:lang w:eastAsia="pl-PL"/>
        </w:rPr>
        <w:t>z nawierzchnią z wykładziny posiadająca certyfikat zgodności z normą EN 14904</w:t>
      </w:r>
    </w:p>
    <w:p w14:paraId="01B6D283" w14:textId="77777777" w:rsidR="00472C84" w:rsidRPr="001E2A86" w:rsidRDefault="00472C84" w:rsidP="00472C84">
      <w:pPr>
        <w:spacing w:after="0" w:line="240" w:lineRule="auto"/>
        <w:ind w:left="426"/>
        <w:rPr>
          <w:rFonts w:cstheme="minorHAnsi"/>
        </w:rPr>
      </w:pPr>
    </w:p>
    <w:p w14:paraId="44206868" w14:textId="64052CD5" w:rsidR="00472C84" w:rsidRPr="001E2A86" w:rsidRDefault="00472C84" w:rsidP="00721450">
      <w:pPr>
        <w:autoSpaceDE w:val="0"/>
        <w:autoSpaceDN w:val="0"/>
        <w:spacing w:after="0" w:line="240" w:lineRule="auto"/>
        <w:jc w:val="both"/>
        <w:rPr>
          <w:rFonts w:eastAsia="Calibri" w:cstheme="minorHAnsi"/>
          <w:lang w:eastAsia="pl-PL"/>
        </w:rPr>
      </w:pPr>
      <w:bookmarkStart w:id="3" w:name="_Hlk108609780"/>
      <w:r w:rsidRPr="001E2A86">
        <w:rPr>
          <w:rFonts w:eastAsia="Calibri" w:cstheme="minorHAnsi"/>
          <w:lang w:eastAsia="pl-PL"/>
        </w:rPr>
        <w:t>Wykładzina ma zapewniać</w:t>
      </w:r>
      <w:r w:rsidRPr="00B4311D">
        <w:rPr>
          <w:rFonts w:eastAsia="Calibri" w:cstheme="minorHAnsi"/>
          <w:lang w:eastAsia="pl-PL"/>
        </w:rPr>
        <w:t xml:space="preserve"> znakomite warunki do uprawiania wielu dyscyplin sportu np. koszykówki, siatkówki, piłki</w:t>
      </w:r>
      <w:r w:rsidRPr="001E2A86"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t>ręcznej.</w:t>
      </w:r>
      <w:r w:rsidRPr="001E2A86"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t xml:space="preserve">Wykładzina sportowa </w:t>
      </w:r>
      <w:r w:rsidRPr="001E2A86">
        <w:rPr>
          <w:rFonts w:eastAsia="Calibri" w:cstheme="minorHAnsi"/>
          <w:lang w:eastAsia="pl-PL"/>
        </w:rPr>
        <w:t xml:space="preserve">musi być </w:t>
      </w:r>
      <w:r w:rsidRPr="00B4311D">
        <w:rPr>
          <w:rFonts w:eastAsia="Calibri" w:cstheme="minorHAnsi"/>
          <w:lang w:eastAsia="pl-PL"/>
        </w:rPr>
        <w:t>wykładziną ekologiczną produkowaną z</w:t>
      </w:r>
      <w:r w:rsidR="003329A1"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t>naturalnych produktów takich jak olej lnian</w:t>
      </w:r>
      <w:r w:rsidR="00233DF6">
        <w:rPr>
          <w:rFonts w:eastAsia="Calibri" w:cstheme="minorHAnsi"/>
          <w:lang w:eastAsia="pl-PL"/>
        </w:rPr>
        <w:t>y</w:t>
      </w:r>
      <w:r w:rsidRPr="00B4311D">
        <w:rPr>
          <w:rFonts w:eastAsia="Calibri" w:cstheme="minorHAnsi"/>
          <w:lang w:eastAsia="pl-PL"/>
        </w:rPr>
        <w:t xml:space="preserve"> ,żywica naturalna, korek, mączka drzewna i barwniki </w:t>
      </w:r>
    </w:p>
    <w:p w14:paraId="423BFFC0" w14:textId="3595D886" w:rsidR="00472C84" w:rsidRPr="00B4311D" w:rsidRDefault="00472C84" w:rsidP="00721450">
      <w:pPr>
        <w:autoSpaceDE w:val="0"/>
        <w:autoSpaceDN w:val="0"/>
        <w:spacing w:after="0" w:line="240" w:lineRule="auto"/>
        <w:jc w:val="both"/>
        <w:rPr>
          <w:rFonts w:eastAsia="Calibri" w:cstheme="minorHAnsi"/>
          <w:lang w:eastAsia="pl-PL"/>
        </w:rPr>
      </w:pPr>
      <w:r w:rsidRPr="001E2A86">
        <w:rPr>
          <w:rFonts w:eastAsia="Calibri" w:cstheme="minorHAnsi"/>
          <w:lang w:eastAsia="pl-PL"/>
        </w:rPr>
        <w:t xml:space="preserve">Wykładzina </w:t>
      </w:r>
      <w:r w:rsidRPr="00B4311D">
        <w:rPr>
          <w:rFonts w:eastAsia="Calibri" w:cstheme="minorHAnsi"/>
          <w:lang w:eastAsia="pl-PL"/>
        </w:rPr>
        <w:t>homogeniczn</w:t>
      </w:r>
      <w:r w:rsidRPr="001E2A86">
        <w:rPr>
          <w:rFonts w:eastAsia="Calibri" w:cstheme="minorHAnsi"/>
          <w:lang w:eastAsia="pl-PL"/>
        </w:rPr>
        <w:t>a</w:t>
      </w:r>
      <w:r w:rsidRPr="00B4311D">
        <w:rPr>
          <w:rFonts w:eastAsia="Calibri" w:cstheme="minorHAnsi"/>
          <w:lang w:eastAsia="pl-PL"/>
        </w:rPr>
        <w:t>, jednowarstwow</w:t>
      </w:r>
      <w:r w:rsidRPr="001E2A86">
        <w:rPr>
          <w:rFonts w:eastAsia="Calibri" w:cstheme="minorHAnsi"/>
          <w:lang w:eastAsia="pl-PL"/>
        </w:rPr>
        <w:t>a</w:t>
      </w:r>
      <w:r w:rsidRPr="00B4311D">
        <w:rPr>
          <w:rFonts w:eastAsia="Calibri" w:cstheme="minorHAnsi"/>
          <w:lang w:eastAsia="pl-PL"/>
        </w:rPr>
        <w:t xml:space="preserve"> o warstwie ścieralnej </w:t>
      </w:r>
      <w:r w:rsidRPr="001E2A86">
        <w:rPr>
          <w:rFonts w:eastAsia="Calibri" w:cstheme="minorHAnsi"/>
          <w:lang w:eastAsia="pl-PL"/>
        </w:rPr>
        <w:t xml:space="preserve">min </w:t>
      </w:r>
      <w:r w:rsidRPr="00B4311D">
        <w:rPr>
          <w:rFonts w:eastAsia="Calibri" w:cstheme="minorHAnsi"/>
          <w:lang w:eastAsia="pl-PL"/>
        </w:rPr>
        <w:t xml:space="preserve">3,2mm. </w:t>
      </w:r>
      <w:r>
        <w:rPr>
          <w:rFonts w:eastAsia="Calibri" w:cstheme="minorHAnsi"/>
          <w:lang w:eastAsia="pl-PL"/>
        </w:rPr>
        <w:t>Powyższe rozwiązanie s</w:t>
      </w:r>
      <w:r w:rsidRPr="00B4311D">
        <w:rPr>
          <w:rFonts w:eastAsia="Calibri" w:cstheme="minorHAnsi"/>
          <w:lang w:eastAsia="pl-PL"/>
        </w:rPr>
        <w:t>tanowi gwarancję długowieczności, zachowania przez cały czas jednakowej kolorystyki i braku</w:t>
      </w:r>
      <w:r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t>niebezpieczeństwa rozwarstwiania się.</w:t>
      </w:r>
      <w:r w:rsidR="00233DF6">
        <w:rPr>
          <w:rFonts w:eastAsia="Calibri" w:cstheme="minorHAnsi"/>
          <w:lang w:eastAsia="pl-PL"/>
        </w:rPr>
        <w:t xml:space="preserve"> </w:t>
      </w:r>
      <w:r w:rsidRPr="001E2A86">
        <w:rPr>
          <w:rFonts w:eastAsia="Calibri" w:cstheme="minorHAnsi"/>
          <w:lang w:eastAsia="pl-PL"/>
        </w:rPr>
        <w:t>Wymaga się aby</w:t>
      </w:r>
      <w:r>
        <w:rPr>
          <w:rFonts w:eastAsia="Calibri" w:cstheme="minorHAnsi"/>
          <w:lang w:eastAsia="pl-PL"/>
        </w:rPr>
        <w:t xml:space="preserve"> wykładzina</w:t>
      </w:r>
      <w:r w:rsidRPr="001E2A86">
        <w:rPr>
          <w:rFonts w:eastAsia="Calibri" w:cstheme="minorHAnsi"/>
          <w:lang w:eastAsia="pl-PL"/>
        </w:rPr>
        <w:t xml:space="preserve"> była </w:t>
      </w:r>
      <w:r w:rsidRPr="00B4311D">
        <w:rPr>
          <w:rFonts w:eastAsia="Calibri" w:cstheme="minorHAnsi"/>
          <w:lang w:eastAsia="pl-PL"/>
        </w:rPr>
        <w:t>antybakteryjna, antystatyczna</w:t>
      </w:r>
      <w:r w:rsidRPr="001E2A86">
        <w:rPr>
          <w:rFonts w:eastAsia="Calibri" w:cstheme="minorHAnsi"/>
          <w:lang w:eastAsia="pl-PL"/>
        </w:rPr>
        <w:t xml:space="preserve"> i </w:t>
      </w:r>
      <w:r w:rsidRPr="00B4311D">
        <w:rPr>
          <w:rFonts w:eastAsia="Calibri" w:cstheme="minorHAnsi"/>
          <w:lang w:eastAsia="pl-PL"/>
        </w:rPr>
        <w:t>nie powod</w:t>
      </w:r>
      <w:r w:rsidRPr="001E2A86">
        <w:rPr>
          <w:rFonts w:eastAsia="Calibri" w:cstheme="minorHAnsi"/>
          <w:lang w:eastAsia="pl-PL"/>
        </w:rPr>
        <w:t xml:space="preserve">owała </w:t>
      </w:r>
      <w:r w:rsidRPr="00B4311D">
        <w:rPr>
          <w:rFonts w:eastAsia="Calibri" w:cstheme="minorHAnsi"/>
          <w:lang w:eastAsia="pl-PL"/>
        </w:rPr>
        <w:t>wyładowań elektrostatycznych</w:t>
      </w:r>
      <w:r w:rsidRPr="001E2A86">
        <w:rPr>
          <w:rFonts w:eastAsia="Calibri" w:cstheme="minorHAnsi"/>
          <w:lang w:eastAsia="pl-PL"/>
        </w:rPr>
        <w:t xml:space="preserve">. </w:t>
      </w:r>
      <w:r>
        <w:rPr>
          <w:rFonts w:eastAsia="Calibri" w:cstheme="minorHAnsi"/>
          <w:lang w:eastAsia="pl-PL"/>
        </w:rPr>
        <w:t>Wykładzina m</w:t>
      </w:r>
      <w:r w:rsidRPr="001E2A86">
        <w:rPr>
          <w:rFonts w:eastAsia="Calibri" w:cstheme="minorHAnsi"/>
          <w:lang w:eastAsia="pl-PL"/>
        </w:rPr>
        <w:t>usi być</w:t>
      </w:r>
      <w:r w:rsidRPr="00B4311D">
        <w:rPr>
          <w:rFonts w:eastAsia="Calibri" w:cstheme="minorHAnsi"/>
          <w:lang w:eastAsia="pl-PL"/>
        </w:rPr>
        <w:t xml:space="preserve"> łatwa do czyszczenia, </w:t>
      </w:r>
      <w:r w:rsidRPr="001E2A86">
        <w:rPr>
          <w:rFonts w:eastAsia="Calibri" w:cstheme="minorHAnsi"/>
          <w:lang w:eastAsia="pl-PL"/>
        </w:rPr>
        <w:t>bez wymogu</w:t>
      </w:r>
      <w:r w:rsidRPr="00B4311D">
        <w:rPr>
          <w:rFonts w:eastAsia="Calibri" w:cstheme="minorHAnsi"/>
          <w:lang w:eastAsia="pl-PL"/>
        </w:rPr>
        <w:t xml:space="preserve"> lakierowania, cyklinowania i pastowania.</w:t>
      </w:r>
      <w:r>
        <w:rPr>
          <w:rFonts w:eastAsia="Calibri" w:cstheme="minorHAnsi"/>
          <w:lang w:eastAsia="pl-PL"/>
        </w:rPr>
        <w:t xml:space="preserve"> </w:t>
      </w:r>
      <w:r w:rsidRPr="001E2A86">
        <w:rPr>
          <w:rFonts w:eastAsia="Calibri" w:cstheme="minorHAnsi"/>
          <w:lang w:eastAsia="pl-PL"/>
        </w:rPr>
        <w:t xml:space="preserve">Winna być odporna </w:t>
      </w:r>
      <w:r w:rsidRPr="00B4311D">
        <w:rPr>
          <w:rFonts w:eastAsia="Calibri" w:cstheme="minorHAnsi"/>
          <w:lang w:eastAsia="pl-PL"/>
        </w:rPr>
        <w:t>na żar z papierosa, oleje mineralne, ekstremalne obciążenia punktowe typu</w:t>
      </w:r>
      <w:r w:rsidRPr="001E2A86"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t>stoliki i krzesełka</w:t>
      </w:r>
      <w:r w:rsidRPr="001E2A86">
        <w:rPr>
          <w:rFonts w:eastAsia="Calibri" w:cstheme="minorHAnsi"/>
          <w:lang w:eastAsia="pl-PL"/>
        </w:rPr>
        <w:t xml:space="preserve"> (uroczystości </w:t>
      </w:r>
      <w:r>
        <w:rPr>
          <w:rFonts w:eastAsia="Calibri" w:cstheme="minorHAnsi"/>
          <w:lang w:eastAsia="pl-PL"/>
        </w:rPr>
        <w:t>Uczelniane i komercyjne</w:t>
      </w:r>
      <w:r w:rsidRPr="001E2A86">
        <w:rPr>
          <w:rFonts w:eastAsia="Calibri" w:cstheme="minorHAnsi"/>
          <w:lang w:eastAsia="pl-PL"/>
        </w:rPr>
        <w:t xml:space="preserve"> poza</w:t>
      </w:r>
      <w:r>
        <w:rPr>
          <w:rFonts w:eastAsia="Calibri" w:cstheme="minorHAnsi"/>
          <w:lang w:eastAsia="pl-PL"/>
        </w:rPr>
        <w:t>sportowe).</w:t>
      </w:r>
      <w:r w:rsidR="00721450">
        <w:rPr>
          <w:rFonts w:eastAsia="Calibri" w:cstheme="minorHAnsi"/>
          <w:lang w:eastAsia="pl-PL"/>
        </w:rPr>
        <w:t xml:space="preserve"> </w:t>
      </w:r>
      <w:r>
        <w:rPr>
          <w:rFonts w:eastAsia="Calibri" w:cstheme="minorHAnsi"/>
          <w:lang w:eastAsia="pl-PL"/>
        </w:rPr>
        <w:t>Nawierzchnia musi</w:t>
      </w:r>
      <w:r w:rsidRPr="001E2A86">
        <w:rPr>
          <w:rFonts w:eastAsia="Calibri" w:cstheme="minorHAnsi"/>
          <w:lang w:eastAsia="pl-PL"/>
        </w:rPr>
        <w:t xml:space="preserve"> nadawać się</w:t>
      </w:r>
      <w:r w:rsidRPr="00B4311D"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lastRenderedPageBreak/>
        <w:t xml:space="preserve">do </w:t>
      </w:r>
      <w:r w:rsidRPr="001E2A86">
        <w:rPr>
          <w:rFonts w:eastAsia="Calibri" w:cstheme="minorHAnsi"/>
          <w:lang w:eastAsia="pl-PL"/>
        </w:rPr>
        <w:t xml:space="preserve">uprawiania </w:t>
      </w:r>
      <w:r w:rsidRPr="00B4311D">
        <w:rPr>
          <w:rFonts w:eastAsia="Calibri" w:cstheme="minorHAnsi"/>
          <w:lang w:eastAsia="pl-PL"/>
        </w:rPr>
        <w:t>wszelkiego rodzaj</w:t>
      </w:r>
      <w:r w:rsidRPr="001E2A86">
        <w:rPr>
          <w:rFonts w:eastAsia="Calibri" w:cstheme="minorHAnsi"/>
          <w:lang w:eastAsia="pl-PL"/>
        </w:rPr>
        <w:t>u</w:t>
      </w:r>
      <w:r w:rsidRPr="00B4311D">
        <w:rPr>
          <w:rFonts w:eastAsia="Calibri" w:cstheme="minorHAnsi"/>
          <w:lang w:eastAsia="pl-PL"/>
        </w:rPr>
        <w:t xml:space="preserve"> sportów zespołowych</w:t>
      </w:r>
      <w:r w:rsidRPr="001E2A86"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t>i imprez masowych pozasportowych bez potrzeby dodatkowego zabezpieczenia typu</w:t>
      </w:r>
      <w:r w:rsidR="00E77CE4">
        <w:rPr>
          <w:rFonts w:eastAsia="Calibri" w:cstheme="minorHAnsi"/>
          <w:lang w:eastAsia="pl-PL"/>
        </w:rPr>
        <w:t>:</w:t>
      </w:r>
      <w:r w:rsidRPr="001E2A86">
        <w:rPr>
          <w:rFonts w:eastAsia="Calibri" w:cstheme="minorHAnsi"/>
          <w:lang w:eastAsia="pl-PL"/>
        </w:rPr>
        <w:t xml:space="preserve"> </w:t>
      </w:r>
      <w:r w:rsidRPr="00B4311D">
        <w:rPr>
          <w:rFonts w:eastAsia="Calibri" w:cstheme="minorHAnsi"/>
          <w:lang w:eastAsia="pl-PL"/>
        </w:rPr>
        <w:t>rozkładana wykładzina ochronna.</w:t>
      </w:r>
      <w:r w:rsidR="00E77CE4">
        <w:rPr>
          <w:rFonts w:eastAsia="Calibri" w:cstheme="minorHAnsi"/>
          <w:lang w:eastAsia="pl-PL"/>
        </w:rPr>
        <w:t xml:space="preserve"> </w:t>
      </w:r>
      <w:r>
        <w:rPr>
          <w:rFonts w:eastAsia="Calibri" w:cstheme="minorHAnsi"/>
          <w:lang w:eastAsia="pl-PL"/>
        </w:rPr>
        <w:t xml:space="preserve">Nawierzchnia </w:t>
      </w:r>
      <w:r w:rsidR="00E77CE4">
        <w:rPr>
          <w:rFonts w:eastAsia="Calibri" w:cstheme="minorHAnsi"/>
          <w:lang w:eastAsia="pl-PL"/>
        </w:rPr>
        <w:t>m</w:t>
      </w:r>
      <w:r w:rsidRPr="001E2A86">
        <w:rPr>
          <w:rFonts w:eastAsia="Calibri" w:cstheme="minorHAnsi"/>
          <w:lang w:eastAsia="pl-PL"/>
        </w:rPr>
        <w:t>a p</w:t>
      </w:r>
      <w:r w:rsidRPr="00B4311D">
        <w:rPr>
          <w:rFonts w:eastAsia="Calibri" w:cstheme="minorHAnsi"/>
          <w:lang w:eastAsia="pl-PL"/>
        </w:rPr>
        <w:t>ozwala</w:t>
      </w:r>
      <w:r w:rsidRPr="001E2A86">
        <w:rPr>
          <w:rFonts w:eastAsia="Calibri" w:cstheme="minorHAnsi"/>
          <w:lang w:eastAsia="pl-PL"/>
        </w:rPr>
        <w:t>ć</w:t>
      </w:r>
      <w:r w:rsidRPr="00B4311D">
        <w:rPr>
          <w:rFonts w:eastAsia="Calibri" w:cstheme="minorHAnsi"/>
          <w:lang w:eastAsia="pl-PL"/>
        </w:rPr>
        <w:t xml:space="preserve"> uprawiać sport osobom niepełnosprawnym na wózkach inwalidzkich</w:t>
      </w:r>
      <w:r>
        <w:rPr>
          <w:rFonts w:eastAsia="Calibri" w:cstheme="minorHAnsi"/>
          <w:lang w:eastAsia="pl-PL"/>
        </w:rPr>
        <w:t>.</w:t>
      </w:r>
      <w:r w:rsidRPr="00B4311D">
        <w:rPr>
          <w:rFonts w:eastAsia="Calibri" w:cstheme="minorHAnsi"/>
          <w:lang w:eastAsia="pl-PL"/>
        </w:rPr>
        <w:t xml:space="preserve"> </w:t>
      </w:r>
    </w:p>
    <w:p w14:paraId="12CF4750" w14:textId="77777777" w:rsidR="00472C84" w:rsidRPr="00B4311D" w:rsidRDefault="00472C84" w:rsidP="00472C84">
      <w:pPr>
        <w:autoSpaceDE w:val="0"/>
        <w:autoSpaceDN w:val="0"/>
        <w:spacing w:after="0" w:line="240" w:lineRule="auto"/>
        <w:ind w:left="426"/>
        <w:rPr>
          <w:rFonts w:eastAsia="Calibri" w:cstheme="minorHAnsi"/>
          <w:lang w:eastAsia="pl-PL"/>
        </w:rPr>
      </w:pPr>
      <w:r w:rsidRPr="001E2A86">
        <w:rPr>
          <w:rFonts w:eastAsia="Calibri" w:cstheme="minorHAnsi"/>
          <w:lang w:eastAsia="pl-PL"/>
        </w:rPr>
        <w:t xml:space="preserve"> </w:t>
      </w:r>
    </w:p>
    <w:p w14:paraId="34EF8461" w14:textId="69DC4387" w:rsidR="00472C84" w:rsidRPr="001E2A86" w:rsidRDefault="00472C84" w:rsidP="00721450">
      <w:pPr>
        <w:spacing w:after="0" w:line="240" w:lineRule="auto"/>
        <w:rPr>
          <w:rFonts w:cstheme="minorHAnsi"/>
        </w:rPr>
      </w:pPr>
      <w:bookmarkStart w:id="4" w:name="_Hlk108610252"/>
      <w:r w:rsidRPr="001E2A86">
        <w:rPr>
          <w:rFonts w:cstheme="minorHAnsi"/>
        </w:rPr>
        <w:t>Minimalne parametry</w:t>
      </w:r>
      <w:r w:rsidR="00721450">
        <w:rPr>
          <w:rFonts w:cstheme="minorHAnsi"/>
        </w:rPr>
        <w:t xml:space="preserve"> </w:t>
      </w:r>
      <w:r w:rsidR="00721450" w:rsidRPr="009848BE">
        <w:rPr>
          <w:rFonts w:cstheme="minorHAnsi"/>
        </w:rPr>
        <w:t>wykładziny</w:t>
      </w:r>
      <w:r>
        <w:rPr>
          <w:rFonts w:cstheme="minorHAnsi"/>
        </w:rPr>
        <w:t>:</w:t>
      </w:r>
    </w:p>
    <w:p w14:paraId="63B65F8B" w14:textId="77777777" w:rsidR="00472C84" w:rsidRPr="001E2A86" w:rsidRDefault="00472C84" w:rsidP="00721450">
      <w:pPr>
        <w:spacing w:after="0" w:line="240" w:lineRule="auto"/>
        <w:rPr>
          <w:rFonts w:cstheme="minorHAnsi"/>
        </w:rPr>
      </w:pPr>
    </w:p>
    <w:p w14:paraId="667C3D52" w14:textId="7D4E968D" w:rsidR="00472C84" w:rsidRDefault="00472C84" w:rsidP="00721450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1E2A86">
        <w:rPr>
          <w:rFonts w:cstheme="minorHAnsi"/>
        </w:rPr>
        <w:t xml:space="preserve">Typ pokrycia podłogowego EN 14041: </w:t>
      </w:r>
      <w:r w:rsidRPr="001E2A86">
        <w:rPr>
          <w:rFonts w:cstheme="minorHAnsi"/>
          <w:b/>
        </w:rPr>
        <w:t>Homogeniczne, jednowarstwowe, kalandrowane linoleum na podkładzie jutowym</w:t>
      </w:r>
      <w:r w:rsidRPr="001E2A86">
        <w:rPr>
          <w:rFonts w:cstheme="minorHAnsi"/>
        </w:rPr>
        <w:t xml:space="preserve"> </w:t>
      </w:r>
      <w:r w:rsidR="00721450">
        <w:rPr>
          <w:rFonts w:cstheme="minorHAnsi"/>
        </w:rPr>
        <w:t>,</w:t>
      </w:r>
    </w:p>
    <w:p w14:paraId="47496D39" w14:textId="40E131E9" w:rsidR="00472C84" w:rsidRPr="00721450" w:rsidRDefault="00472C84" w:rsidP="00721450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21450">
        <w:rPr>
          <w:rFonts w:cstheme="minorHAnsi"/>
        </w:rPr>
        <w:t xml:space="preserve">Grubość całkowita EN ISO 24346: </w:t>
      </w:r>
      <w:r w:rsidRPr="00721450">
        <w:rPr>
          <w:rFonts w:cstheme="minorHAnsi"/>
          <w:b/>
        </w:rPr>
        <w:t>3.2 mm</w:t>
      </w:r>
      <w:r w:rsidR="00721450">
        <w:rPr>
          <w:rFonts w:cstheme="minorHAnsi"/>
          <w:b/>
        </w:rPr>
        <w:t>,</w:t>
      </w:r>
    </w:p>
    <w:p w14:paraId="66EFF5E7" w14:textId="2A6DC8AE" w:rsidR="00472C84" w:rsidRPr="00721450" w:rsidRDefault="00472C84" w:rsidP="00721450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21450">
        <w:rPr>
          <w:rFonts w:cstheme="minorHAnsi"/>
        </w:rPr>
        <w:t xml:space="preserve">Masa całkowita EN ISO 23997: </w:t>
      </w:r>
      <w:r w:rsidRPr="00721450">
        <w:rPr>
          <w:rFonts w:cstheme="minorHAnsi"/>
          <w:b/>
        </w:rPr>
        <w:t>3,9 kg/m</w:t>
      </w:r>
      <w:r w:rsidR="00721450">
        <w:rPr>
          <w:rFonts w:cstheme="minorHAnsi"/>
          <w:b/>
          <w:vertAlign w:val="superscript"/>
        </w:rPr>
        <w:t>2</w:t>
      </w:r>
      <w:r w:rsidR="00721450">
        <w:rPr>
          <w:rFonts w:cstheme="minorHAnsi"/>
          <w:b/>
        </w:rPr>
        <w:t>,</w:t>
      </w:r>
    </w:p>
    <w:p w14:paraId="1EB982BA" w14:textId="215C590B" w:rsidR="00472C84" w:rsidRPr="00721450" w:rsidRDefault="00472C84" w:rsidP="00721450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21450">
        <w:rPr>
          <w:rFonts w:cstheme="minorHAnsi"/>
        </w:rPr>
        <w:t xml:space="preserve">Zabezpieczenie powierzchni: </w:t>
      </w:r>
      <w:r w:rsidRPr="00721450">
        <w:rPr>
          <w:rFonts w:cstheme="minorHAnsi"/>
          <w:b/>
        </w:rPr>
        <w:t>x-TREME XF2</w:t>
      </w:r>
      <w:r w:rsidR="00721450">
        <w:rPr>
          <w:rFonts w:cstheme="minorHAnsi"/>
          <w:b/>
        </w:rPr>
        <w:t>,</w:t>
      </w:r>
    </w:p>
    <w:p w14:paraId="4DD8CAF3" w14:textId="7C1403D9" w:rsidR="00472C84" w:rsidRPr="00721450" w:rsidRDefault="00472C84" w:rsidP="00721450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21450">
        <w:rPr>
          <w:rFonts w:cstheme="minorHAnsi"/>
        </w:rPr>
        <w:t xml:space="preserve">Reakcja na ogień EN 13501-1: </w:t>
      </w:r>
      <w:proofErr w:type="spellStart"/>
      <w:r w:rsidRPr="00721450">
        <w:rPr>
          <w:rFonts w:cstheme="minorHAnsi"/>
          <w:b/>
        </w:rPr>
        <w:t>Cfl</w:t>
      </w:r>
      <w:proofErr w:type="spellEnd"/>
      <w:r w:rsidRPr="00721450">
        <w:rPr>
          <w:rFonts w:cstheme="minorHAnsi"/>
          <w:b/>
        </w:rPr>
        <w:t xml:space="preserve"> s1</w:t>
      </w:r>
      <w:r w:rsidR="00721450">
        <w:rPr>
          <w:rFonts w:cstheme="minorHAnsi"/>
          <w:b/>
        </w:rPr>
        <w:t>,</w:t>
      </w:r>
    </w:p>
    <w:p w14:paraId="10EE9AA8" w14:textId="7CEA2FE7" w:rsidR="00472C84" w:rsidRPr="00721450" w:rsidRDefault="00472C84" w:rsidP="00721450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21450">
        <w:rPr>
          <w:rFonts w:cstheme="minorHAnsi"/>
        </w:rPr>
        <w:t xml:space="preserve">Współczynnik tarcia EN 13036-4: </w:t>
      </w:r>
      <w:r w:rsidRPr="00721450">
        <w:rPr>
          <w:rFonts w:cstheme="minorHAnsi"/>
          <w:b/>
        </w:rPr>
        <w:t>80-110</w:t>
      </w:r>
      <w:r w:rsidR="00721450">
        <w:rPr>
          <w:rFonts w:cstheme="minorHAnsi"/>
          <w:b/>
        </w:rPr>
        <w:t>,</w:t>
      </w:r>
    </w:p>
    <w:p w14:paraId="2CAFD25C" w14:textId="570BDE02" w:rsidR="00472C84" w:rsidRPr="00721450" w:rsidRDefault="00472C84" w:rsidP="00721450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21450">
        <w:rPr>
          <w:rFonts w:cstheme="minorHAnsi"/>
        </w:rPr>
        <w:t xml:space="preserve">Połysk zwierciadlany EN ISO 2813 </w:t>
      </w:r>
      <w:r w:rsidRPr="00721450">
        <w:rPr>
          <w:rFonts w:cstheme="minorHAnsi"/>
          <w:b/>
        </w:rPr>
        <w:t>≤ 30</w:t>
      </w:r>
      <w:r w:rsidR="00721450">
        <w:rPr>
          <w:rFonts w:cstheme="minorHAnsi"/>
          <w:b/>
        </w:rPr>
        <w:t>,</w:t>
      </w:r>
    </w:p>
    <w:p w14:paraId="7025D728" w14:textId="5060C661" w:rsidR="00472C84" w:rsidRPr="00721450" w:rsidRDefault="00472C84" w:rsidP="00721450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21450">
        <w:rPr>
          <w:rFonts w:cstheme="minorHAnsi"/>
        </w:rPr>
        <w:t xml:space="preserve">Odporność na wgniecenie EN 1516: </w:t>
      </w:r>
      <w:r w:rsidRPr="00721450">
        <w:rPr>
          <w:rFonts w:cstheme="minorHAnsi"/>
          <w:b/>
        </w:rPr>
        <w:t>≤ 0,15 mm</w:t>
      </w:r>
      <w:r w:rsidR="00721450">
        <w:rPr>
          <w:rFonts w:cstheme="minorHAnsi"/>
          <w:b/>
        </w:rPr>
        <w:t>,</w:t>
      </w:r>
    </w:p>
    <w:p w14:paraId="76BBFB29" w14:textId="1A75DF47" w:rsidR="00472C84" w:rsidRPr="00721450" w:rsidRDefault="00472C84" w:rsidP="00721450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21450">
        <w:rPr>
          <w:rFonts w:cstheme="minorHAnsi"/>
        </w:rPr>
        <w:t xml:space="preserve">Poprawa akustyki NFS-074: </w:t>
      </w:r>
      <w:r w:rsidRPr="00721450">
        <w:rPr>
          <w:rFonts w:cstheme="minorHAnsi"/>
          <w:b/>
        </w:rPr>
        <w:t>Klasa B ≤ 75 Db</w:t>
      </w:r>
      <w:r w:rsidR="00721450">
        <w:rPr>
          <w:rFonts w:cstheme="minorHAnsi"/>
          <w:b/>
        </w:rPr>
        <w:t>.</w:t>
      </w:r>
    </w:p>
    <w:bookmarkEnd w:id="3"/>
    <w:bookmarkEnd w:id="4"/>
    <w:p w14:paraId="128747B5" w14:textId="77777777" w:rsidR="00472C84" w:rsidRDefault="00472C84" w:rsidP="00721450">
      <w:pPr>
        <w:spacing w:after="0" w:line="240" w:lineRule="auto"/>
      </w:pPr>
    </w:p>
    <w:p w14:paraId="4435CC82" w14:textId="77777777" w:rsidR="00472C84" w:rsidRDefault="00472C84" w:rsidP="00721450">
      <w:pPr>
        <w:pStyle w:val="Bezodstpw"/>
        <w:numPr>
          <w:ilvl w:val="0"/>
          <w:numId w:val="1"/>
        </w:numPr>
        <w:ind w:left="142" w:hanging="142"/>
      </w:pPr>
      <w:r>
        <w:t>WNIOSKI I ZALECENIA</w:t>
      </w:r>
    </w:p>
    <w:p w14:paraId="3E9A8A08" w14:textId="3CA166B6" w:rsidR="009D00C1" w:rsidRDefault="009D00C1" w:rsidP="00472C84">
      <w:pPr>
        <w:pStyle w:val="Bezodstpw"/>
        <w:ind w:left="720"/>
      </w:pPr>
      <w:r w:rsidRPr="00FA0721">
        <w:t xml:space="preserve"> </w:t>
      </w:r>
    </w:p>
    <w:p w14:paraId="49AE333E" w14:textId="2296F6F3" w:rsidR="009D00C1" w:rsidRDefault="009D00C1" w:rsidP="00721450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</w:pPr>
      <w:r w:rsidRPr="00FA0721">
        <w:t>Wszystkie prace budowlane prowadzić należy pod fachowym nadzorem technicznym</w:t>
      </w:r>
      <w:r>
        <w:t xml:space="preserve"> kierownika budowy z uprawnieniami do kierowania robotami budowlanymi uprawnionym minimum w ograniczonym zakresie do kierowania robotami budowlanymi o charakterze ogólnobudowlanym w specjalności konstrukcyjno-budowlanej</w:t>
      </w:r>
      <w:r w:rsidRPr="00FA0721">
        <w:t xml:space="preserve">, zgodnie z obowiązującymi przepisami Prawa budowlanego, BHP oraz normami i warunkami technicznymi realizacji robót budowlano- montażowych. </w:t>
      </w:r>
    </w:p>
    <w:p w14:paraId="3C1C1547" w14:textId="3E231A68" w:rsidR="009D00C1" w:rsidRPr="00304FE8" w:rsidRDefault="009D00C1" w:rsidP="00721450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</w:pPr>
      <w:r w:rsidRPr="00304FE8">
        <w:t>Roboty budowlane i instalacyjne oraz nadzór nad nimi należy zlecić osobom</w:t>
      </w:r>
      <w:r w:rsidR="00721450" w:rsidRPr="00304FE8">
        <w:t xml:space="preserve"> </w:t>
      </w:r>
      <w:r w:rsidRPr="00304FE8">
        <w:t>posiadającym wymagane kwalifikacje i uprawnienia.</w:t>
      </w:r>
      <w:r w:rsidR="00721450" w:rsidRPr="00304FE8">
        <w:t xml:space="preserve"> </w:t>
      </w:r>
    </w:p>
    <w:p w14:paraId="1C692980" w14:textId="26152ACC" w:rsidR="009D00C1" w:rsidRDefault="009D00C1" w:rsidP="00721450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</w:pPr>
      <w:r w:rsidRPr="00FA0721">
        <w:t xml:space="preserve">Używać należy </w:t>
      </w:r>
      <w:r>
        <w:t xml:space="preserve">wyłącznie </w:t>
      </w:r>
      <w:r w:rsidRPr="00FA0721">
        <w:t xml:space="preserve">materiałów atestowanych. </w:t>
      </w:r>
    </w:p>
    <w:p w14:paraId="0969CBC6" w14:textId="006BACCC" w:rsidR="009D00C1" w:rsidRDefault="009D00C1" w:rsidP="00721450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</w:pPr>
      <w:r w:rsidRPr="009C3FD0">
        <w:t>Wszystkie materiały użyte w wykonawstwie powinny</w:t>
      </w:r>
      <w:r>
        <w:t xml:space="preserve"> </w:t>
      </w:r>
      <w:r w:rsidRPr="009C3FD0">
        <w:t>być dopuszczone do obrotu i stosowania w budownictwie.</w:t>
      </w:r>
    </w:p>
    <w:p w14:paraId="33D37B76" w14:textId="53487533" w:rsidR="009D00C1" w:rsidRDefault="009D00C1" w:rsidP="00721450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</w:pPr>
      <w:r w:rsidRPr="009C3FD0">
        <w:t>Jakość oraz standard prac budowlanych i wykończeniowych musi odpowiadać</w:t>
      </w:r>
      <w:r w:rsidR="00721450">
        <w:t xml:space="preserve"> </w:t>
      </w:r>
      <w:r w:rsidRPr="009C3FD0">
        <w:t>Polskim Normom oraz być wykonywana zgodnie z „Warunkami technicznymi</w:t>
      </w:r>
      <w:r w:rsidR="00721450">
        <w:t xml:space="preserve"> </w:t>
      </w:r>
      <w:r w:rsidRPr="009C3FD0">
        <w:t>wykonania i odbioru robót budowlanych.”</w:t>
      </w:r>
    </w:p>
    <w:p w14:paraId="6EB8A15E" w14:textId="08A324A4" w:rsidR="00233DF6" w:rsidRDefault="00233DF6" w:rsidP="00233DF6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</w:pPr>
      <w:r>
        <w:t xml:space="preserve">Wymaga się aby wykładzina </w:t>
      </w:r>
      <w:r w:rsidR="009848BE">
        <w:t xml:space="preserve">posiadała </w:t>
      </w:r>
      <w:r>
        <w:t xml:space="preserve">co najmniej jeden krajowy lub międzynarodowy Certyfikat, Opinie  np. FIBA , PZPS, IHF itp., bądź </w:t>
      </w:r>
      <w:r w:rsidR="00754F47">
        <w:t xml:space="preserve">potwierdzenie, że </w:t>
      </w:r>
      <w:r>
        <w:t xml:space="preserve">miała zastosowanie w jednym z systemowych rozwiązań posiadających w/w certyfikaty. </w:t>
      </w:r>
    </w:p>
    <w:p w14:paraId="70B792CE" w14:textId="443A0E0D" w:rsidR="00233DF6" w:rsidRDefault="00233DF6" w:rsidP="00233DF6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</w:pPr>
      <w:r>
        <w:t>Autoryzacja producenta wykładziny upoważniająca do instalacji konkretnej nawierzchni na danym</w:t>
      </w:r>
      <w:r w:rsidR="009848BE">
        <w:t xml:space="preserve"> </w:t>
      </w:r>
      <w:r w:rsidR="005C5168">
        <w:t>obiekcie</w:t>
      </w:r>
      <w:bookmarkStart w:id="5" w:name="_GoBack"/>
      <w:bookmarkEnd w:id="5"/>
      <w:r w:rsidR="009848BE">
        <w:t>,</w:t>
      </w:r>
      <w:r>
        <w:t xml:space="preserve"> wraz z potwierdzeniem udzielenia gwarancji. Gwarancja winna określać miejsce wbudowania, a okres </w:t>
      </w:r>
      <w:r w:rsidR="009848BE">
        <w:t xml:space="preserve">gwarancji </w:t>
      </w:r>
      <w:r>
        <w:t xml:space="preserve">powinien </w:t>
      </w:r>
      <w:r w:rsidR="009848BE">
        <w:t xml:space="preserve">wynosić </w:t>
      </w:r>
      <w:r>
        <w:t>min. 5 lat.</w:t>
      </w:r>
    </w:p>
    <w:p w14:paraId="235DEBC0" w14:textId="77777777" w:rsidR="006B7475" w:rsidRDefault="006B7475" w:rsidP="006B7475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  <w:rPr>
          <w:rFonts w:cstheme="minorHAnsi"/>
        </w:rPr>
      </w:pPr>
      <w:r>
        <w:t>Wykładzina sportowa, którą Wykonawca przewiduje zainstalować w sali gimnastycznej powinna posiadać następujące dokumenty:</w:t>
      </w:r>
    </w:p>
    <w:p w14:paraId="6529F466" w14:textId="77777777" w:rsidR="006B7475" w:rsidRPr="00582C5F" w:rsidRDefault="006B7475" w:rsidP="006B7475">
      <w:pPr>
        <w:pStyle w:val="Bezodstpw"/>
        <w:numPr>
          <w:ilvl w:val="0"/>
          <w:numId w:val="40"/>
        </w:numPr>
      </w:pPr>
      <w:r w:rsidRPr="00582C5F">
        <w:t>Karta techniczna proponowanej wykładziny potwierdzająca w/w parametry wykładziny</w:t>
      </w:r>
    </w:p>
    <w:p w14:paraId="1591CA1E" w14:textId="77777777" w:rsidR="006B7475" w:rsidRPr="00582C5F" w:rsidRDefault="006B7475" w:rsidP="006B7475">
      <w:pPr>
        <w:pStyle w:val="Bezodstpw"/>
        <w:numPr>
          <w:ilvl w:val="0"/>
          <w:numId w:val="40"/>
        </w:numPr>
      </w:pPr>
      <w:bookmarkStart w:id="6" w:name="_Hlk108618084"/>
      <w:r w:rsidRPr="00582C5F">
        <w:t>Atest higieniczny</w:t>
      </w:r>
    </w:p>
    <w:p w14:paraId="1503AB4E" w14:textId="77777777" w:rsidR="006B7475" w:rsidRPr="00582C5F" w:rsidRDefault="006B7475" w:rsidP="006B7475">
      <w:pPr>
        <w:pStyle w:val="Bezodstpw"/>
        <w:numPr>
          <w:ilvl w:val="0"/>
          <w:numId w:val="40"/>
        </w:numPr>
      </w:pPr>
      <w:r w:rsidRPr="00582C5F">
        <w:t xml:space="preserve">Świadectwo badań ogniowych świadczące o </w:t>
      </w:r>
      <w:proofErr w:type="spellStart"/>
      <w:r w:rsidRPr="00582C5F">
        <w:t>trudno</w:t>
      </w:r>
      <w:r>
        <w:t>za</w:t>
      </w:r>
      <w:r w:rsidRPr="00582C5F">
        <w:t>palności</w:t>
      </w:r>
      <w:proofErr w:type="spellEnd"/>
      <w:r w:rsidRPr="00582C5F">
        <w:t xml:space="preserve"> wykładziny</w:t>
      </w:r>
    </w:p>
    <w:p w14:paraId="48CF90F9" w14:textId="77777777" w:rsidR="006B7475" w:rsidRPr="00582C5F" w:rsidRDefault="006B7475" w:rsidP="006B7475">
      <w:pPr>
        <w:pStyle w:val="Bezodstpw"/>
        <w:numPr>
          <w:ilvl w:val="0"/>
          <w:numId w:val="40"/>
        </w:numPr>
      </w:pPr>
      <w:r w:rsidRPr="00582C5F">
        <w:t>Deklarację zgodności z PN</w:t>
      </w:r>
    </w:p>
    <w:bookmarkEnd w:id="6"/>
    <w:p w14:paraId="61347FFC" w14:textId="16FAF139" w:rsidR="006B7475" w:rsidRDefault="006B7475" w:rsidP="006B7475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</w:pPr>
      <w:r>
        <w:t xml:space="preserve">Podłoga jako cały system /konstrukcja + wykładzina/ musi posiadać: </w:t>
      </w:r>
    </w:p>
    <w:p w14:paraId="361ECB40" w14:textId="156A4DC0" w:rsidR="006B7475" w:rsidRDefault="006B7475" w:rsidP="006B7475">
      <w:pPr>
        <w:pStyle w:val="Bezodstpw"/>
        <w:numPr>
          <w:ilvl w:val="0"/>
          <w:numId w:val="47"/>
        </w:numPr>
      </w:pPr>
      <w:r>
        <w:t xml:space="preserve">Certyfikat Zgodności z obowiązującą normą EN 14904:2006 </w:t>
      </w:r>
      <w:r w:rsidR="00977D7B">
        <w:t xml:space="preserve">(lub równoważną) </w:t>
      </w:r>
      <w:r>
        <w:t xml:space="preserve">wydany przez Instytut Techniki Budowlanej lub inny uprawniony organ, </w:t>
      </w:r>
    </w:p>
    <w:p w14:paraId="566834E2" w14:textId="77777777" w:rsidR="006B7475" w:rsidRDefault="006B7475" w:rsidP="006B7475">
      <w:pPr>
        <w:pStyle w:val="Bezodstpw"/>
        <w:numPr>
          <w:ilvl w:val="0"/>
          <w:numId w:val="47"/>
        </w:numPr>
      </w:pPr>
      <w:r>
        <w:t xml:space="preserve">Klasyfikację w zakresie reakcji na ogień - Cfl-s1. </w:t>
      </w:r>
    </w:p>
    <w:p w14:paraId="76C1ABBF" w14:textId="77777777" w:rsidR="006B7475" w:rsidRPr="004658AC" w:rsidRDefault="006B7475" w:rsidP="006B7475">
      <w:pPr>
        <w:pStyle w:val="Bezodstpw"/>
        <w:ind w:left="720"/>
      </w:pPr>
      <w:r>
        <w:t>Powyższe dotyczy miejsc naprawianych oraz stref o zwiększonej obciążalności</w:t>
      </w:r>
    </w:p>
    <w:p w14:paraId="4847FDC2" w14:textId="77777777" w:rsidR="006B7475" w:rsidRDefault="006B7475" w:rsidP="00721450">
      <w:pPr>
        <w:spacing w:after="0" w:line="240" w:lineRule="auto"/>
        <w:jc w:val="both"/>
      </w:pPr>
    </w:p>
    <w:p w14:paraId="0CDED46B" w14:textId="77777777" w:rsidR="006B7475" w:rsidRDefault="006B7475" w:rsidP="00721450">
      <w:pPr>
        <w:spacing w:after="0" w:line="240" w:lineRule="auto"/>
        <w:jc w:val="both"/>
      </w:pPr>
    </w:p>
    <w:p w14:paraId="5B87D7A6" w14:textId="77777777" w:rsidR="006B7475" w:rsidRDefault="006B7475" w:rsidP="00721450">
      <w:pPr>
        <w:spacing w:after="0" w:line="240" w:lineRule="auto"/>
        <w:jc w:val="both"/>
      </w:pPr>
    </w:p>
    <w:p w14:paraId="13E57C77" w14:textId="125C22F8" w:rsidR="009D00C1" w:rsidRDefault="009D00C1" w:rsidP="00721450">
      <w:pPr>
        <w:spacing w:after="0" w:line="240" w:lineRule="auto"/>
        <w:jc w:val="both"/>
      </w:pPr>
      <w:r>
        <w:t>UWAGA. Wszystkie wymiary należy sprawdzić przed wykonaniem zamówienia. Zamawiający nie przewiduje żadnych korekt (ani też ingerencji) w elementy konstrukcyjne budynków, w związku z realizacją niniejszej inwestycji.</w:t>
      </w:r>
    </w:p>
    <w:p w14:paraId="4AC4DF3B" w14:textId="77777777" w:rsidR="00580AE2" w:rsidRDefault="00580AE2" w:rsidP="00721450">
      <w:pPr>
        <w:spacing w:after="0" w:line="240" w:lineRule="auto"/>
      </w:pPr>
    </w:p>
    <w:p w14:paraId="6195064E" w14:textId="5666C88B" w:rsidR="003329A1" w:rsidRDefault="003329A1" w:rsidP="003329A1">
      <w:pPr>
        <w:pStyle w:val="Akapitzlist"/>
        <w:numPr>
          <w:ilvl w:val="0"/>
          <w:numId w:val="1"/>
        </w:numPr>
        <w:spacing w:after="0" w:line="240" w:lineRule="auto"/>
        <w:ind w:left="142" w:hanging="142"/>
      </w:pPr>
      <w:r>
        <w:t>DOKUMENTACJA FOTOGRAFICZNA</w:t>
      </w:r>
    </w:p>
    <w:p w14:paraId="6BD1DC83" w14:textId="33F9A0A0" w:rsidR="003329A1" w:rsidRDefault="00304FE8" w:rsidP="003329A1">
      <w:pPr>
        <w:spacing w:after="0" w:line="240" w:lineRule="auto"/>
      </w:pPr>
      <w:r>
        <w:rPr>
          <w:noProof/>
          <w:lang w:eastAsia="pl-PL"/>
        </w:rPr>
        <w:drawing>
          <wp:inline distT="0" distB="0" distL="0" distR="0" wp14:anchorId="01F1B9BD" wp14:editId="00CC2D7C">
            <wp:extent cx="5478780" cy="2461260"/>
            <wp:effectExtent l="0" t="0" r="7620" b="0"/>
            <wp:docPr id="10" name="Obraz 10" descr="IMG_20220628_07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G_20220628_0722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FA424" w14:textId="27174D83" w:rsidR="00C37DAE" w:rsidRDefault="00233DF6" w:rsidP="00233DF6">
      <w:pPr>
        <w:spacing w:after="0" w:line="240" w:lineRule="auto"/>
      </w:pPr>
      <w:r>
        <w:t>A</w:t>
      </w:r>
      <w:r w:rsidR="003329A1">
        <w:t>rena sportowa ANS w Tarnowie</w:t>
      </w:r>
    </w:p>
    <w:p w14:paraId="4A368165" w14:textId="77777777" w:rsidR="00C37DAE" w:rsidRPr="001E2A86" w:rsidRDefault="00C37DAE" w:rsidP="00472C84">
      <w:pPr>
        <w:pStyle w:val="Akapitzlist"/>
        <w:spacing w:after="0" w:line="240" w:lineRule="auto"/>
        <w:ind w:left="426"/>
        <w:rPr>
          <w:rFonts w:cstheme="minorHAnsi"/>
        </w:rPr>
      </w:pPr>
    </w:p>
    <w:p w14:paraId="37531F2B" w14:textId="1B9E8B37" w:rsidR="003329A1" w:rsidRDefault="00304FE8" w:rsidP="00233DF6">
      <w:pPr>
        <w:pStyle w:val="Akapitzlist"/>
        <w:spacing w:after="0" w:line="240" w:lineRule="auto"/>
        <w:ind w:left="0"/>
      </w:pPr>
      <w:r>
        <w:rPr>
          <w:noProof/>
          <w:lang w:eastAsia="pl-PL"/>
        </w:rPr>
        <w:drawing>
          <wp:inline distT="0" distB="0" distL="0" distR="0" wp14:anchorId="0B91C772" wp14:editId="52AEEBF2">
            <wp:extent cx="5478780" cy="2461260"/>
            <wp:effectExtent l="0" t="0" r="7620" b="0"/>
            <wp:docPr id="2" name="Obraz 2" descr="IMG_20220628_072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20220628_07214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9A1">
        <w:t>Arena sportowa ANS w Tarnowie</w:t>
      </w:r>
    </w:p>
    <w:p w14:paraId="0ADF7E34" w14:textId="77777777" w:rsidR="003329A1" w:rsidRDefault="003329A1" w:rsidP="00472C84">
      <w:pPr>
        <w:pStyle w:val="Akapitzlist"/>
        <w:spacing w:after="0" w:line="240" w:lineRule="auto"/>
        <w:ind w:left="426"/>
      </w:pPr>
    </w:p>
    <w:p w14:paraId="3AF9529A" w14:textId="1B957B01" w:rsidR="003329A1" w:rsidRDefault="00304FE8" w:rsidP="003329A1">
      <w:pPr>
        <w:pStyle w:val="Akapitzlist"/>
        <w:spacing w:after="0" w:line="240" w:lineRule="auto"/>
        <w:ind w:left="0"/>
      </w:pPr>
      <w:r>
        <w:rPr>
          <w:noProof/>
          <w:lang w:eastAsia="pl-PL"/>
        </w:rPr>
        <w:lastRenderedPageBreak/>
        <w:drawing>
          <wp:inline distT="0" distB="0" distL="0" distR="0" wp14:anchorId="0676C98E" wp14:editId="42AA5541">
            <wp:extent cx="5478780" cy="2461260"/>
            <wp:effectExtent l="0" t="0" r="7620" b="0"/>
            <wp:docPr id="3" name="Obraz 3" descr="IMG_20220628_072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20220628_07203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6159F" w14:textId="34146AEA" w:rsidR="000F25D1" w:rsidRPr="00233DF6" w:rsidRDefault="003329A1" w:rsidP="00233DF6">
      <w:pPr>
        <w:spacing w:after="0" w:line="240" w:lineRule="auto"/>
      </w:pPr>
      <w:r>
        <w:t>Widok na strefę ścianki wspinaczkowej</w:t>
      </w:r>
    </w:p>
    <w:p w14:paraId="7F6443E4" w14:textId="77777777" w:rsidR="000F25D1" w:rsidRDefault="000F25D1" w:rsidP="00233DF6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53FC6F64" w14:textId="77777777" w:rsidR="000B7728" w:rsidRDefault="000B7728" w:rsidP="009D00C1">
      <w:pPr>
        <w:pStyle w:val="Akapitzlist"/>
        <w:spacing w:after="0" w:line="240" w:lineRule="auto"/>
        <w:ind w:left="0"/>
      </w:pPr>
    </w:p>
    <w:p w14:paraId="4FC70A8B" w14:textId="21EC63F8" w:rsidR="003E127D" w:rsidRDefault="003E127D" w:rsidP="009D00C1">
      <w:pPr>
        <w:pStyle w:val="Akapitzlist"/>
        <w:spacing w:after="0" w:line="240" w:lineRule="auto"/>
        <w:ind w:left="0"/>
      </w:pPr>
    </w:p>
    <w:sectPr w:rsidR="003E127D" w:rsidSect="00472C84">
      <w:footerReference w:type="default" r:id="rId11"/>
      <w:pgSz w:w="11906" w:h="16838"/>
      <w:pgMar w:top="1417" w:right="1417" w:bottom="1417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8283C" w14:textId="77777777" w:rsidR="00A86C92" w:rsidRDefault="00A86C92" w:rsidP="00FD1C4C">
      <w:pPr>
        <w:spacing w:after="0" w:line="240" w:lineRule="auto"/>
      </w:pPr>
      <w:r>
        <w:separator/>
      </w:r>
    </w:p>
  </w:endnote>
  <w:endnote w:type="continuationSeparator" w:id="0">
    <w:p w14:paraId="4CBE2DB6" w14:textId="77777777" w:rsidR="00A86C92" w:rsidRDefault="00A86C92" w:rsidP="00FD1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840884004"/>
      <w:docPartObj>
        <w:docPartGallery w:val="Page Numbers (Bottom of Page)"/>
        <w:docPartUnique/>
      </w:docPartObj>
    </w:sdtPr>
    <w:sdtEndPr>
      <w:rPr>
        <w:rFonts w:cstheme="majorHAnsi"/>
        <w:sz w:val="22"/>
        <w:szCs w:val="22"/>
      </w:rPr>
    </w:sdtEndPr>
    <w:sdtContent>
      <w:p w14:paraId="62E6A713" w14:textId="4DA753F4" w:rsidR="00D34AA7" w:rsidRPr="00CF4C19" w:rsidRDefault="00D34AA7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CF4C19">
          <w:rPr>
            <w:rFonts w:asciiTheme="majorHAnsi" w:eastAsiaTheme="majorEastAsia" w:hAnsiTheme="majorHAnsi" w:cstheme="majorHAnsi"/>
          </w:rPr>
          <w:t xml:space="preserve">str. </w:t>
        </w:r>
        <w:r w:rsidRPr="00CF4C19">
          <w:rPr>
            <w:rFonts w:asciiTheme="majorHAnsi" w:eastAsiaTheme="minorEastAsia" w:hAnsiTheme="majorHAnsi" w:cstheme="majorHAnsi"/>
          </w:rPr>
          <w:fldChar w:fldCharType="begin"/>
        </w:r>
        <w:r w:rsidRPr="00CF4C19">
          <w:rPr>
            <w:rFonts w:asciiTheme="majorHAnsi" w:hAnsiTheme="majorHAnsi" w:cstheme="majorHAnsi"/>
          </w:rPr>
          <w:instrText>PAGE    \* MERGEFORMAT</w:instrText>
        </w:r>
        <w:r w:rsidRPr="00CF4C19">
          <w:rPr>
            <w:rFonts w:asciiTheme="majorHAnsi" w:eastAsiaTheme="minorEastAsia" w:hAnsiTheme="majorHAnsi" w:cstheme="majorHAnsi"/>
          </w:rPr>
          <w:fldChar w:fldCharType="separate"/>
        </w:r>
        <w:r w:rsidR="006B7475" w:rsidRPr="006B7475">
          <w:rPr>
            <w:rFonts w:asciiTheme="majorHAnsi" w:eastAsiaTheme="majorEastAsia" w:hAnsiTheme="majorHAnsi" w:cstheme="majorHAnsi"/>
            <w:noProof/>
          </w:rPr>
          <w:t>6</w:t>
        </w:r>
        <w:r w:rsidRPr="00CF4C19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493B59EF" w14:textId="77777777" w:rsidR="00D34AA7" w:rsidRDefault="00D34A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8B1CB" w14:textId="77777777" w:rsidR="00A86C92" w:rsidRDefault="00A86C92" w:rsidP="00FD1C4C">
      <w:pPr>
        <w:spacing w:after="0" w:line="240" w:lineRule="auto"/>
      </w:pPr>
      <w:r>
        <w:separator/>
      </w:r>
    </w:p>
  </w:footnote>
  <w:footnote w:type="continuationSeparator" w:id="0">
    <w:p w14:paraId="0BF61920" w14:textId="77777777" w:rsidR="00A86C92" w:rsidRDefault="00A86C92" w:rsidP="00FD1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6173E"/>
    <w:multiLevelType w:val="hybridMultilevel"/>
    <w:tmpl w:val="054EFB9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397636"/>
    <w:multiLevelType w:val="hybridMultilevel"/>
    <w:tmpl w:val="6F50E4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A4EB3"/>
    <w:multiLevelType w:val="hybridMultilevel"/>
    <w:tmpl w:val="5A9EF4FE"/>
    <w:lvl w:ilvl="0" w:tplc="9BC20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629B2"/>
    <w:multiLevelType w:val="hybridMultilevel"/>
    <w:tmpl w:val="D0527B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4AF9"/>
    <w:multiLevelType w:val="hybridMultilevel"/>
    <w:tmpl w:val="AB64B7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A91557"/>
    <w:multiLevelType w:val="multilevel"/>
    <w:tmpl w:val="DCD228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EFF7F94"/>
    <w:multiLevelType w:val="hybridMultilevel"/>
    <w:tmpl w:val="4D4E31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E4396"/>
    <w:multiLevelType w:val="hybridMultilevel"/>
    <w:tmpl w:val="1812B212"/>
    <w:lvl w:ilvl="0" w:tplc="F8C413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A2309"/>
    <w:multiLevelType w:val="hybridMultilevel"/>
    <w:tmpl w:val="9FAE81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71A38"/>
    <w:multiLevelType w:val="hybridMultilevel"/>
    <w:tmpl w:val="1B04B9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2E3F"/>
    <w:multiLevelType w:val="hybridMultilevel"/>
    <w:tmpl w:val="E532752E"/>
    <w:lvl w:ilvl="0" w:tplc="56EE64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806680"/>
    <w:multiLevelType w:val="hybridMultilevel"/>
    <w:tmpl w:val="1D105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455D7"/>
    <w:multiLevelType w:val="hybridMultilevel"/>
    <w:tmpl w:val="CAFCB284"/>
    <w:lvl w:ilvl="0" w:tplc="5C5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122AE"/>
    <w:multiLevelType w:val="hybridMultilevel"/>
    <w:tmpl w:val="2EA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B728C"/>
    <w:multiLevelType w:val="multilevel"/>
    <w:tmpl w:val="470AD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5" w15:restartNumberingAfterBreak="0">
    <w:nsid w:val="29DE556B"/>
    <w:multiLevelType w:val="hybridMultilevel"/>
    <w:tmpl w:val="52F61D60"/>
    <w:lvl w:ilvl="0" w:tplc="DA2C485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619A8"/>
    <w:multiLevelType w:val="hybridMultilevel"/>
    <w:tmpl w:val="055AC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4612D"/>
    <w:multiLevelType w:val="hybridMultilevel"/>
    <w:tmpl w:val="8FCC155C"/>
    <w:lvl w:ilvl="0" w:tplc="ED407654">
      <w:start w:val="1"/>
      <w:numFmt w:val="lowerLetter"/>
      <w:lvlText w:val="%1)"/>
      <w:lvlJc w:val="left"/>
      <w:pPr>
        <w:ind w:left="144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0451677"/>
    <w:multiLevelType w:val="hybridMultilevel"/>
    <w:tmpl w:val="4380E006"/>
    <w:lvl w:ilvl="0" w:tplc="E70C736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F61104"/>
    <w:multiLevelType w:val="multilevel"/>
    <w:tmpl w:val="D7FA3A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5F77F5B"/>
    <w:multiLevelType w:val="multilevel"/>
    <w:tmpl w:val="5178C8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879486C"/>
    <w:multiLevelType w:val="hybridMultilevel"/>
    <w:tmpl w:val="45344588"/>
    <w:lvl w:ilvl="0" w:tplc="E4EA619C">
      <w:start w:val="1"/>
      <w:numFmt w:val="lowerLetter"/>
      <w:lvlText w:val="%1)"/>
      <w:lvlJc w:val="left"/>
      <w:pPr>
        <w:ind w:left="148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2" w15:restartNumberingAfterBreak="0">
    <w:nsid w:val="403C0903"/>
    <w:multiLevelType w:val="hybridMultilevel"/>
    <w:tmpl w:val="8F7AB0C6"/>
    <w:lvl w:ilvl="0" w:tplc="E70C7364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  <w:color w:val="auto"/>
      </w:rPr>
    </w:lvl>
    <w:lvl w:ilvl="1" w:tplc="041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3" w15:restartNumberingAfterBreak="0">
    <w:nsid w:val="40AD7211"/>
    <w:multiLevelType w:val="multilevel"/>
    <w:tmpl w:val="D3F84F74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40065C1"/>
    <w:multiLevelType w:val="hybridMultilevel"/>
    <w:tmpl w:val="F2CE50D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4873805"/>
    <w:multiLevelType w:val="multilevel"/>
    <w:tmpl w:val="470AD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6" w15:restartNumberingAfterBreak="0">
    <w:nsid w:val="4953313E"/>
    <w:multiLevelType w:val="hybridMultilevel"/>
    <w:tmpl w:val="41502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1A1356"/>
    <w:multiLevelType w:val="hybridMultilevel"/>
    <w:tmpl w:val="BD249514"/>
    <w:lvl w:ilvl="0" w:tplc="AFB893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0D0956"/>
    <w:multiLevelType w:val="multilevel"/>
    <w:tmpl w:val="18140532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557B1C01"/>
    <w:multiLevelType w:val="multilevel"/>
    <w:tmpl w:val="297AA5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81A3748"/>
    <w:multiLevelType w:val="hybridMultilevel"/>
    <w:tmpl w:val="F950311C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CE925C7"/>
    <w:multiLevelType w:val="multilevel"/>
    <w:tmpl w:val="D3F84F74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5EEE2860"/>
    <w:multiLevelType w:val="hybridMultilevel"/>
    <w:tmpl w:val="30047E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F730A3F"/>
    <w:multiLevelType w:val="hybridMultilevel"/>
    <w:tmpl w:val="0C1CDA6E"/>
    <w:lvl w:ilvl="0" w:tplc="04150011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881870"/>
    <w:multiLevelType w:val="hybridMultilevel"/>
    <w:tmpl w:val="C2F6D4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D048F8"/>
    <w:multiLevelType w:val="hybridMultilevel"/>
    <w:tmpl w:val="49F4832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8C2CF3"/>
    <w:multiLevelType w:val="hybridMultilevel"/>
    <w:tmpl w:val="417A3B7E"/>
    <w:lvl w:ilvl="0" w:tplc="ED407654">
      <w:start w:val="1"/>
      <w:numFmt w:val="lowerLetter"/>
      <w:lvlText w:val="%1)"/>
      <w:lvlJc w:val="left"/>
      <w:pPr>
        <w:ind w:left="144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55B2183"/>
    <w:multiLevelType w:val="hybridMultilevel"/>
    <w:tmpl w:val="CD2CC9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AF6CF1"/>
    <w:multiLevelType w:val="hybridMultilevel"/>
    <w:tmpl w:val="53E268CE"/>
    <w:lvl w:ilvl="0" w:tplc="0415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9" w15:restartNumberingAfterBreak="0">
    <w:nsid w:val="6EC71277"/>
    <w:multiLevelType w:val="multilevel"/>
    <w:tmpl w:val="458EAA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0" w15:restartNumberingAfterBreak="0">
    <w:nsid w:val="6F903F92"/>
    <w:multiLevelType w:val="hybridMultilevel"/>
    <w:tmpl w:val="120CC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5A1A5F"/>
    <w:multiLevelType w:val="hybridMultilevel"/>
    <w:tmpl w:val="A4524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61B7F"/>
    <w:multiLevelType w:val="hybridMultilevel"/>
    <w:tmpl w:val="221839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7E673E8"/>
    <w:multiLevelType w:val="hybridMultilevel"/>
    <w:tmpl w:val="D2F46D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DEF13A8"/>
    <w:multiLevelType w:val="hybridMultilevel"/>
    <w:tmpl w:val="C8F03144"/>
    <w:lvl w:ilvl="0" w:tplc="9C1699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19482A"/>
    <w:multiLevelType w:val="multilevel"/>
    <w:tmpl w:val="18140532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6" w15:restartNumberingAfterBreak="0">
    <w:nsid w:val="7E7B7A2B"/>
    <w:multiLevelType w:val="hybridMultilevel"/>
    <w:tmpl w:val="71B24D0E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3"/>
  </w:num>
  <w:num w:numId="4">
    <w:abstractNumId w:val="27"/>
  </w:num>
  <w:num w:numId="5">
    <w:abstractNumId w:val="10"/>
  </w:num>
  <w:num w:numId="6">
    <w:abstractNumId w:val="44"/>
  </w:num>
  <w:num w:numId="7">
    <w:abstractNumId w:val="2"/>
  </w:num>
  <w:num w:numId="8">
    <w:abstractNumId w:val="1"/>
  </w:num>
  <w:num w:numId="9">
    <w:abstractNumId w:val="12"/>
  </w:num>
  <w:num w:numId="10">
    <w:abstractNumId w:val="21"/>
  </w:num>
  <w:num w:numId="11">
    <w:abstractNumId w:val="17"/>
  </w:num>
  <w:num w:numId="12">
    <w:abstractNumId w:val="43"/>
  </w:num>
  <w:num w:numId="13">
    <w:abstractNumId w:val="13"/>
  </w:num>
  <w:num w:numId="14">
    <w:abstractNumId w:val="26"/>
  </w:num>
  <w:num w:numId="15">
    <w:abstractNumId w:val="0"/>
  </w:num>
  <w:num w:numId="16">
    <w:abstractNumId w:val="34"/>
  </w:num>
  <w:num w:numId="17">
    <w:abstractNumId w:val="35"/>
  </w:num>
  <w:num w:numId="18">
    <w:abstractNumId w:val="46"/>
  </w:num>
  <w:num w:numId="19">
    <w:abstractNumId w:val="18"/>
  </w:num>
  <w:num w:numId="20">
    <w:abstractNumId w:val="36"/>
  </w:num>
  <w:num w:numId="21">
    <w:abstractNumId w:val="22"/>
  </w:num>
  <w:num w:numId="22">
    <w:abstractNumId w:val="32"/>
  </w:num>
  <w:num w:numId="23">
    <w:abstractNumId w:val="6"/>
  </w:num>
  <w:num w:numId="24">
    <w:abstractNumId w:val="24"/>
  </w:num>
  <w:num w:numId="25">
    <w:abstractNumId w:val="4"/>
  </w:num>
  <w:num w:numId="26">
    <w:abstractNumId w:val="9"/>
  </w:num>
  <w:num w:numId="27">
    <w:abstractNumId w:val="29"/>
  </w:num>
  <w:num w:numId="28">
    <w:abstractNumId w:val="30"/>
  </w:num>
  <w:num w:numId="29">
    <w:abstractNumId w:val="39"/>
  </w:num>
  <w:num w:numId="30">
    <w:abstractNumId w:val="7"/>
  </w:num>
  <w:num w:numId="31">
    <w:abstractNumId w:val="15"/>
  </w:num>
  <w:num w:numId="32">
    <w:abstractNumId w:val="23"/>
  </w:num>
  <w:num w:numId="33">
    <w:abstractNumId w:val="5"/>
  </w:num>
  <w:num w:numId="34">
    <w:abstractNumId w:val="31"/>
  </w:num>
  <w:num w:numId="35">
    <w:abstractNumId w:val="38"/>
  </w:num>
  <w:num w:numId="36">
    <w:abstractNumId w:val="14"/>
  </w:num>
  <w:num w:numId="37">
    <w:abstractNumId w:val="25"/>
  </w:num>
  <w:num w:numId="38">
    <w:abstractNumId w:val="19"/>
  </w:num>
  <w:num w:numId="39">
    <w:abstractNumId w:val="20"/>
  </w:num>
  <w:num w:numId="40">
    <w:abstractNumId w:val="16"/>
  </w:num>
  <w:num w:numId="41">
    <w:abstractNumId w:val="33"/>
  </w:num>
  <w:num w:numId="42">
    <w:abstractNumId w:val="45"/>
  </w:num>
  <w:num w:numId="43">
    <w:abstractNumId w:val="37"/>
  </w:num>
  <w:num w:numId="44">
    <w:abstractNumId w:val="42"/>
  </w:num>
  <w:num w:numId="45">
    <w:abstractNumId w:val="8"/>
  </w:num>
  <w:num w:numId="46">
    <w:abstractNumId w:val="41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22"/>
    <w:rsid w:val="00002B1E"/>
    <w:rsid w:val="000036F8"/>
    <w:rsid w:val="000066B2"/>
    <w:rsid w:val="00013829"/>
    <w:rsid w:val="00021C5B"/>
    <w:rsid w:val="00050480"/>
    <w:rsid w:val="00082F9F"/>
    <w:rsid w:val="000B7728"/>
    <w:rsid w:val="000D529C"/>
    <w:rsid w:val="000E2E95"/>
    <w:rsid w:val="000E7421"/>
    <w:rsid w:val="000F25D1"/>
    <w:rsid w:val="000F37A2"/>
    <w:rsid w:val="00164B6D"/>
    <w:rsid w:val="00171319"/>
    <w:rsid w:val="00174436"/>
    <w:rsid w:val="001873B3"/>
    <w:rsid w:val="00195BE2"/>
    <w:rsid w:val="001A7726"/>
    <w:rsid w:val="001F49C0"/>
    <w:rsid w:val="00223C90"/>
    <w:rsid w:val="00223DB3"/>
    <w:rsid w:val="00232C13"/>
    <w:rsid w:val="00233DF6"/>
    <w:rsid w:val="00296682"/>
    <w:rsid w:val="002C1104"/>
    <w:rsid w:val="002D4B67"/>
    <w:rsid w:val="002F6FD9"/>
    <w:rsid w:val="00304FE8"/>
    <w:rsid w:val="00305374"/>
    <w:rsid w:val="003329A1"/>
    <w:rsid w:val="00335D8B"/>
    <w:rsid w:val="00352623"/>
    <w:rsid w:val="00362D57"/>
    <w:rsid w:val="00364D78"/>
    <w:rsid w:val="003774D7"/>
    <w:rsid w:val="0038131D"/>
    <w:rsid w:val="0039423B"/>
    <w:rsid w:val="003A0FF4"/>
    <w:rsid w:val="003D0217"/>
    <w:rsid w:val="003D511B"/>
    <w:rsid w:val="003E127D"/>
    <w:rsid w:val="003E3CF9"/>
    <w:rsid w:val="004260CC"/>
    <w:rsid w:val="004354D3"/>
    <w:rsid w:val="00435E86"/>
    <w:rsid w:val="004606BB"/>
    <w:rsid w:val="004613CC"/>
    <w:rsid w:val="004638BF"/>
    <w:rsid w:val="00472C84"/>
    <w:rsid w:val="00473163"/>
    <w:rsid w:val="004B14B4"/>
    <w:rsid w:val="004C76CB"/>
    <w:rsid w:val="00513849"/>
    <w:rsid w:val="00522325"/>
    <w:rsid w:val="005535CE"/>
    <w:rsid w:val="0055609F"/>
    <w:rsid w:val="00580AE2"/>
    <w:rsid w:val="00594788"/>
    <w:rsid w:val="005A15AC"/>
    <w:rsid w:val="005A6446"/>
    <w:rsid w:val="005B2535"/>
    <w:rsid w:val="005C5168"/>
    <w:rsid w:val="005C670F"/>
    <w:rsid w:val="005E31EC"/>
    <w:rsid w:val="00620606"/>
    <w:rsid w:val="00627E24"/>
    <w:rsid w:val="00634B86"/>
    <w:rsid w:val="006744B8"/>
    <w:rsid w:val="0068423F"/>
    <w:rsid w:val="0068549B"/>
    <w:rsid w:val="00686E9D"/>
    <w:rsid w:val="00692C9E"/>
    <w:rsid w:val="006B7475"/>
    <w:rsid w:val="006B7D7E"/>
    <w:rsid w:val="006D2636"/>
    <w:rsid w:val="006E168A"/>
    <w:rsid w:val="006F1449"/>
    <w:rsid w:val="006F600E"/>
    <w:rsid w:val="00700429"/>
    <w:rsid w:val="00715731"/>
    <w:rsid w:val="00721450"/>
    <w:rsid w:val="00724D6C"/>
    <w:rsid w:val="00725B5B"/>
    <w:rsid w:val="00745DB7"/>
    <w:rsid w:val="0075405E"/>
    <w:rsid w:val="00754F47"/>
    <w:rsid w:val="007A0A19"/>
    <w:rsid w:val="007D07D2"/>
    <w:rsid w:val="007D4A0B"/>
    <w:rsid w:val="007D6767"/>
    <w:rsid w:val="007F6168"/>
    <w:rsid w:val="00804195"/>
    <w:rsid w:val="008549BB"/>
    <w:rsid w:val="0085777E"/>
    <w:rsid w:val="008626F4"/>
    <w:rsid w:val="00881A5E"/>
    <w:rsid w:val="008A05A8"/>
    <w:rsid w:val="008B51EE"/>
    <w:rsid w:val="008B5FFD"/>
    <w:rsid w:val="008E374D"/>
    <w:rsid w:val="008E46ED"/>
    <w:rsid w:val="00937FF4"/>
    <w:rsid w:val="00946CCE"/>
    <w:rsid w:val="00977D7B"/>
    <w:rsid w:val="00981D86"/>
    <w:rsid w:val="009848BE"/>
    <w:rsid w:val="009A032A"/>
    <w:rsid w:val="009A0A47"/>
    <w:rsid w:val="009D00C1"/>
    <w:rsid w:val="009D13FF"/>
    <w:rsid w:val="009D4263"/>
    <w:rsid w:val="00A460CD"/>
    <w:rsid w:val="00A62687"/>
    <w:rsid w:val="00A80636"/>
    <w:rsid w:val="00A86C92"/>
    <w:rsid w:val="00A903D9"/>
    <w:rsid w:val="00AD7320"/>
    <w:rsid w:val="00AF1F34"/>
    <w:rsid w:val="00AF4D36"/>
    <w:rsid w:val="00B14AF8"/>
    <w:rsid w:val="00B24DA5"/>
    <w:rsid w:val="00B628E0"/>
    <w:rsid w:val="00B86C38"/>
    <w:rsid w:val="00BC6114"/>
    <w:rsid w:val="00C053C8"/>
    <w:rsid w:val="00C31B1F"/>
    <w:rsid w:val="00C37DAE"/>
    <w:rsid w:val="00C60F9C"/>
    <w:rsid w:val="00C62B15"/>
    <w:rsid w:val="00C828DA"/>
    <w:rsid w:val="00CA57BF"/>
    <w:rsid w:val="00CF4C19"/>
    <w:rsid w:val="00D31E09"/>
    <w:rsid w:val="00D34AA7"/>
    <w:rsid w:val="00D53A03"/>
    <w:rsid w:val="00DA46C4"/>
    <w:rsid w:val="00DC21BE"/>
    <w:rsid w:val="00DF0087"/>
    <w:rsid w:val="00DF686D"/>
    <w:rsid w:val="00E17871"/>
    <w:rsid w:val="00E77CE4"/>
    <w:rsid w:val="00E96722"/>
    <w:rsid w:val="00EC6EBB"/>
    <w:rsid w:val="00F02966"/>
    <w:rsid w:val="00F045B6"/>
    <w:rsid w:val="00F766DD"/>
    <w:rsid w:val="00F83FB3"/>
    <w:rsid w:val="00FA0721"/>
    <w:rsid w:val="00FA62B6"/>
    <w:rsid w:val="00FA7B60"/>
    <w:rsid w:val="00FD04E4"/>
    <w:rsid w:val="00FD1C4C"/>
    <w:rsid w:val="00FD6372"/>
    <w:rsid w:val="00FF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F02F"/>
  <w15:docId w15:val="{6FE1F42E-ED6B-4CDC-838A-5ADC2488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13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B1F"/>
    <w:pPr>
      <w:ind w:left="720"/>
      <w:contextualSpacing/>
    </w:pPr>
  </w:style>
  <w:style w:type="table" w:styleId="Tabela-Siatka">
    <w:name w:val="Table Grid"/>
    <w:basedOn w:val="Standardowy"/>
    <w:uiPriority w:val="59"/>
    <w:rsid w:val="00715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1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C4C"/>
  </w:style>
  <w:style w:type="paragraph" w:styleId="Stopka">
    <w:name w:val="footer"/>
    <w:basedOn w:val="Normalny"/>
    <w:link w:val="StopkaZnak"/>
    <w:uiPriority w:val="99"/>
    <w:unhideWhenUsed/>
    <w:rsid w:val="00FD1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C4C"/>
  </w:style>
  <w:style w:type="paragraph" w:styleId="Tekstdymka">
    <w:name w:val="Balloon Text"/>
    <w:basedOn w:val="Normalny"/>
    <w:link w:val="TekstdymkaZnak"/>
    <w:uiPriority w:val="99"/>
    <w:semiHidden/>
    <w:unhideWhenUsed/>
    <w:rsid w:val="004C7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6C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8131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8131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zodstpw">
    <w:name w:val="No Spacing"/>
    <w:uiPriority w:val="1"/>
    <w:qFormat/>
    <w:rsid w:val="000B77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B8F3-C011-45BD-B269-AD0DC2354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1645</Words>
  <Characters>9870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Koziol</dc:creator>
  <cp:lastModifiedBy>PWSZ</cp:lastModifiedBy>
  <cp:revision>8</cp:revision>
  <dcterms:created xsi:type="dcterms:W3CDTF">2022-07-14T07:50:00Z</dcterms:created>
  <dcterms:modified xsi:type="dcterms:W3CDTF">2022-07-20T14:22:00Z</dcterms:modified>
</cp:coreProperties>
</file>