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BB1" w:rsidRPr="00C4572E" w:rsidRDefault="00D11BB1" w:rsidP="00684A1E">
      <w:pPr>
        <w:spacing w:before="120" w:after="120" w:line="276" w:lineRule="auto"/>
        <w:jc w:val="right"/>
        <w:rPr>
          <w:rFonts w:ascii="Barlow" w:hAnsi="Barlow" w:cstheme="minorHAnsi"/>
          <w:sz w:val="24"/>
          <w:szCs w:val="28"/>
        </w:rPr>
      </w:pPr>
      <w:r w:rsidRPr="00C4572E">
        <w:rPr>
          <w:rFonts w:ascii="Barlow" w:hAnsi="Barlow" w:cstheme="minorHAnsi"/>
          <w:sz w:val="24"/>
          <w:szCs w:val="28"/>
        </w:rPr>
        <w:t>13.09.2023 r.</w:t>
      </w:r>
    </w:p>
    <w:p w:rsidR="00FC4C4A" w:rsidRPr="00C4572E" w:rsidRDefault="00116D38" w:rsidP="00684A1E">
      <w:pPr>
        <w:spacing w:before="120" w:after="120" w:line="276" w:lineRule="auto"/>
        <w:jc w:val="center"/>
        <w:rPr>
          <w:rFonts w:ascii="Barlow" w:hAnsi="Barlow" w:cstheme="minorHAnsi"/>
          <w:b/>
          <w:sz w:val="28"/>
          <w:szCs w:val="28"/>
          <w:u w:val="single"/>
        </w:rPr>
      </w:pPr>
      <w:r w:rsidRPr="00C4572E">
        <w:rPr>
          <w:rFonts w:ascii="Barlow" w:hAnsi="Barlow" w:cstheme="minorHAnsi"/>
          <w:b/>
          <w:sz w:val="28"/>
          <w:szCs w:val="28"/>
          <w:u w:val="single"/>
        </w:rPr>
        <w:t>U</w:t>
      </w:r>
      <w:r w:rsidR="00D11BB1" w:rsidRPr="00C4572E">
        <w:rPr>
          <w:rFonts w:ascii="Barlow" w:hAnsi="Barlow" w:cstheme="minorHAnsi"/>
          <w:b/>
          <w:sz w:val="28"/>
          <w:szCs w:val="28"/>
          <w:u w:val="single"/>
        </w:rPr>
        <w:t xml:space="preserve">wagi </w:t>
      </w:r>
      <w:r w:rsidR="00417D44">
        <w:rPr>
          <w:rFonts w:ascii="Barlow" w:hAnsi="Barlow" w:cstheme="minorHAnsi"/>
          <w:b/>
          <w:sz w:val="28"/>
          <w:szCs w:val="28"/>
          <w:u w:val="single"/>
        </w:rPr>
        <w:t xml:space="preserve">szczegółowe </w:t>
      </w:r>
      <w:r w:rsidR="00D11BB1" w:rsidRPr="00C4572E">
        <w:rPr>
          <w:rFonts w:ascii="Barlow" w:hAnsi="Barlow" w:cstheme="minorHAnsi"/>
          <w:b/>
          <w:sz w:val="28"/>
          <w:szCs w:val="28"/>
          <w:u w:val="single"/>
        </w:rPr>
        <w:t>do projektu wystawy w elektrowni</w:t>
      </w:r>
      <w:r w:rsidR="00417D44">
        <w:rPr>
          <w:rFonts w:ascii="Barlow" w:hAnsi="Barlow" w:cstheme="minorHAnsi"/>
          <w:b/>
          <w:sz w:val="28"/>
          <w:szCs w:val="28"/>
          <w:u w:val="single"/>
        </w:rPr>
        <w:t xml:space="preserve"> na Westerplatte</w:t>
      </w:r>
    </w:p>
    <w:p w:rsidR="00116D38" w:rsidRPr="00C4572E" w:rsidRDefault="00116D38" w:rsidP="00684A1E">
      <w:pPr>
        <w:spacing w:before="120" w:after="120" w:line="276" w:lineRule="auto"/>
        <w:jc w:val="both"/>
        <w:rPr>
          <w:rFonts w:ascii="Barlow" w:hAnsi="Barlow" w:cstheme="minorHAnsi"/>
          <w:sz w:val="24"/>
          <w:szCs w:val="24"/>
        </w:rPr>
      </w:pP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 w:cstheme="minorHAnsi"/>
          <w:sz w:val="24"/>
          <w:szCs w:val="24"/>
        </w:rPr>
      </w:pPr>
      <w:r w:rsidRPr="00C4572E">
        <w:rPr>
          <w:rFonts w:ascii="Barlow" w:hAnsi="Barlow" w:cstheme="minorHAnsi"/>
          <w:sz w:val="24"/>
          <w:szCs w:val="24"/>
        </w:rPr>
        <w:t>I. BRANŻA TECHNICZNA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</w:rPr>
      </w:pPr>
      <w:r w:rsidRPr="00C4572E">
        <w:rPr>
          <w:rFonts w:ascii="Barlow" w:hAnsi="Barlow"/>
          <w:b/>
          <w:bCs/>
          <w:u w:val="single"/>
        </w:rPr>
        <w:t>a. elektryczna</w:t>
      </w:r>
      <w:r w:rsidRPr="00C4572E">
        <w:rPr>
          <w:rFonts w:ascii="Barlow" w:hAnsi="Barlow"/>
        </w:rPr>
        <w:t xml:space="preserve"> – brak uwag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  <w:b/>
          <w:bCs/>
          <w:u w:val="single"/>
        </w:rPr>
      </w:pPr>
      <w:r w:rsidRPr="00C4572E">
        <w:rPr>
          <w:rFonts w:ascii="Barlow" w:hAnsi="Barlow"/>
          <w:b/>
          <w:bCs/>
          <w:u w:val="single"/>
        </w:rPr>
        <w:t>b. teletechniczna: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1. Nie wskazano lokalizacji otworów rewizyjnych dla potrzeb serwisowych, propozycja rozkręcania gabloty nie jest prawidłowym rozwiązaniem – są jedynie zapisy dotyczące konieczności zapewnienia otworów rewizyjnych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2. Brak uzgodnienia finalnej wersji dokumentacji w NIMOZ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3. Wszelkiego rodzaju urządzenia z wyłączeniem projektorów oraz głośników, należy instalować w zabudowach na wysokości pozwalającej na swobodny dostęp/konserwację (bez użycia drabin). Otwory rewizyjne z poziomu posadzki max do 1,6m. - </w:t>
      </w:r>
      <w:r w:rsidRPr="00C4572E">
        <w:rPr>
          <w:rFonts w:ascii="Barlow" w:hAnsi="Barlow"/>
          <w:color w:val="FF0000"/>
          <w:sz w:val="20"/>
          <w:szCs w:val="20"/>
        </w:rPr>
        <w:t>nowa uwaga.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b/>
          <w:bCs/>
          <w:sz w:val="20"/>
          <w:szCs w:val="20"/>
          <w:u w:val="single"/>
        </w:rPr>
      </w:pPr>
      <w:r w:rsidRPr="00C4572E">
        <w:rPr>
          <w:rFonts w:ascii="Barlow" w:hAnsi="Barlow"/>
          <w:b/>
          <w:bCs/>
          <w:sz w:val="20"/>
          <w:szCs w:val="20"/>
          <w:u w:val="single"/>
        </w:rPr>
        <w:t>c. sanitarna: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</w:rPr>
      </w:pPr>
      <w:r w:rsidRPr="00C4572E">
        <w:rPr>
          <w:rFonts w:ascii="Barlow" w:hAnsi="Barlow"/>
        </w:rPr>
        <w:t xml:space="preserve">1. Brak analizy zysków ciepła w gablotach (od oświetlenia, zasilaczy, itp.), brak  wentylacji przestrzeni technicznych gablot, które mogą się przegrzewać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</w:rPr>
      </w:pPr>
      <w:r w:rsidRPr="00C4572E">
        <w:rPr>
          <w:rFonts w:ascii="Barlow" w:hAnsi="Barlow"/>
        </w:rPr>
        <w:t xml:space="preserve">2. Brak odniesienia dla zapewnienie utrzymania mikroklimatu w przestrzeni gablot z eksponatami tego wymagającymi (instalacje budynkowe zapewnią temp. 21 </w:t>
      </w:r>
      <w:proofErr w:type="spellStart"/>
      <w:r w:rsidRPr="00C4572E">
        <w:rPr>
          <w:rFonts w:ascii="Barlow" w:hAnsi="Barlow"/>
        </w:rPr>
        <w:t>st.C</w:t>
      </w:r>
      <w:proofErr w:type="spellEnd"/>
      <w:r w:rsidRPr="00C4572E">
        <w:rPr>
          <w:rFonts w:ascii="Barlow" w:hAnsi="Barlow"/>
        </w:rPr>
        <w:t xml:space="preserve"> +-2st.C i wilgotność 40-60%)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  <w:b/>
          <w:bCs/>
          <w:u w:val="single"/>
        </w:rPr>
      </w:pPr>
      <w:r w:rsidRPr="00C4572E">
        <w:rPr>
          <w:rFonts w:ascii="Barlow" w:hAnsi="Barlow"/>
          <w:b/>
          <w:u w:val="single"/>
        </w:rPr>
        <w:t>d</w:t>
      </w:r>
      <w:r w:rsidRPr="00C4572E">
        <w:rPr>
          <w:rFonts w:ascii="Barlow" w:hAnsi="Barlow"/>
          <w:b/>
          <w:bCs/>
          <w:u w:val="single"/>
        </w:rPr>
        <w:t>. konstrukcyjno-budowlana: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1. Uwagi ogólne do projektu architektonicznego: </w:t>
      </w:r>
    </w:p>
    <w:p w:rsidR="00D11BB1" w:rsidRPr="00C4572E" w:rsidRDefault="00D11BB1" w:rsidP="00684A1E">
      <w:pPr>
        <w:spacing w:before="120" w:after="120" w:line="276" w:lineRule="auto"/>
        <w:jc w:val="both"/>
        <w:rPr>
          <w:rFonts w:ascii="Barlow" w:hAnsi="Barlow"/>
          <w:color w:val="FF0000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- z rysunków nie usunięto zapisu „Zgodnie z projektem technicznym”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rozbieżność w sposobie wykończenia blach pomiędzy opisem technicznym, rysunkami i specyfikacją – nowa uwaga; możliwość jej stwierdzenia po otrzymaniu ostatecznego zakresu projektu.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2. Brak odpowiedniej ilości detali - </w:t>
      </w:r>
      <w:r w:rsidRPr="00C4572E">
        <w:rPr>
          <w:rFonts w:ascii="Barlow" w:hAnsi="Barlow"/>
          <w:color w:val="FF0000"/>
          <w:sz w:val="20"/>
          <w:szCs w:val="20"/>
        </w:rPr>
        <w:t>uwaga powtarzająca się, częściowo uzupełniona</w:t>
      </w:r>
      <w:r w:rsidRPr="00C4572E">
        <w:rPr>
          <w:rFonts w:ascii="Barlow" w:hAnsi="Barlow"/>
          <w:sz w:val="20"/>
          <w:szCs w:val="20"/>
        </w:rPr>
        <w:t>: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połączenie blach na profilu stalowym,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montażu szyb wiszących w elementach z koralikami,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wartownia nr 3: rozbieżności dotyczące tkaniny na suficie, brak detalu wykończenia kratownicy w przewieszeniach, brak sposobu wykończenia od wewnątrz oraz od góry.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3. Przekroje - </w:t>
      </w:r>
      <w:r w:rsidRPr="00C4572E">
        <w:rPr>
          <w:rFonts w:ascii="Barlow" w:hAnsi="Barlow"/>
          <w:color w:val="FF0000"/>
          <w:sz w:val="20"/>
          <w:szCs w:val="20"/>
        </w:rPr>
        <w:t>uwaga powtarzająca się</w:t>
      </w:r>
      <w:r w:rsidRPr="00C4572E">
        <w:rPr>
          <w:rFonts w:ascii="Barlow" w:hAnsi="Barlow"/>
          <w:sz w:val="20"/>
          <w:szCs w:val="20"/>
        </w:rPr>
        <w:t>: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rozbieżność między rysunkami w cz. architektonicznej i cz. konstrukcyjnej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4. Uwagi do projektu technicznego - </w:t>
      </w:r>
      <w:r w:rsidRPr="00C4572E">
        <w:rPr>
          <w:rFonts w:ascii="Barlow" w:hAnsi="Barlow"/>
          <w:color w:val="FF0000"/>
          <w:sz w:val="20"/>
          <w:szCs w:val="20"/>
        </w:rPr>
        <w:t>uwaga powtarzająca się, częściowo uzupełniona</w:t>
      </w:r>
      <w:r w:rsidRPr="00C4572E">
        <w:rPr>
          <w:rFonts w:ascii="Barlow" w:hAnsi="Barlow"/>
          <w:sz w:val="20"/>
          <w:szCs w:val="20"/>
        </w:rPr>
        <w:t>: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nie uzupełniono w całości obliczeń i nie dla wszystkich elementów potwierdzono brak przekroczenia nośności posadzek,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- brak informacji na temat poziomowania elementów przy posadzce dla elementu </w:t>
      </w:r>
      <w:r w:rsidRPr="00C4572E">
        <w:rPr>
          <w:rFonts w:ascii="Barlow" w:hAnsi="Barlow"/>
          <w:color w:val="2F5597"/>
          <w:sz w:val="20"/>
          <w:szCs w:val="20"/>
        </w:rPr>
        <w:t xml:space="preserve">– </w:t>
      </w:r>
      <w:r w:rsidRPr="00C4572E">
        <w:rPr>
          <w:rFonts w:ascii="Barlow" w:hAnsi="Barlow"/>
          <w:sz w:val="20"/>
          <w:szCs w:val="20"/>
        </w:rPr>
        <w:t>gablota 4.11, brak informacji na temat ilości wsporników element 4.5, 3.9_4.2,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brak wszystkich detali połączeń śrubowych,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lastRenderedPageBreak/>
        <w:t xml:space="preserve">- brak obliczeń dla Elementu 1.1, który został dołożony po wcześniejszych uwagach – </w:t>
      </w:r>
      <w:r w:rsidRPr="00C4572E">
        <w:rPr>
          <w:rFonts w:ascii="Barlow" w:hAnsi="Barlow"/>
          <w:color w:val="FF0000"/>
          <w:sz w:val="20"/>
          <w:szCs w:val="20"/>
        </w:rPr>
        <w:t>wcześniejsza uwaga uzupełniona w sposób niekompletny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 xml:space="preserve">5. Uwagi do </w:t>
      </w:r>
      <w:proofErr w:type="spellStart"/>
      <w:r w:rsidRPr="00C4572E">
        <w:rPr>
          <w:rFonts w:ascii="Barlow" w:hAnsi="Barlow"/>
          <w:sz w:val="20"/>
          <w:szCs w:val="20"/>
        </w:rPr>
        <w:t>STWiORB</w:t>
      </w:r>
      <w:proofErr w:type="spellEnd"/>
      <w:r w:rsidRPr="00C4572E">
        <w:rPr>
          <w:rFonts w:ascii="Barlow" w:hAnsi="Barlow"/>
          <w:sz w:val="20"/>
          <w:szCs w:val="20"/>
        </w:rPr>
        <w:t xml:space="preserve"> </w:t>
      </w:r>
      <w:r w:rsidRPr="00C4572E">
        <w:rPr>
          <w:rFonts w:ascii="Barlow" w:hAnsi="Barlow"/>
          <w:color w:val="FF0000"/>
          <w:sz w:val="20"/>
          <w:szCs w:val="20"/>
        </w:rPr>
        <w:t>– uwagi nowe</w:t>
      </w:r>
      <w:r w:rsidRPr="00C4572E">
        <w:rPr>
          <w:rFonts w:ascii="Barlow" w:hAnsi="Barlow"/>
          <w:sz w:val="20"/>
          <w:szCs w:val="20"/>
        </w:rPr>
        <w:t xml:space="preserve"> – możliwość sprawdzenia dla kompletnej dokumentacji (Wykonawca był informowany na ten temat):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dokument nie jest spójny z opisem technicznym oraz projektem technicznym,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pojawiają się nazwy własne,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r w:rsidRPr="00C4572E">
        <w:rPr>
          <w:rFonts w:ascii="Barlow" w:hAnsi="Barlow"/>
          <w:sz w:val="20"/>
          <w:szCs w:val="20"/>
        </w:rPr>
        <w:t>- zbyt mało norm dla konstrukcji stalowych.</w:t>
      </w:r>
    </w:p>
    <w:p w:rsidR="00D11BB1" w:rsidRPr="00C4572E" w:rsidRDefault="00D11BB1" w:rsidP="00684A1E">
      <w:pPr>
        <w:autoSpaceDE w:val="0"/>
        <w:autoSpaceDN w:val="0"/>
        <w:spacing w:before="120" w:after="120" w:line="276" w:lineRule="auto"/>
        <w:jc w:val="both"/>
        <w:rPr>
          <w:rFonts w:ascii="Barlow" w:hAnsi="Barlow"/>
          <w:sz w:val="20"/>
          <w:szCs w:val="20"/>
        </w:rPr>
      </w:pPr>
      <w:bookmarkStart w:id="0" w:name="_GoBack"/>
      <w:bookmarkEnd w:id="0"/>
    </w:p>
    <w:sectPr w:rsidR="00D11BB1" w:rsidRPr="00C45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3EFA"/>
    <w:multiLevelType w:val="multilevel"/>
    <w:tmpl w:val="70061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16CDE"/>
    <w:multiLevelType w:val="multilevel"/>
    <w:tmpl w:val="91249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07472"/>
    <w:multiLevelType w:val="hybridMultilevel"/>
    <w:tmpl w:val="FD206E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992602"/>
    <w:multiLevelType w:val="hybridMultilevel"/>
    <w:tmpl w:val="B9D49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86C85"/>
    <w:multiLevelType w:val="multilevel"/>
    <w:tmpl w:val="117AC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3210A5"/>
    <w:multiLevelType w:val="multilevel"/>
    <w:tmpl w:val="6CF42B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1D625C"/>
    <w:multiLevelType w:val="hybridMultilevel"/>
    <w:tmpl w:val="7E22604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E857187"/>
    <w:multiLevelType w:val="multilevel"/>
    <w:tmpl w:val="1818D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0221A5"/>
    <w:multiLevelType w:val="hybridMultilevel"/>
    <w:tmpl w:val="F2D6A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3256A4"/>
    <w:multiLevelType w:val="hybridMultilevel"/>
    <w:tmpl w:val="1BA61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06CD7"/>
    <w:multiLevelType w:val="hybridMultilevel"/>
    <w:tmpl w:val="186C68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F214F"/>
    <w:multiLevelType w:val="hybridMultilevel"/>
    <w:tmpl w:val="0FB634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261477B"/>
    <w:multiLevelType w:val="hybridMultilevel"/>
    <w:tmpl w:val="23082E12"/>
    <w:lvl w:ilvl="0" w:tplc="C6BA7E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38"/>
    <w:rsid w:val="00002CED"/>
    <w:rsid w:val="00037B80"/>
    <w:rsid w:val="00050E7C"/>
    <w:rsid w:val="000F1FB0"/>
    <w:rsid w:val="00116D38"/>
    <w:rsid w:val="00133A46"/>
    <w:rsid w:val="002D369F"/>
    <w:rsid w:val="00352CB9"/>
    <w:rsid w:val="0035743D"/>
    <w:rsid w:val="003957FF"/>
    <w:rsid w:val="003B3510"/>
    <w:rsid w:val="003C5D55"/>
    <w:rsid w:val="003D48A8"/>
    <w:rsid w:val="00417D44"/>
    <w:rsid w:val="00475017"/>
    <w:rsid w:val="004C2A2D"/>
    <w:rsid w:val="006524DB"/>
    <w:rsid w:val="00684A1E"/>
    <w:rsid w:val="006D414A"/>
    <w:rsid w:val="00703A96"/>
    <w:rsid w:val="00795BE8"/>
    <w:rsid w:val="007C5A10"/>
    <w:rsid w:val="007D02F6"/>
    <w:rsid w:val="007E39E3"/>
    <w:rsid w:val="007F67B9"/>
    <w:rsid w:val="00802EAB"/>
    <w:rsid w:val="00813AE6"/>
    <w:rsid w:val="00872E6F"/>
    <w:rsid w:val="008F30B0"/>
    <w:rsid w:val="008F4996"/>
    <w:rsid w:val="00961F7A"/>
    <w:rsid w:val="009E2860"/>
    <w:rsid w:val="00A2242E"/>
    <w:rsid w:val="00A92450"/>
    <w:rsid w:val="00AA6321"/>
    <w:rsid w:val="00B427B0"/>
    <w:rsid w:val="00B93F48"/>
    <w:rsid w:val="00BA2277"/>
    <w:rsid w:val="00BB03B4"/>
    <w:rsid w:val="00C34B1D"/>
    <w:rsid w:val="00C4572E"/>
    <w:rsid w:val="00C90FDD"/>
    <w:rsid w:val="00D11BB1"/>
    <w:rsid w:val="00D66B39"/>
    <w:rsid w:val="00DD6E5C"/>
    <w:rsid w:val="00E568C9"/>
    <w:rsid w:val="00E61021"/>
    <w:rsid w:val="00E70BE2"/>
    <w:rsid w:val="00EB4DC9"/>
    <w:rsid w:val="00EB7161"/>
    <w:rsid w:val="00F277C9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C8CB-07EF-4E31-8F9F-9C1FB89E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Kalka</dc:creator>
  <cp:keywords/>
  <dc:description/>
  <cp:lastModifiedBy>Wojciech Samól</cp:lastModifiedBy>
  <cp:revision>21</cp:revision>
  <dcterms:created xsi:type="dcterms:W3CDTF">2023-08-24T10:41:00Z</dcterms:created>
  <dcterms:modified xsi:type="dcterms:W3CDTF">2024-03-13T04:38:00Z</dcterms:modified>
</cp:coreProperties>
</file>