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15FB" w14:textId="77777777" w:rsidR="004C6210" w:rsidRDefault="004C6210" w:rsidP="004C6210">
      <w:pPr>
        <w:spacing w:before="120" w:after="120" w:line="360" w:lineRule="auto"/>
        <w:jc w:val="right"/>
        <w:rPr>
          <w:rFonts w:ascii="Cambria" w:hAnsi="Cambria" w:cs="Arial"/>
          <w:bCs/>
          <w:sz w:val="20"/>
          <w:szCs w:val="20"/>
        </w:rPr>
      </w:pPr>
      <w:r>
        <w:rPr>
          <w:rFonts w:ascii="Cambria" w:hAnsi="Cambria" w:cs="Arial"/>
          <w:b/>
          <w:bCs/>
          <w:sz w:val="20"/>
          <w:szCs w:val="20"/>
        </w:rPr>
        <w:t xml:space="preserve">Załącznik nr 2b </w:t>
      </w:r>
      <w:r>
        <w:rPr>
          <w:rFonts w:ascii="Cambria" w:hAnsi="Cambria" w:cs="Arial"/>
          <w:bCs/>
          <w:sz w:val="20"/>
          <w:szCs w:val="20"/>
        </w:rPr>
        <w:t>do S</w:t>
      </w:r>
      <w:r w:rsidRPr="001D2494">
        <w:rPr>
          <w:rFonts w:ascii="Cambria" w:hAnsi="Cambria" w:cs="Arial"/>
          <w:bCs/>
          <w:sz w:val="20"/>
          <w:szCs w:val="20"/>
        </w:rPr>
        <w:t>WZ</w:t>
      </w:r>
    </w:p>
    <w:p w14:paraId="5B4E1639" w14:textId="77777777" w:rsidR="004C6210" w:rsidRPr="00F8069E" w:rsidRDefault="004C6210" w:rsidP="004C6210">
      <w:pPr>
        <w:spacing w:line="360" w:lineRule="auto"/>
        <w:jc w:val="center"/>
        <w:rPr>
          <w:rFonts w:ascii="Cambria" w:hAnsi="Cambria" w:cstheme="minorHAnsi"/>
          <w:b/>
          <w:sz w:val="20"/>
          <w:szCs w:val="20"/>
        </w:rPr>
      </w:pPr>
      <w:r w:rsidRPr="00F8069E">
        <w:rPr>
          <w:rFonts w:ascii="Cambria" w:hAnsi="Cambria" w:cstheme="minorHAnsi"/>
          <w:b/>
          <w:sz w:val="20"/>
          <w:szCs w:val="20"/>
        </w:rPr>
        <w:t>Szczegółowa kompletacja oferowanego autobusu</w:t>
      </w:r>
    </w:p>
    <w:p w14:paraId="61C1EA35" w14:textId="77777777" w:rsidR="004C6210" w:rsidRPr="005D2EBB" w:rsidRDefault="004C6210" w:rsidP="004C6210">
      <w:pPr>
        <w:spacing w:line="240" w:lineRule="auto"/>
        <w:rPr>
          <w:rFonts w:ascii="Cambria" w:hAnsi="Cambria"/>
          <w:sz w:val="20"/>
          <w:szCs w:val="20"/>
        </w:rPr>
      </w:pPr>
    </w:p>
    <w:tbl>
      <w:tblPr>
        <w:tblStyle w:val="Tabela-Siatka"/>
        <w:tblW w:w="9065" w:type="dxa"/>
        <w:jc w:val="center"/>
        <w:tblLayout w:type="fixed"/>
        <w:tblLook w:val="04A0" w:firstRow="1" w:lastRow="0" w:firstColumn="1" w:lastColumn="0" w:noHBand="0" w:noVBand="1"/>
      </w:tblPr>
      <w:tblGrid>
        <w:gridCol w:w="562"/>
        <w:gridCol w:w="13"/>
        <w:gridCol w:w="1691"/>
        <w:gridCol w:w="3686"/>
        <w:gridCol w:w="3113"/>
      </w:tblGrid>
      <w:tr w:rsidR="004C6210" w:rsidRPr="005D2EBB" w14:paraId="43243D20" w14:textId="77777777" w:rsidTr="004C6210">
        <w:trPr>
          <w:trHeight w:val="1134"/>
          <w:jc w:val="center"/>
        </w:trPr>
        <w:tc>
          <w:tcPr>
            <w:tcW w:w="562" w:type="dxa"/>
            <w:vAlign w:val="center"/>
          </w:tcPr>
          <w:p w14:paraId="6742DED9" w14:textId="77777777" w:rsidR="004C6210" w:rsidRPr="005D2EBB" w:rsidRDefault="004C6210" w:rsidP="00B92A4B">
            <w:pPr>
              <w:jc w:val="center"/>
              <w:rPr>
                <w:rFonts w:ascii="Cambria" w:hAnsi="Cambria"/>
                <w:sz w:val="20"/>
                <w:szCs w:val="20"/>
              </w:rPr>
            </w:pPr>
          </w:p>
        </w:tc>
        <w:tc>
          <w:tcPr>
            <w:tcW w:w="5389" w:type="dxa"/>
            <w:gridSpan w:val="3"/>
            <w:vAlign w:val="center"/>
          </w:tcPr>
          <w:p w14:paraId="0B6C24BE" w14:textId="77777777" w:rsidR="004C6210" w:rsidRPr="005D2EBB" w:rsidRDefault="004C6210" w:rsidP="00B92A4B">
            <w:pPr>
              <w:jc w:val="center"/>
              <w:rPr>
                <w:rFonts w:ascii="Cambria" w:hAnsi="Cambria"/>
                <w:sz w:val="20"/>
                <w:szCs w:val="20"/>
              </w:rPr>
            </w:pPr>
            <w:r w:rsidRPr="005D2EBB">
              <w:rPr>
                <w:rFonts w:ascii="Cambria" w:hAnsi="Cambria"/>
                <w:sz w:val="20"/>
                <w:szCs w:val="20"/>
              </w:rPr>
              <w:t>Wymagania do</w:t>
            </w:r>
            <w:r>
              <w:rPr>
                <w:rFonts w:ascii="Cambria" w:hAnsi="Cambria"/>
                <w:sz w:val="20"/>
                <w:szCs w:val="20"/>
              </w:rPr>
              <w:t xml:space="preserve">tyczące parametrów technicznych </w:t>
            </w:r>
            <w:r w:rsidRPr="005D2EBB">
              <w:rPr>
                <w:rFonts w:ascii="Cambria" w:hAnsi="Cambria"/>
                <w:sz w:val="20"/>
                <w:szCs w:val="20"/>
              </w:rPr>
              <w:t>autobusów</w:t>
            </w:r>
          </w:p>
        </w:tc>
        <w:tc>
          <w:tcPr>
            <w:tcW w:w="3114" w:type="dxa"/>
            <w:vAlign w:val="center"/>
          </w:tcPr>
          <w:p w14:paraId="4ECA54CE" w14:textId="77777777" w:rsidR="004C6210" w:rsidRPr="005D2EBB" w:rsidRDefault="004C6210" w:rsidP="00B92A4B">
            <w:pPr>
              <w:jc w:val="center"/>
              <w:rPr>
                <w:rFonts w:ascii="Cambria" w:hAnsi="Cambria"/>
                <w:sz w:val="20"/>
                <w:szCs w:val="20"/>
              </w:rPr>
            </w:pPr>
            <w:r w:rsidRPr="005D2EBB">
              <w:rPr>
                <w:rFonts w:ascii="Cambria" w:hAnsi="Cambria"/>
                <w:sz w:val="20"/>
                <w:szCs w:val="20"/>
              </w:rPr>
              <w:t>Szczegółowa kompletacja oferowanego pojazdu</w:t>
            </w:r>
          </w:p>
        </w:tc>
      </w:tr>
      <w:tr w:rsidR="004C6210" w:rsidRPr="005D2EBB" w14:paraId="70070610" w14:textId="77777777" w:rsidTr="004C6210">
        <w:trPr>
          <w:jc w:val="center"/>
        </w:trPr>
        <w:tc>
          <w:tcPr>
            <w:tcW w:w="562" w:type="dxa"/>
            <w:vAlign w:val="center"/>
          </w:tcPr>
          <w:p w14:paraId="6049C9BE" w14:textId="77777777" w:rsidR="004C6210" w:rsidRPr="005D2EBB" w:rsidRDefault="004C6210" w:rsidP="00B92A4B">
            <w:pPr>
              <w:jc w:val="center"/>
              <w:rPr>
                <w:rFonts w:ascii="Cambria" w:hAnsi="Cambria"/>
                <w:sz w:val="20"/>
                <w:szCs w:val="20"/>
              </w:rPr>
            </w:pPr>
            <w:r w:rsidRPr="005D2EBB">
              <w:rPr>
                <w:rFonts w:ascii="Cambria" w:hAnsi="Cambria"/>
                <w:sz w:val="20"/>
                <w:szCs w:val="20"/>
              </w:rPr>
              <w:t>LP</w:t>
            </w:r>
          </w:p>
        </w:tc>
        <w:tc>
          <w:tcPr>
            <w:tcW w:w="1701" w:type="dxa"/>
            <w:gridSpan w:val="2"/>
            <w:vAlign w:val="center"/>
          </w:tcPr>
          <w:p w14:paraId="09CD650E" w14:textId="77777777" w:rsidR="004C6210" w:rsidRPr="005D2EBB" w:rsidRDefault="004C6210" w:rsidP="00B92A4B">
            <w:pPr>
              <w:jc w:val="center"/>
              <w:rPr>
                <w:rFonts w:ascii="Cambria" w:hAnsi="Cambria"/>
                <w:sz w:val="20"/>
                <w:szCs w:val="20"/>
              </w:rPr>
            </w:pPr>
            <w:r w:rsidRPr="005D2EBB">
              <w:rPr>
                <w:rFonts w:ascii="Cambria" w:hAnsi="Cambria"/>
                <w:sz w:val="20"/>
                <w:szCs w:val="20"/>
              </w:rPr>
              <w:t>Cecha, parametr</w:t>
            </w:r>
          </w:p>
        </w:tc>
        <w:tc>
          <w:tcPr>
            <w:tcW w:w="3688" w:type="dxa"/>
            <w:vAlign w:val="center"/>
          </w:tcPr>
          <w:p w14:paraId="27AA7433" w14:textId="77777777" w:rsidR="004C6210" w:rsidRDefault="004C6210" w:rsidP="00B92A4B">
            <w:pPr>
              <w:jc w:val="center"/>
              <w:rPr>
                <w:rFonts w:ascii="Cambria" w:hAnsi="Cambria"/>
                <w:sz w:val="20"/>
                <w:szCs w:val="20"/>
              </w:rPr>
            </w:pPr>
            <w:r w:rsidRPr="005D2EBB">
              <w:rPr>
                <w:rFonts w:ascii="Cambria" w:hAnsi="Cambria"/>
                <w:sz w:val="20"/>
                <w:szCs w:val="20"/>
              </w:rPr>
              <w:t>Wielkość/</w:t>
            </w:r>
          </w:p>
          <w:p w14:paraId="51387F26" w14:textId="77777777" w:rsidR="004C6210" w:rsidRPr="005D2EBB" w:rsidRDefault="004C6210" w:rsidP="00B92A4B">
            <w:pPr>
              <w:jc w:val="center"/>
              <w:rPr>
                <w:rFonts w:ascii="Cambria" w:hAnsi="Cambria"/>
                <w:sz w:val="20"/>
                <w:szCs w:val="20"/>
              </w:rPr>
            </w:pPr>
            <w:r w:rsidRPr="005D2EBB">
              <w:rPr>
                <w:rFonts w:ascii="Cambria" w:hAnsi="Cambria"/>
                <w:sz w:val="20"/>
                <w:szCs w:val="20"/>
              </w:rPr>
              <w:t>wartość</w:t>
            </w:r>
          </w:p>
        </w:tc>
        <w:tc>
          <w:tcPr>
            <w:tcW w:w="3114" w:type="dxa"/>
            <w:vAlign w:val="center"/>
          </w:tcPr>
          <w:p w14:paraId="7F72BE9A" w14:textId="77777777" w:rsidR="004C6210" w:rsidRPr="005D2EBB" w:rsidRDefault="004C6210" w:rsidP="00B92A4B">
            <w:pPr>
              <w:jc w:val="center"/>
              <w:rPr>
                <w:rFonts w:ascii="Cambria" w:hAnsi="Cambria"/>
                <w:sz w:val="20"/>
                <w:szCs w:val="20"/>
              </w:rPr>
            </w:pPr>
            <w:r w:rsidRPr="005D2EBB">
              <w:rPr>
                <w:rFonts w:ascii="Cambria" w:hAnsi="Cambria"/>
                <w:sz w:val="20"/>
                <w:szCs w:val="20"/>
              </w:rPr>
              <w:t>Wypełnia wykonawca</w:t>
            </w:r>
          </w:p>
        </w:tc>
      </w:tr>
      <w:tr w:rsidR="009E7154" w14:paraId="4EC4A51E" w14:textId="3D7F2EF9" w:rsidTr="004C6210">
        <w:tblPrEx>
          <w:jc w:val="left"/>
        </w:tblPrEx>
        <w:tc>
          <w:tcPr>
            <w:tcW w:w="575" w:type="dxa"/>
            <w:gridSpan w:val="2"/>
            <w:shd w:val="clear" w:color="auto" w:fill="D9D9D9" w:themeFill="background1" w:themeFillShade="D9"/>
            <w:vAlign w:val="center"/>
          </w:tcPr>
          <w:p w14:paraId="04D88DD2" w14:textId="667E5AF7" w:rsidR="009E7154" w:rsidRDefault="009E7154" w:rsidP="00720B8C">
            <w:pPr>
              <w:spacing w:after="0" w:line="360" w:lineRule="auto"/>
              <w:rPr>
                <w:rFonts w:asciiTheme="majorHAnsi" w:hAnsiTheme="majorHAnsi"/>
                <w:b/>
                <w:sz w:val="20"/>
                <w:szCs w:val="20"/>
              </w:rPr>
            </w:pPr>
            <w:r w:rsidRPr="00775D0B">
              <w:rPr>
                <w:rFonts w:asciiTheme="majorHAnsi" w:hAnsiTheme="majorHAnsi"/>
                <w:b/>
                <w:sz w:val="20"/>
                <w:szCs w:val="20"/>
              </w:rPr>
              <w:t>1.</w:t>
            </w:r>
          </w:p>
        </w:tc>
        <w:tc>
          <w:tcPr>
            <w:tcW w:w="5376" w:type="dxa"/>
            <w:gridSpan w:val="2"/>
            <w:shd w:val="clear" w:color="auto" w:fill="D9D9D9" w:themeFill="background1" w:themeFillShade="D9"/>
            <w:vAlign w:val="center"/>
          </w:tcPr>
          <w:p w14:paraId="69DC981E" w14:textId="6D66FF4D" w:rsidR="009E7154" w:rsidRDefault="009E7154" w:rsidP="00775D0B">
            <w:pPr>
              <w:spacing w:after="0" w:line="360" w:lineRule="auto"/>
              <w:jc w:val="center"/>
              <w:rPr>
                <w:rFonts w:asciiTheme="majorHAnsi" w:hAnsiTheme="majorHAnsi"/>
                <w:b/>
                <w:sz w:val="20"/>
                <w:szCs w:val="20"/>
              </w:rPr>
            </w:pPr>
            <w:r w:rsidRPr="00775D0B">
              <w:rPr>
                <w:rFonts w:asciiTheme="majorHAnsi" w:hAnsiTheme="majorHAnsi"/>
                <w:b/>
                <w:sz w:val="20"/>
                <w:szCs w:val="20"/>
              </w:rPr>
              <w:t>Podstawowe dane techniczne</w:t>
            </w:r>
          </w:p>
        </w:tc>
        <w:tc>
          <w:tcPr>
            <w:tcW w:w="3114" w:type="dxa"/>
            <w:shd w:val="clear" w:color="auto" w:fill="D9D9D9" w:themeFill="background1" w:themeFillShade="D9"/>
            <w:vAlign w:val="center"/>
          </w:tcPr>
          <w:p w14:paraId="5339E624" w14:textId="0AAA4FDC" w:rsidR="009E7154" w:rsidRDefault="00BF52AF" w:rsidP="009E7154">
            <w:pPr>
              <w:spacing w:after="0" w:line="360" w:lineRule="auto"/>
              <w:jc w:val="center"/>
              <w:rPr>
                <w:rFonts w:asciiTheme="majorHAnsi" w:hAnsiTheme="majorHAnsi"/>
                <w:b/>
                <w:sz w:val="20"/>
                <w:szCs w:val="20"/>
              </w:rPr>
            </w:pPr>
            <w:r>
              <w:rPr>
                <w:rFonts w:asciiTheme="majorHAnsi" w:hAnsiTheme="majorHAnsi"/>
                <w:b/>
                <w:sz w:val="20"/>
                <w:szCs w:val="20"/>
              </w:rPr>
              <w:t>Wypełnia Wykonawca</w:t>
            </w:r>
          </w:p>
        </w:tc>
      </w:tr>
      <w:tr w:rsidR="009E7154" w14:paraId="5CE21B11" w14:textId="6DD28BEA" w:rsidTr="004C6210">
        <w:tblPrEx>
          <w:jc w:val="left"/>
        </w:tblPrEx>
        <w:tc>
          <w:tcPr>
            <w:tcW w:w="575" w:type="dxa"/>
            <w:gridSpan w:val="2"/>
          </w:tcPr>
          <w:p w14:paraId="45DCFB79" w14:textId="1DF1A69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1.1.</w:t>
            </w:r>
          </w:p>
        </w:tc>
        <w:tc>
          <w:tcPr>
            <w:tcW w:w="1692" w:type="dxa"/>
          </w:tcPr>
          <w:p w14:paraId="3E0F585E" w14:textId="6DAE2A8F"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Typ autobusu.</w:t>
            </w:r>
          </w:p>
        </w:tc>
        <w:tc>
          <w:tcPr>
            <w:tcW w:w="3684" w:type="dxa"/>
          </w:tcPr>
          <w:p w14:paraId="26DBE4B7" w14:textId="46E0396B"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Autobus całkowicie niskopodłogowy na całej powierzchni przeznaczonej dla pasażerów stoj</w:t>
            </w:r>
            <w:r>
              <w:rPr>
                <w:rFonts w:asciiTheme="majorHAnsi" w:hAnsiTheme="majorHAnsi"/>
                <w:sz w:val="20"/>
                <w:szCs w:val="20"/>
              </w:rPr>
              <w:t>ących bez stopni poprzecznych w </w:t>
            </w:r>
            <w:r w:rsidRPr="00F05CE9">
              <w:rPr>
                <w:rFonts w:asciiTheme="majorHAnsi" w:hAnsiTheme="majorHAnsi"/>
                <w:sz w:val="20"/>
                <w:szCs w:val="20"/>
              </w:rPr>
              <w:t>podłodze, przejściu środkowym, bez stopni w drzwiach, podłoga  pokryta wykładziną antypoślizgow</w:t>
            </w:r>
            <w:r>
              <w:rPr>
                <w:rFonts w:asciiTheme="majorHAnsi" w:hAnsiTheme="majorHAnsi"/>
                <w:sz w:val="20"/>
                <w:szCs w:val="20"/>
              </w:rPr>
              <w:t>ą. Wysokość podłogi od jezdni w </w:t>
            </w:r>
            <w:r w:rsidRPr="00F05CE9">
              <w:rPr>
                <w:rFonts w:asciiTheme="majorHAnsi" w:hAnsiTheme="majorHAnsi"/>
                <w:sz w:val="20"/>
                <w:szCs w:val="20"/>
              </w:rPr>
              <w:t>progu każdych drzwi 320 - 340 [mm].</w:t>
            </w:r>
          </w:p>
        </w:tc>
        <w:tc>
          <w:tcPr>
            <w:tcW w:w="3114" w:type="dxa"/>
          </w:tcPr>
          <w:p w14:paraId="414E8F03"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46B7BECC" w14:textId="736BDE5B" w:rsidTr="004C6210">
        <w:tblPrEx>
          <w:jc w:val="left"/>
        </w:tblPrEx>
        <w:tc>
          <w:tcPr>
            <w:tcW w:w="575" w:type="dxa"/>
            <w:gridSpan w:val="2"/>
          </w:tcPr>
          <w:p w14:paraId="5B203F04" w14:textId="6C82BCF8"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1.2.</w:t>
            </w:r>
          </w:p>
        </w:tc>
        <w:tc>
          <w:tcPr>
            <w:tcW w:w="1692" w:type="dxa"/>
          </w:tcPr>
          <w:p w14:paraId="2F2F457F" w14:textId="5F9FF647"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Długość autobusu.</w:t>
            </w:r>
          </w:p>
        </w:tc>
        <w:tc>
          <w:tcPr>
            <w:tcW w:w="3684" w:type="dxa"/>
          </w:tcPr>
          <w:p w14:paraId="1CA024FD" w14:textId="61241230"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Całkowita długość autobusu: 11800 – 12500 [mm].</w:t>
            </w:r>
          </w:p>
        </w:tc>
        <w:tc>
          <w:tcPr>
            <w:tcW w:w="3114" w:type="dxa"/>
          </w:tcPr>
          <w:p w14:paraId="0C3E4BF6" w14:textId="77777777" w:rsidR="009E7154" w:rsidRPr="00775D0B" w:rsidRDefault="009E7154" w:rsidP="009E7154">
            <w:pPr>
              <w:spacing w:after="0" w:line="360" w:lineRule="auto"/>
              <w:jc w:val="both"/>
              <w:rPr>
                <w:rFonts w:asciiTheme="majorHAnsi" w:hAnsiTheme="majorHAnsi"/>
                <w:sz w:val="20"/>
                <w:szCs w:val="20"/>
              </w:rPr>
            </w:pPr>
          </w:p>
        </w:tc>
      </w:tr>
      <w:tr w:rsidR="009E7154" w14:paraId="37D29E99" w14:textId="048EE842" w:rsidTr="004C6210">
        <w:tblPrEx>
          <w:jc w:val="left"/>
        </w:tblPrEx>
        <w:tc>
          <w:tcPr>
            <w:tcW w:w="575" w:type="dxa"/>
            <w:gridSpan w:val="2"/>
          </w:tcPr>
          <w:p w14:paraId="355C082E" w14:textId="262B7C62"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1.3.</w:t>
            </w:r>
          </w:p>
        </w:tc>
        <w:tc>
          <w:tcPr>
            <w:tcW w:w="1692" w:type="dxa"/>
          </w:tcPr>
          <w:p w14:paraId="6105135B" w14:textId="77983DC6"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Szerokość autobusu.</w:t>
            </w:r>
          </w:p>
        </w:tc>
        <w:tc>
          <w:tcPr>
            <w:tcW w:w="3684" w:type="dxa"/>
          </w:tcPr>
          <w:p w14:paraId="7F248A17" w14:textId="66BCC4DE"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 xml:space="preserve">Całkowita szerokość autobusu: </w:t>
            </w:r>
            <w:r>
              <w:rPr>
                <w:rFonts w:asciiTheme="majorHAnsi" w:hAnsiTheme="majorHAnsi"/>
                <w:sz w:val="20"/>
                <w:szCs w:val="20"/>
              </w:rPr>
              <w:t>2500 – 2550 [mm].</w:t>
            </w:r>
          </w:p>
        </w:tc>
        <w:tc>
          <w:tcPr>
            <w:tcW w:w="3114" w:type="dxa"/>
          </w:tcPr>
          <w:p w14:paraId="7970EE6F" w14:textId="77777777" w:rsidR="009E7154" w:rsidRPr="00775D0B" w:rsidRDefault="009E7154" w:rsidP="009E7154">
            <w:pPr>
              <w:spacing w:after="0" w:line="360" w:lineRule="auto"/>
              <w:jc w:val="both"/>
              <w:rPr>
                <w:rFonts w:asciiTheme="majorHAnsi" w:hAnsiTheme="majorHAnsi"/>
                <w:sz w:val="20"/>
                <w:szCs w:val="20"/>
              </w:rPr>
            </w:pPr>
          </w:p>
        </w:tc>
      </w:tr>
      <w:tr w:rsidR="009E7154" w14:paraId="731F7204" w14:textId="7D6F3867" w:rsidTr="004C6210">
        <w:tblPrEx>
          <w:jc w:val="left"/>
        </w:tblPrEx>
        <w:tc>
          <w:tcPr>
            <w:tcW w:w="575" w:type="dxa"/>
            <w:gridSpan w:val="2"/>
          </w:tcPr>
          <w:p w14:paraId="0D044C41" w14:textId="795F4577"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1.4.</w:t>
            </w:r>
          </w:p>
        </w:tc>
        <w:tc>
          <w:tcPr>
            <w:tcW w:w="1692" w:type="dxa"/>
          </w:tcPr>
          <w:p w14:paraId="5C530F76" w14:textId="70DFBD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Wysokość autobusu.</w:t>
            </w:r>
          </w:p>
        </w:tc>
        <w:tc>
          <w:tcPr>
            <w:tcW w:w="3684" w:type="dxa"/>
          </w:tcPr>
          <w:p w14:paraId="7F1210E7" w14:textId="62B085D4"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Maksymalna wysokość autobusu wraz z urządzeniami klimatyzacyjnymi i bateriami trakcyjnymi 3400 [mm].</w:t>
            </w:r>
          </w:p>
        </w:tc>
        <w:tc>
          <w:tcPr>
            <w:tcW w:w="3114" w:type="dxa"/>
          </w:tcPr>
          <w:p w14:paraId="2ED3C3BA"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31AD8257" w14:textId="027CF1A7" w:rsidTr="004C6210">
        <w:tblPrEx>
          <w:jc w:val="left"/>
        </w:tblPrEx>
        <w:tc>
          <w:tcPr>
            <w:tcW w:w="575" w:type="dxa"/>
            <w:gridSpan w:val="2"/>
          </w:tcPr>
          <w:p w14:paraId="58515842" w14:textId="4821E754"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1.5.</w:t>
            </w:r>
          </w:p>
        </w:tc>
        <w:tc>
          <w:tcPr>
            <w:tcW w:w="1692" w:type="dxa"/>
          </w:tcPr>
          <w:p w14:paraId="300123A3" w14:textId="0977930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Ilość miejsc.</w:t>
            </w:r>
          </w:p>
        </w:tc>
        <w:tc>
          <w:tcPr>
            <w:tcW w:w="3684" w:type="dxa"/>
          </w:tcPr>
          <w:p w14:paraId="2189772B" w14:textId="027899C8"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 xml:space="preserve">Minimalna liczba miejsc ogółem: 70 (wraz z kierującym) w tym co najmniej 25 miejsc siedzących </w:t>
            </w:r>
            <w:r>
              <w:rPr>
                <w:rFonts w:asciiTheme="majorHAnsi" w:hAnsiTheme="majorHAnsi"/>
                <w:sz w:val="20"/>
                <w:szCs w:val="20"/>
              </w:rPr>
              <w:t xml:space="preserve">z </w:t>
            </w:r>
            <w:r w:rsidRPr="00F05CE9">
              <w:rPr>
                <w:rFonts w:asciiTheme="majorHAnsi" w:hAnsiTheme="majorHAnsi"/>
                <w:sz w:val="20"/>
                <w:szCs w:val="20"/>
              </w:rPr>
              <w:t>czego minimum 8 miejsc siedzących dostępnych z poziomu podłogi. Nie dopuszcza się montażu siedzeń składanych.</w:t>
            </w:r>
          </w:p>
        </w:tc>
        <w:tc>
          <w:tcPr>
            <w:tcW w:w="3114" w:type="dxa"/>
          </w:tcPr>
          <w:p w14:paraId="0E4F3E9B"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0AF401FC" w14:textId="113CBF9C" w:rsidTr="004C6210">
        <w:tblPrEx>
          <w:jc w:val="left"/>
        </w:tblPrEx>
        <w:tc>
          <w:tcPr>
            <w:tcW w:w="575" w:type="dxa"/>
            <w:gridSpan w:val="2"/>
          </w:tcPr>
          <w:p w14:paraId="4529A18A" w14:textId="64887E5F"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1.6.</w:t>
            </w:r>
          </w:p>
        </w:tc>
        <w:tc>
          <w:tcPr>
            <w:tcW w:w="1692" w:type="dxa"/>
          </w:tcPr>
          <w:p w14:paraId="16EB8968" w14:textId="6367CCFC"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Miejsca dla wózka inwalidzkiego lub dziecięcego.</w:t>
            </w:r>
          </w:p>
        </w:tc>
        <w:tc>
          <w:tcPr>
            <w:tcW w:w="3684" w:type="dxa"/>
          </w:tcPr>
          <w:p w14:paraId="42607EFA" w14:textId="0F5A9ADF" w:rsidR="009E7154" w:rsidRPr="00ED6213"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Liczba miejsc spełniających wymagania Zał. nr 3 do Reg. nr 107 EKG ONZ dla wózka inwalidzkiego lub dziecięcego: 1.</w:t>
            </w:r>
          </w:p>
        </w:tc>
        <w:tc>
          <w:tcPr>
            <w:tcW w:w="3114" w:type="dxa"/>
          </w:tcPr>
          <w:p w14:paraId="628F895A" w14:textId="77777777" w:rsidR="009E7154" w:rsidRPr="00ED6213" w:rsidRDefault="009E7154" w:rsidP="00ED6213">
            <w:pPr>
              <w:spacing w:after="0" w:line="360" w:lineRule="auto"/>
              <w:ind w:left="29"/>
              <w:jc w:val="both"/>
              <w:rPr>
                <w:rFonts w:asciiTheme="majorHAnsi" w:hAnsiTheme="majorHAnsi"/>
                <w:sz w:val="20"/>
                <w:szCs w:val="20"/>
              </w:rPr>
            </w:pPr>
          </w:p>
        </w:tc>
      </w:tr>
      <w:tr w:rsidR="009E7154" w14:paraId="4EED2997" w14:textId="4E5E3A40" w:rsidTr="004C6210">
        <w:tblPrEx>
          <w:jc w:val="left"/>
        </w:tblPrEx>
        <w:tc>
          <w:tcPr>
            <w:tcW w:w="575" w:type="dxa"/>
            <w:gridSpan w:val="2"/>
          </w:tcPr>
          <w:p w14:paraId="7877FF29" w14:textId="567CDC78"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1.7.</w:t>
            </w:r>
          </w:p>
        </w:tc>
        <w:tc>
          <w:tcPr>
            <w:tcW w:w="1692" w:type="dxa"/>
          </w:tcPr>
          <w:p w14:paraId="64E85B92" w14:textId="710135E1"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Zużycie energii.</w:t>
            </w:r>
          </w:p>
          <w:p w14:paraId="2E84C7F3" w14:textId="77777777" w:rsidR="009E7154" w:rsidRPr="00F05CE9" w:rsidRDefault="009E7154" w:rsidP="00720B8C">
            <w:pPr>
              <w:spacing w:after="0" w:line="360" w:lineRule="auto"/>
              <w:rPr>
                <w:rFonts w:asciiTheme="majorHAnsi" w:hAnsiTheme="majorHAnsi"/>
                <w:b/>
                <w:sz w:val="20"/>
                <w:szCs w:val="20"/>
              </w:rPr>
            </w:pPr>
          </w:p>
        </w:tc>
        <w:tc>
          <w:tcPr>
            <w:tcW w:w="3684" w:type="dxa"/>
          </w:tcPr>
          <w:p w14:paraId="36F77917" w14:textId="42A0286B" w:rsidR="009E7154" w:rsidRPr="00F05CE9"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Zamawiający wymaga aby zużycie energii elektrycznej każdego autobusu, będącego przedmiotem zamówienia</w:t>
            </w:r>
            <w:r>
              <w:rPr>
                <w:rFonts w:asciiTheme="majorHAnsi" w:hAnsiTheme="majorHAnsi"/>
                <w:sz w:val="20"/>
                <w:szCs w:val="20"/>
              </w:rPr>
              <w:t xml:space="preserve"> </w:t>
            </w:r>
            <w:r>
              <w:rPr>
                <w:rFonts w:asciiTheme="majorHAnsi" w:hAnsiTheme="majorHAnsi"/>
                <w:sz w:val="20"/>
                <w:szCs w:val="20"/>
              </w:rPr>
              <w:lastRenderedPageBreak/>
              <w:t>wynosiło maksymalnie 0,90kWh/1</w:t>
            </w:r>
            <w:r w:rsidRPr="00F05CE9">
              <w:rPr>
                <w:rFonts w:asciiTheme="majorHAnsi" w:hAnsiTheme="majorHAnsi"/>
                <w:sz w:val="20"/>
                <w:szCs w:val="20"/>
              </w:rPr>
              <w:t>km zgodnie z testem SORT-2. Wykonawca do oferty dołączy raport techniczny drogowego zużycia energii elektrycznej według testu SORT-2 dla oferowanych modeli autobusów wykonany według wytycznych UITP lub wyniki badań opracowanych przez niezależną certyfikowaną jednostkę badawczą. Wykonawca zobowiązany jest dołączyć do oferty wyniki badań zużycia energii elektrycznej zgodnie z procedurą e-SORT zgodnie z wymaganiami określonymi przez UITP.</w:t>
            </w:r>
          </w:p>
        </w:tc>
        <w:tc>
          <w:tcPr>
            <w:tcW w:w="3114" w:type="dxa"/>
          </w:tcPr>
          <w:p w14:paraId="0FED8BEF" w14:textId="77777777" w:rsidR="009E7154" w:rsidRPr="00F05CE9" w:rsidRDefault="009E7154" w:rsidP="00ED6213">
            <w:pPr>
              <w:spacing w:after="0" w:line="360" w:lineRule="auto"/>
              <w:ind w:left="29"/>
              <w:jc w:val="both"/>
              <w:rPr>
                <w:rFonts w:asciiTheme="majorHAnsi" w:hAnsiTheme="majorHAnsi"/>
                <w:sz w:val="20"/>
                <w:szCs w:val="20"/>
              </w:rPr>
            </w:pPr>
          </w:p>
        </w:tc>
      </w:tr>
      <w:tr w:rsidR="009E7154" w14:paraId="78CEB71D" w14:textId="5F0B17B7" w:rsidTr="004C6210">
        <w:tblPrEx>
          <w:jc w:val="left"/>
        </w:tblPrEx>
        <w:tc>
          <w:tcPr>
            <w:tcW w:w="575" w:type="dxa"/>
            <w:gridSpan w:val="2"/>
            <w:shd w:val="clear" w:color="auto" w:fill="D9D9D9" w:themeFill="background1" w:themeFillShade="D9"/>
            <w:vAlign w:val="center"/>
          </w:tcPr>
          <w:p w14:paraId="42E764EC" w14:textId="0ABE12E6" w:rsidR="009E7154" w:rsidRDefault="009E7154" w:rsidP="00F55842">
            <w:pPr>
              <w:spacing w:after="0" w:line="360" w:lineRule="auto"/>
              <w:rPr>
                <w:rFonts w:asciiTheme="majorHAnsi" w:hAnsiTheme="majorHAnsi"/>
                <w:b/>
                <w:sz w:val="20"/>
                <w:szCs w:val="20"/>
              </w:rPr>
            </w:pPr>
            <w:r>
              <w:rPr>
                <w:rFonts w:asciiTheme="majorHAnsi" w:hAnsiTheme="majorHAnsi"/>
                <w:b/>
                <w:sz w:val="20"/>
                <w:szCs w:val="20"/>
              </w:rPr>
              <w:t>2.</w:t>
            </w:r>
          </w:p>
        </w:tc>
        <w:tc>
          <w:tcPr>
            <w:tcW w:w="1692" w:type="dxa"/>
            <w:shd w:val="clear" w:color="auto" w:fill="D9D9D9" w:themeFill="background1" w:themeFillShade="D9"/>
            <w:vAlign w:val="center"/>
          </w:tcPr>
          <w:p w14:paraId="42178428" w14:textId="57197BC8" w:rsidR="009E7154" w:rsidRPr="00F05CE9" w:rsidRDefault="009E7154" w:rsidP="00F55842">
            <w:pPr>
              <w:spacing w:after="0" w:line="360" w:lineRule="auto"/>
              <w:rPr>
                <w:rFonts w:asciiTheme="majorHAnsi" w:hAnsiTheme="majorHAnsi"/>
                <w:b/>
                <w:sz w:val="20"/>
                <w:szCs w:val="20"/>
              </w:rPr>
            </w:pPr>
            <w:r>
              <w:rPr>
                <w:rFonts w:asciiTheme="majorHAnsi" w:hAnsiTheme="majorHAnsi"/>
                <w:b/>
                <w:sz w:val="20"/>
                <w:szCs w:val="20"/>
              </w:rPr>
              <w:t>Zespół napędowy.</w:t>
            </w:r>
          </w:p>
        </w:tc>
        <w:tc>
          <w:tcPr>
            <w:tcW w:w="3684" w:type="dxa"/>
            <w:shd w:val="clear" w:color="auto" w:fill="D9D9D9" w:themeFill="background1" w:themeFillShade="D9"/>
            <w:vAlign w:val="center"/>
          </w:tcPr>
          <w:p w14:paraId="1B35C4E1" w14:textId="77777777" w:rsidR="009E7154" w:rsidRPr="00F05CE9" w:rsidRDefault="009E7154" w:rsidP="00F55842">
            <w:pPr>
              <w:spacing w:after="0" w:line="360" w:lineRule="auto"/>
              <w:ind w:left="29"/>
              <w:rPr>
                <w:rFonts w:asciiTheme="majorHAnsi" w:hAnsiTheme="majorHAnsi"/>
                <w:sz w:val="20"/>
                <w:szCs w:val="20"/>
              </w:rPr>
            </w:pPr>
          </w:p>
        </w:tc>
        <w:tc>
          <w:tcPr>
            <w:tcW w:w="3114" w:type="dxa"/>
            <w:shd w:val="clear" w:color="auto" w:fill="D9D9D9" w:themeFill="background1" w:themeFillShade="D9"/>
            <w:vAlign w:val="center"/>
          </w:tcPr>
          <w:p w14:paraId="4799BC38" w14:textId="77777777" w:rsidR="009E7154" w:rsidRPr="00F05CE9" w:rsidRDefault="009E7154" w:rsidP="00F55842">
            <w:pPr>
              <w:spacing w:after="0" w:line="360" w:lineRule="auto"/>
              <w:ind w:left="29"/>
              <w:rPr>
                <w:rFonts w:asciiTheme="majorHAnsi" w:hAnsiTheme="majorHAnsi"/>
                <w:sz w:val="20"/>
                <w:szCs w:val="20"/>
              </w:rPr>
            </w:pPr>
          </w:p>
        </w:tc>
      </w:tr>
      <w:tr w:rsidR="009E7154" w14:paraId="3E0814F9" w14:textId="3E99E0B4" w:rsidTr="004C6210">
        <w:tblPrEx>
          <w:jc w:val="left"/>
        </w:tblPrEx>
        <w:tc>
          <w:tcPr>
            <w:tcW w:w="575" w:type="dxa"/>
            <w:gridSpan w:val="2"/>
          </w:tcPr>
          <w:p w14:paraId="009B86DD" w14:textId="38E7BF8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2.1.</w:t>
            </w:r>
          </w:p>
        </w:tc>
        <w:tc>
          <w:tcPr>
            <w:tcW w:w="1692" w:type="dxa"/>
          </w:tcPr>
          <w:p w14:paraId="69917EB6" w14:textId="6A76B2AA" w:rsidR="009E7154" w:rsidRPr="00F05CE9" w:rsidRDefault="009E7154" w:rsidP="00ED6213">
            <w:pPr>
              <w:spacing w:after="0" w:line="360" w:lineRule="auto"/>
              <w:rPr>
                <w:rFonts w:asciiTheme="majorHAnsi" w:hAnsiTheme="majorHAnsi"/>
                <w:b/>
                <w:sz w:val="20"/>
                <w:szCs w:val="20"/>
              </w:rPr>
            </w:pPr>
            <w:r>
              <w:rPr>
                <w:rFonts w:asciiTheme="majorHAnsi" w:hAnsiTheme="majorHAnsi"/>
                <w:b/>
                <w:sz w:val="20"/>
                <w:szCs w:val="20"/>
              </w:rPr>
              <w:t>Elektryczny zespół napędowy.</w:t>
            </w:r>
          </w:p>
        </w:tc>
        <w:tc>
          <w:tcPr>
            <w:tcW w:w="3684" w:type="dxa"/>
          </w:tcPr>
          <w:p w14:paraId="4FF88977" w14:textId="2C695BAB" w:rsidR="009E7154"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2.1.1.</w:t>
            </w:r>
            <w:r w:rsidRPr="00F05CE9">
              <w:rPr>
                <w:rFonts w:asciiTheme="majorHAnsi" w:hAnsiTheme="majorHAnsi"/>
                <w:sz w:val="20"/>
                <w:szCs w:val="20"/>
              </w:rPr>
              <w:tab/>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w:t>
            </w:r>
            <w:r>
              <w:rPr>
                <w:rFonts w:asciiTheme="majorHAnsi" w:hAnsiTheme="majorHAnsi"/>
                <w:sz w:val="20"/>
                <w:szCs w:val="20"/>
              </w:rPr>
              <w:t>lektrycznego układu napędowego.</w:t>
            </w:r>
          </w:p>
          <w:p w14:paraId="54F7DF53"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2.1.2.</w:t>
            </w:r>
            <w:r w:rsidRPr="00F05CE9">
              <w:rPr>
                <w:rFonts w:asciiTheme="majorHAnsi" w:hAnsiTheme="majorHAnsi"/>
                <w:sz w:val="20"/>
                <w:szCs w:val="20"/>
              </w:rPr>
              <w:tab/>
              <w:t>Jednostka napędowa w po</w:t>
            </w:r>
            <w:r>
              <w:rPr>
                <w:rFonts w:asciiTheme="majorHAnsi" w:hAnsiTheme="majorHAnsi"/>
                <w:sz w:val="20"/>
                <w:szCs w:val="20"/>
              </w:rPr>
              <w:t>staci jednego silnika</w:t>
            </w:r>
            <w:r w:rsidRPr="00F05CE9">
              <w:rPr>
                <w:rFonts w:asciiTheme="majorHAnsi" w:hAnsiTheme="majorHAnsi"/>
                <w:sz w:val="20"/>
                <w:szCs w:val="20"/>
              </w:rPr>
              <w:t xml:space="preserve"> elektrycznego </w:t>
            </w:r>
            <w:r>
              <w:rPr>
                <w:rFonts w:asciiTheme="majorHAnsi" w:hAnsiTheme="majorHAnsi"/>
                <w:sz w:val="20"/>
                <w:szCs w:val="20"/>
              </w:rPr>
              <w:t xml:space="preserve">centralnego </w:t>
            </w:r>
            <w:r w:rsidRPr="00F05CE9">
              <w:rPr>
                <w:rFonts w:asciiTheme="majorHAnsi" w:hAnsiTheme="majorHAnsi"/>
                <w:sz w:val="20"/>
                <w:szCs w:val="20"/>
              </w:rPr>
              <w:t xml:space="preserve">o mocy ciągłej nie mniejszej niż 160 kW lub dwóch silników elektrycznych w osi napędowej o mocy sumarycznej nie mniejszej niż 160 kW. Jednostka napędowa musi zapewniać przyspieszenia i osiąganie prędkości jazdy umożliwiające Zamawiającemu </w:t>
            </w:r>
            <w:r w:rsidRPr="00F05CE9">
              <w:rPr>
                <w:rFonts w:asciiTheme="majorHAnsi" w:hAnsiTheme="majorHAnsi"/>
                <w:sz w:val="20"/>
                <w:szCs w:val="20"/>
              </w:rPr>
              <w:lastRenderedPageBreak/>
              <w:t xml:space="preserve">realizację rozkładu jazdy dla każdej z obsługiwanych przez Zamawiającego linii publicznego transportu zbiorowego </w:t>
            </w:r>
            <w:r>
              <w:rPr>
                <w:rFonts w:asciiTheme="majorHAnsi" w:hAnsiTheme="majorHAnsi"/>
                <w:sz w:val="20"/>
                <w:szCs w:val="20"/>
              </w:rPr>
              <w:t xml:space="preserve"> </w:t>
            </w:r>
            <w:r w:rsidRPr="00F05CE9">
              <w:rPr>
                <w:rFonts w:asciiTheme="majorHAnsi" w:hAnsiTheme="majorHAnsi"/>
                <w:sz w:val="20"/>
                <w:szCs w:val="20"/>
              </w:rPr>
              <w:t xml:space="preserve">w </w:t>
            </w:r>
            <w:r>
              <w:rPr>
                <w:rFonts w:asciiTheme="majorHAnsi" w:hAnsiTheme="majorHAnsi"/>
                <w:sz w:val="20"/>
                <w:szCs w:val="20"/>
              </w:rPr>
              <w:t xml:space="preserve">sposób porównywalny z autobusem </w:t>
            </w:r>
            <w:r w:rsidRPr="00F05CE9">
              <w:rPr>
                <w:rFonts w:asciiTheme="majorHAnsi" w:hAnsiTheme="majorHAnsi"/>
                <w:sz w:val="20"/>
                <w:szCs w:val="20"/>
              </w:rPr>
              <w:t>o</w:t>
            </w:r>
            <w:r>
              <w:rPr>
                <w:rFonts w:asciiTheme="majorHAnsi" w:hAnsiTheme="majorHAnsi"/>
                <w:sz w:val="20"/>
                <w:szCs w:val="20"/>
              </w:rPr>
              <w:t> </w:t>
            </w:r>
            <w:r w:rsidRPr="00F05CE9">
              <w:rPr>
                <w:rFonts w:asciiTheme="majorHAnsi" w:hAnsiTheme="majorHAnsi"/>
                <w:sz w:val="20"/>
                <w:szCs w:val="20"/>
              </w:rPr>
              <w:t>konwencjonalnym napędzie spalinowym.</w:t>
            </w:r>
          </w:p>
          <w:p w14:paraId="0DB6EF54" w14:textId="29207535" w:rsidR="009E7154" w:rsidRPr="00ED6213" w:rsidRDefault="009E7154" w:rsidP="00515CD3">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2.1.3.</w:t>
            </w:r>
            <w:r w:rsidRPr="00F05CE9">
              <w:rPr>
                <w:rFonts w:asciiTheme="majorHAnsi" w:hAnsiTheme="majorHAnsi"/>
                <w:sz w:val="20"/>
                <w:szCs w:val="20"/>
              </w:rPr>
              <w:tab/>
              <w:t>Zastosowany napęd elektryczny musi posiadać funkcję odzysku energii elektrycznej dla potrzeb ładowania magazynu energii autobusu. Funkcja odzysku energii uruchamiana poprzez naciśnięcie pedału hamulca robo</w:t>
            </w:r>
            <w:r>
              <w:rPr>
                <w:rFonts w:asciiTheme="majorHAnsi" w:hAnsiTheme="majorHAnsi"/>
                <w:sz w:val="20"/>
                <w:szCs w:val="20"/>
              </w:rPr>
              <w:t xml:space="preserve">czego lub automatycznie poprzez </w:t>
            </w:r>
            <w:r w:rsidRPr="00F05CE9">
              <w:rPr>
                <w:rFonts w:asciiTheme="majorHAnsi" w:hAnsiTheme="majorHAnsi"/>
                <w:sz w:val="20"/>
                <w:szCs w:val="20"/>
              </w:rPr>
              <w:t>zwolnienie pedału przyspieszenia.</w:t>
            </w:r>
          </w:p>
        </w:tc>
        <w:tc>
          <w:tcPr>
            <w:tcW w:w="3114" w:type="dxa"/>
          </w:tcPr>
          <w:p w14:paraId="304E3687" w14:textId="77777777" w:rsidR="009E7154" w:rsidRPr="00ED6213" w:rsidRDefault="009E7154" w:rsidP="00515CD3">
            <w:pPr>
              <w:spacing w:after="0" w:line="360" w:lineRule="auto"/>
              <w:ind w:left="705" w:hanging="705"/>
              <w:jc w:val="both"/>
              <w:rPr>
                <w:rFonts w:asciiTheme="majorHAnsi" w:hAnsiTheme="majorHAnsi"/>
                <w:sz w:val="20"/>
                <w:szCs w:val="20"/>
              </w:rPr>
            </w:pPr>
          </w:p>
        </w:tc>
      </w:tr>
      <w:tr w:rsidR="009E7154" w14:paraId="0D380B08" w14:textId="3650DFAD" w:rsidTr="004C6210">
        <w:tblPrEx>
          <w:jc w:val="left"/>
        </w:tblPrEx>
        <w:tc>
          <w:tcPr>
            <w:tcW w:w="575" w:type="dxa"/>
            <w:gridSpan w:val="2"/>
          </w:tcPr>
          <w:p w14:paraId="05457110" w14:textId="1874B2CA"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2.2.</w:t>
            </w:r>
          </w:p>
          <w:p w14:paraId="24F1DA74" w14:textId="2A41C258" w:rsidR="009E7154" w:rsidRDefault="009E7154" w:rsidP="00720B8C">
            <w:pPr>
              <w:spacing w:after="0" w:line="360" w:lineRule="auto"/>
              <w:rPr>
                <w:rFonts w:asciiTheme="majorHAnsi" w:hAnsiTheme="majorHAnsi"/>
                <w:b/>
                <w:sz w:val="20"/>
                <w:szCs w:val="20"/>
              </w:rPr>
            </w:pPr>
          </w:p>
        </w:tc>
        <w:tc>
          <w:tcPr>
            <w:tcW w:w="1692" w:type="dxa"/>
          </w:tcPr>
          <w:p w14:paraId="6D565B78" w14:textId="319CE129" w:rsidR="009E7154"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Magazyn energii elektrycznej</w:t>
            </w:r>
            <w:r>
              <w:rPr>
                <w:rFonts w:asciiTheme="majorHAnsi" w:hAnsiTheme="majorHAnsi"/>
                <w:b/>
                <w:sz w:val="20"/>
                <w:szCs w:val="20"/>
              </w:rPr>
              <w:t>.</w:t>
            </w:r>
          </w:p>
        </w:tc>
        <w:tc>
          <w:tcPr>
            <w:tcW w:w="3684" w:type="dxa"/>
          </w:tcPr>
          <w:p w14:paraId="50485E6C" w14:textId="4D438046"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2.2.1.</w:t>
            </w:r>
            <w:r w:rsidRPr="00F05CE9">
              <w:rPr>
                <w:rFonts w:asciiTheme="majorHAnsi" w:hAnsiTheme="majorHAnsi"/>
                <w:sz w:val="20"/>
                <w:szCs w:val="20"/>
              </w:rPr>
              <w:tab/>
              <w:t>Magazyn energii elektrycznej, elektrycznego układu napędowego, może być wyposażony w baterie w</w:t>
            </w:r>
            <w:r>
              <w:rPr>
                <w:rFonts w:asciiTheme="majorHAnsi" w:hAnsiTheme="majorHAnsi"/>
                <w:sz w:val="20"/>
                <w:szCs w:val="20"/>
              </w:rPr>
              <w:t>ykonane w </w:t>
            </w:r>
            <w:r w:rsidRPr="00F05CE9">
              <w:rPr>
                <w:rFonts w:asciiTheme="majorHAnsi" w:hAnsiTheme="majorHAnsi"/>
                <w:sz w:val="20"/>
                <w:szCs w:val="20"/>
              </w:rPr>
              <w:t>dowolnej technologii. Oznacza to, że Zamawiający nie definiuje warunku co do technologii zastosowanych baterii stanowiących magazyn energii elektrycznej dla potrzeb zasilania elektrycznego układu napędowego.</w:t>
            </w:r>
          </w:p>
          <w:p w14:paraId="035B25C9"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2.2.2.</w:t>
            </w:r>
            <w:r w:rsidRPr="00F05CE9">
              <w:rPr>
                <w:rFonts w:asciiTheme="majorHAnsi" w:hAnsiTheme="majorHAnsi"/>
                <w:sz w:val="20"/>
                <w:szCs w:val="20"/>
              </w:rPr>
              <w:tab/>
              <w:t>Łączna pojemność energetyczna (nominalna) magazynu energii nie może być mniejsza niż 400 kWh, jednakże energia dostępna dla użytkownika, zwana dalej ED nie może być mniejsza niż 340 kWh. Energia Dostępna – jest to wydzielony zakres energii z energii nominalnej magazynu energii przez producenta magazynu energii lub autobusu, w którym powinien pracować magazyn energii w celu zapewnienia optymalnych i bezpiecznych warunków pracy tego magazynu energii. Zerowy stan energii dostępnej musi odpowiadać wartość minimalnej SOC (ang. State of charge), a 100 % ED musi odpowiadać wartości maksymalnej SOC.</w:t>
            </w:r>
          </w:p>
          <w:p w14:paraId="5AC54D9C" w14:textId="33A3B2B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2.2.3.</w:t>
            </w:r>
            <w:r w:rsidRPr="00F05CE9">
              <w:rPr>
                <w:rFonts w:asciiTheme="majorHAnsi" w:hAnsiTheme="majorHAnsi"/>
                <w:sz w:val="20"/>
                <w:szCs w:val="20"/>
              </w:rPr>
              <w:tab/>
              <w:t xml:space="preserve">Zabudowa magazynu energii umożliwiająca </w:t>
            </w:r>
            <w:r>
              <w:rPr>
                <w:rFonts w:asciiTheme="majorHAnsi" w:hAnsiTheme="majorHAnsi"/>
                <w:sz w:val="20"/>
                <w:szCs w:val="20"/>
              </w:rPr>
              <w:t>jego wymianę w </w:t>
            </w:r>
            <w:r w:rsidRPr="00F05CE9">
              <w:rPr>
                <w:rFonts w:asciiTheme="majorHAnsi" w:hAnsiTheme="majorHAnsi"/>
                <w:sz w:val="20"/>
                <w:szCs w:val="20"/>
              </w:rPr>
              <w:t>warunkach warsztatowych Zamawiającego przy zastosowaniu narzędzi powszechnie dostępnych lub wciągników elektrycznych. Zamawiający nie określa miejsca zabudowy magazynów energii.</w:t>
            </w:r>
          </w:p>
          <w:p w14:paraId="3B6E25D4" w14:textId="220C582F" w:rsidR="009E7154" w:rsidRPr="00F05CE9" w:rsidRDefault="009E7154" w:rsidP="00BD15CA">
            <w:pPr>
              <w:spacing w:line="360" w:lineRule="auto"/>
              <w:ind w:left="705" w:hanging="705"/>
              <w:jc w:val="both"/>
              <w:rPr>
                <w:rFonts w:asciiTheme="majorHAnsi" w:hAnsiTheme="majorHAnsi"/>
                <w:sz w:val="20"/>
                <w:szCs w:val="20"/>
              </w:rPr>
            </w:pPr>
            <w:r>
              <w:rPr>
                <w:rFonts w:asciiTheme="majorHAnsi" w:hAnsiTheme="majorHAnsi"/>
                <w:sz w:val="20"/>
                <w:szCs w:val="20"/>
              </w:rPr>
              <w:t>2.2.4.</w:t>
            </w:r>
            <w:r>
              <w:rPr>
                <w:rFonts w:asciiTheme="majorHAnsi" w:hAnsiTheme="majorHAnsi"/>
                <w:sz w:val="20"/>
                <w:szCs w:val="20"/>
              </w:rPr>
              <w:tab/>
            </w:r>
            <w:r w:rsidRPr="00042018">
              <w:rPr>
                <w:rFonts w:asciiTheme="majorHAnsi" w:hAnsiTheme="majorHAnsi"/>
                <w:sz w:val="20"/>
                <w:szCs w:val="20"/>
              </w:rPr>
              <w:t>Energia zmagazynowana w magazynie energii pozwalająca na wykonanie na jednym pełnym ładowaniu  trasy o długości minimum 200 km zarówno w warunkach letnich, jak i zimowych przy maksymalnym wykorzystaniu urządzeń klimatyzacyjnych lub urządzeń grzewczych przy pełnym obciążeniu (dopuszczalna masa całkowita, włączone oświetlenie wewnętrzne i zewnętrzne, włączone systemy informacji  pasażerskiej,  kasowniki,  monitoring oraz pozostałe systemy zamontowane na pokładzie autobusu pobierające energię elektryczną).</w:t>
            </w:r>
          </w:p>
          <w:p w14:paraId="0BAE1075" w14:textId="04EDCFA8"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2.2.5.</w:t>
            </w:r>
            <w:r w:rsidRPr="00F05CE9">
              <w:rPr>
                <w:rFonts w:asciiTheme="majorHAnsi" w:hAnsiTheme="majorHAnsi"/>
                <w:sz w:val="20"/>
                <w:szCs w:val="20"/>
              </w:rPr>
              <w:tab/>
              <w:t xml:space="preserve">Magazyn energii musi być wyposażony w wyłączniki bezpieczeństwa w ilości co </w:t>
            </w:r>
            <w:r>
              <w:rPr>
                <w:rFonts w:asciiTheme="majorHAnsi" w:hAnsiTheme="majorHAnsi"/>
                <w:sz w:val="20"/>
                <w:szCs w:val="20"/>
              </w:rPr>
              <w:t>najmniej 2 sztuk, w tym jeden w </w:t>
            </w:r>
            <w:r w:rsidRPr="00F05CE9">
              <w:rPr>
                <w:rFonts w:asciiTheme="majorHAnsi" w:hAnsiTheme="majorHAnsi"/>
                <w:sz w:val="20"/>
                <w:szCs w:val="20"/>
              </w:rPr>
              <w:t>miejscu pracy kierowcy. Wyłączniki te muszą posiadać możliwość ich zablokowania w pozycji wyłączonej np. kłódką.</w:t>
            </w:r>
          </w:p>
          <w:p w14:paraId="2FBA1532" w14:textId="7B17381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2.2.6.</w:t>
            </w:r>
            <w:r w:rsidRPr="00F05CE9">
              <w:rPr>
                <w:rFonts w:asciiTheme="majorHAnsi" w:hAnsiTheme="majorHAnsi"/>
                <w:sz w:val="20"/>
                <w:szCs w:val="20"/>
              </w:rPr>
              <w:tab/>
              <w:t>Magazyn energii musi być wyposażony w system ogrzewania oraz chłodzenia ogniw gw</w:t>
            </w:r>
            <w:r>
              <w:rPr>
                <w:rFonts w:asciiTheme="majorHAnsi" w:hAnsiTheme="majorHAnsi"/>
                <w:sz w:val="20"/>
                <w:szCs w:val="20"/>
              </w:rPr>
              <w:t>arantujący ich poprawną pracę w </w:t>
            </w:r>
            <w:r w:rsidRPr="00F05CE9">
              <w:rPr>
                <w:rFonts w:asciiTheme="majorHAnsi" w:hAnsiTheme="majorHAnsi"/>
                <w:sz w:val="20"/>
                <w:szCs w:val="20"/>
              </w:rPr>
              <w:t>trudnych warunkach atmosferycznych.</w:t>
            </w:r>
          </w:p>
          <w:p w14:paraId="10CBFDF4" w14:textId="71FC88BB"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2.2.7.</w:t>
            </w:r>
            <w:r w:rsidRPr="00F05CE9">
              <w:rPr>
                <w:rFonts w:asciiTheme="majorHAnsi" w:hAnsiTheme="majorHAnsi"/>
                <w:sz w:val="20"/>
                <w:szCs w:val="20"/>
              </w:rPr>
              <w:tab/>
              <w:t>Zamawiający nie dopuszcza mo</w:t>
            </w:r>
            <w:r>
              <w:rPr>
                <w:rFonts w:asciiTheme="majorHAnsi" w:hAnsiTheme="majorHAnsi"/>
                <w:sz w:val="20"/>
                <w:szCs w:val="20"/>
              </w:rPr>
              <w:t>żliwości eksploatacji pojazdu z </w:t>
            </w:r>
            <w:r w:rsidRPr="00F05CE9">
              <w:rPr>
                <w:rFonts w:asciiTheme="majorHAnsi" w:hAnsiTheme="majorHAnsi"/>
                <w:sz w:val="20"/>
                <w:szCs w:val="20"/>
              </w:rPr>
              <w:t>pomniejszoną w celach serwisowych pojemnością nominalną magazynu energii.</w:t>
            </w:r>
          </w:p>
          <w:p w14:paraId="7CDA247F" w14:textId="77777777" w:rsidR="009E7154" w:rsidRPr="00F05CE9" w:rsidRDefault="009E7154" w:rsidP="00D2485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2.2.8.</w:t>
            </w:r>
            <w:r w:rsidRPr="00F05CE9">
              <w:rPr>
                <w:rFonts w:asciiTheme="majorHAnsi" w:hAnsiTheme="majorHAnsi"/>
                <w:sz w:val="20"/>
                <w:szCs w:val="20"/>
              </w:rPr>
              <w:tab/>
              <w:t>System zarządzania magazynem energii musi przekazywać do komputera Systemu Informacji Pasażerskiej dane dotyczące:</w:t>
            </w:r>
          </w:p>
          <w:p w14:paraId="0A24B4AB"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a) iloś</w:t>
            </w:r>
            <w:r>
              <w:rPr>
                <w:rFonts w:asciiTheme="majorHAnsi" w:hAnsiTheme="majorHAnsi"/>
                <w:sz w:val="20"/>
                <w:szCs w:val="20"/>
              </w:rPr>
              <w:t xml:space="preserve">ci energii w magazynach </w:t>
            </w:r>
            <w:r w:rsidR="000D3686">
              <w:rPr>
                <w:rFonts w:asciiTheme="majorHAnsi" w:hAnsiTheme="majorHAnsi"/>
                <w:sz w:val="20"/>
                <w:szCs w:val="20"/>
              </w:rPr>
              <w:t xml:space="preserve"> </w:t>
            </w:r>
          </w:p>
          <w:p w14:paraId="57B71871" w14:textId="0B5655C2"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energii,</w:t>
            </w:r>
          </w:p>
          <w:p w14:paraId="043F7873"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b) ilości energii zuż</w:t>
            </w:r>
            <w:r>
              <w:rPr>
                <w:rFonts w:asciiTheme="majorHAnsi" w:hAnsiTheme="majorHAnsi"/>
                <w:sz w:val="20"/>
                <w:szCs w:val="20"/>
              </w:rPr>
              <w:t xml:space="preserve">ytej na </w:t>
            </w:r>
          </w:p>
          <w:p w14:paraId="26318E14" w14:textId="3D33B8A5"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napędu pojazdu,</w:t>
            </w:r>
          </w:p>
          <w:p w14:paraId="1CE6BC6E"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c) ilości energii</w:t>
            </w:r>
            <w:r>
              <w:rPr>
                <w:rFonts w:asciiTheme="majorHAnsi" w:hAnsiTheme="majorHAnsi"/>
                <w:sz w:val="20"/>
                <w:szCs w:val="20"/>
              </w:rPr>
              <w:t xml:space="preserve"> zużytej na </w:t>
            </w:r>
          </w:p>
          <w:p w14:paraId="562465BD" w14:textId="11FC737A"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ogrzewania,</w:t>
            </w:r>
          </w:p>
          <w:p w14:paraId="34ABC85A"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d) ilości energii odzyskanej </w:t>
            </w:r>
            <w:r w:rsidR="000D3686">
              <w:rPr>
                <w:rFonts w:asciiTheme="majorHAnsi" w:hAnsiTheme="majorHAnsi"/>
                <w:sz w:val="20"/>
                <w:szCs w:val="20"/>
              </w:rPr>
              <w:t xml:space="preserve"> </w:t>
            </w:r>
          </w:p>
          <w:p w14:paraId="4D5FE0A5" w14:textId="19A6F258" w:rsidR="009E7154" w:rsidRPr="00F05CE9"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przez system odzysku energii.</w:t>
            </w:r>
          </w:p>
          <w:p w14:paraId="0D19AAA7" w14:textId="77777777" w:rsidR="000D3686"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Zamawiający dopuszcza </w:t>
            </w:r>
            <w:r>
              <w:rPr>
                <w:rFonts w:asciiTheme="majorHAnsi" w:hAnsiTheme="majorHAnsi"/>
                <w:sz w:val="20"/>
                <w:szCs w:val="20"/>
              </w:rPr>
              <w:t xml:space="preserve">  </w:t>
            </w:r>
            <w:r>
              <w:rPr>
                <w:rFonts w:asciiTheme="majorHAnsi" w:hAnsiTheme="majorHAnsi"/>
                <w:sz w:val="20"/>
                <w:szCs w:val="20"/>
              </w:rPr>
              <w:br/>
              <w:t xml:space="preserve">              </w:t>
            </w:r>
            <w:r w:rsidR="009E7154" w:rsidRPr="00F05CE9">
              <w:rPr>
                <w:rFonts w:asciiTheme="majorHAnsi" w:hAnsiTheme="majorHAnsi"/>
                <w:sz w:val="20"/>
                <w:szCs w:val="20"/>
              </w:rPr>
              <w:t>przesyłanie powyższych dan</w:t>
            </w:r>
            <w:r w:rsidR="009E7154">
              <w:rPr>
                <w:rFonts w:asciiTheme="majorHAnsi" w:hAnsiTheme="majorHAnsi"/>
                <w:sz w:val="20"/>
                <w:szCs w:val="20"/>
              </w:rPr>
              <w:t xml:space="preserve">ych </w:t>
            </w:r>
            <w:r>
              <w:rPr>
                <w:rFonts w:asciiTheme="majorHAnsi" w:hAnsiTheme="majorHAnsi"/>
                <w:sz w:val="20"/>
                <w:szCs w:val="20"/>
              </w:rPr>
              <w:t xml:space="preserve">  </w:t>
            </w:r>
          </w:p>
          <w:p w14:paraId="250007CD" w14:textId="4AE861BC" w:rsidR="009E7154" w:rsidRPr="00F05CE9"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Pr>
                <w:rFonts w:asciiTheme="majorHAnsi" w:hAnsiTheme="majorHAnsi"/>
                <w:sz w:val="20"/>
                <w:szCs w:val="20"/>
              </w:rPr>
              <w:t>w oparciu o </w:t>
            </w:r>
            <w:r w:rsidR="009E7154" w:rsidRPr="00F05CE9">
              <w:rPr>
                <w:rFonts w:asciiTheme="majorHAnsi" w:hAnsiTheme="majorHAnsi"/>
                <w:sz w:val="20"/>
                <w:szCs w:val="20"/>
              </w:rPr>
              <w:t>szynę CAN.</w:t>
            </w:r>
          </w:p>
        </w:tc>
        <w:tc>
          <w:tcPr>
            <w:tcW w:w="3114" w:type="dxa"/>
          </w:tcPr>
          <w:p w14:paraId="57A1B8C0" w14:textId="77777777" w:rsidR="009E7154" w:rsidRPr="00F05CE9" w:rsidRDefault="009E7154" w:rsidP="00D2485E">
            <w:pPr>
              <w:spacing w:after="0" w:line="360" w:lineRule="auto"/>
              <w:jc w:val="both"/>
              <w:rPr>
                <w:rFonts w:asciiTheme="majorHAnsi" w:hAnsiTheme="majorHAnsi"/>
                <w:sz w:val="20"/>
                <w:szCs w:val="20"/>
              </w:rPr>
            </w:pPr>
          </w:p>
        </w:tc>
      </w:tr>
      <w:tr w:rsidR="009E7154" w14:paraId="52F38C62" w14:textId="11E967CE" w:rsidTr="004C6210">
        <w:tblPrEx>
          <w:jc w:val="left"/>
        </w:tblPrEx>
        <w:tc>
          <w:tcPr>
            <w:tcW w:w="575" w:type="dxa"/>
            <w:gridSpan w:val="2"/>
          </w:tcPr>
          <w:p w14:paraId="6C88430D" w14:textId="4FFBA8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2.3.</w:t>
            </w:r>
          </w:p>
          <w:p w14:paraId="33AABFEA" w14:textId="77777777" w:rsidR="009E7154" w:rsidRPr="00F05CE9" w:rsidRDefault="009E7154" w:rsidP="00720B8C">
            <w:pPr>
              <w:spacing w:line="360" w:lineRule="auto"/>
              <w:rPr>
                <w:rFonts w:asciiTheme="majorHAnsi" w:hAnsiTheme="majorHAnsi"/>
                <w:b/>
                <w:sz w:val="20"/>
                <w:szCs w:val="20"/>
              </w:rPr>
            </w:pPr>
          </w:p>
        </w:tc>
        <w:tc>
          <w:tcPr>
            <w:tcW w:w="1692" w:type="dxa"/>
          </w:tcPr>
          <w:p w14:paraId="38913725" w14:textId="729C7ED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System ładowania magazynu energii.</w:t>
            </w:r>
          </w:p>
        </w:tc>
        <w:tc>
          <w:tcPr>
            <w:tcW w:w="3684" w:type="dxa"/>
          </w:tcPr>
          <w:p w14:paraId="1DF0318A" w14:textId="06E2E469" w:rsidR="009E7154" w:rsidRPr="00F05CE9" w:rsidRDefault="009E7154" w:rsidP="00866740">
            <w:pPr>
              <w:spacing w:line="360" w:lineRule="auto"/>
              <w:ind w:left="601" w:hanging="601"/>
              <w:jc w:val="both"/>
              <w:rPr>
                <w:rFonts w:asciiTheme="majorHAnsi" w:hAnsiTheme="majorHAnsi"/>
                <w:sz w:val="20"/>
                <w:szCs w:val="20"/>
              </w:rPr>
            </w:pPr>
            <w:r>
              <w:rPr>
                <w:rFonts w:asciiTheme="majorHAnsi" w:hAnsiTheme="majorHAnsi"/>
                <w:sz w:val="20"/>
                <w:szCs w:val="20"/>
              </w:rPr>
              <w:t xml:space="preserve">2.3.1. </w:t>
            </w:r>
            <w:r w:rsidRPr="00F05CE9">
              <w:rPr>
                <w:rFonts w:asciiTheme="majorHAnsi" w:hAnsiTheme="majorHAnsi"/>
                <w:sz w:val="20"/>
                <w:szCs w:val="20"/>
              </w:rPr>
              <w:t>Ładowanie magazynu energ</w:t>
            </w:r>
            <w:r>
              <w:rPr>
                <w:rFonts w:asciiTheme="majorHAnsi" w:hAnsiTheme="majorHAnsi"/>
                <w:sz w:val="20"/>
                <w:szCs w:val="20"/>
              </w:rPr>
              <w:t xml:space="preserve">ii w systemie Plug-in za pomocą </w:t>
            </w:r>
            <w:r w:rsidRPr="00F05CE9">
              <w:rPr>
                <w:rFonts w:asciiTheme="majorHAnsi" w:hAnsiTheme="majorHAnsi"/>
                <w:sz w:val="20"/>
                <w:szCs w:val="20"/>
              </w:rPr>
              <w:t>stacjonarnej, dwustanow</w:t>
            </w:r>
            <w:r>
              <w:rPr>
                <w:rFonts w:asciiTheme="majorHAnsi" w:hAnsiTheme="majorHAnsi"/>
                <w:sz w:val="20"/>
                <w:szCs w:val="20"/>
              </w:rPr>
              <w:t>iskowej ładowarki zewnętrznej o </w:t>
            </w:r>
            <w:r w:rsidRPr="00F05CE9">
              <w:rPr>
                <w:rFonts w:asciiTheme="majorHAnsi" w:hAnsiTheme="majorHAnsi"/>
                <w:sz w:val="20"/>
                <w:szCs w:val="20"/>
              </w:rPr>
              <w:t>mocy 2x60kW a w przypadku ładowania 1 pojazdu w/w ładowarką prądem o mocy 120kW włącznie a także ładowarką mobilną o mocy 30kW. Szczegółowe parametry ładowarek określa załącznik nr 1</w:t>
            </w:r>
            <w:r>
              <w:rPr>
                <w:rFonts w:asciiTheme="majorHAnsi" w:hAnsiTheme="majorHAnsi"/>
                <w:sz w:val="20"/>
                <w:szCs w:val="20"/>
              </w:rPr>
              <w:t>a „</w:t>
            </w:r>
            <w:r w:rsidRPr="006B4E4A">
              <w:rPr>
                <w:rFonts w:asciiTheme="majorHAnsi" w:hAnsiTheme="majorHAnsi"/>
                <w:sz w:val="20"/>
                <w:szCs w:val="20"/>
              </w:rPr>
              <w:t>Szczegółowe_parametry_ładowarek</w:t>
            </w:r>
            <w:r>
              <w:rPr>
                <w:rFonts w:asciiTheme="majorHAnsi" w:hAnsiTheme="majorHAnsi"/>
                <w:sz w:val="20"/>
                <w:szCs w:val="20"/>
              </w:rPr>
              <w:t>”</w:t>
            </w:r>
            <w:r w:rsidRPr="00F05CE9">
              <w:rPr>
                <w:rFonts w:asciiTheme="majorHAnsi" w:hAnsiTheme="majorHAnsi"/>
                <w:sz w:val="20"/>
                <w:szCs w:val="20"/>
              </w:rPr>
              <w:t>.</w:t>
            </w:r>
          </w:p>
          <w:p w14:paraId="22A94756" w14:textId="7EAB0CF0" w:rsidR="009E7154" w:rsidRPr="00F05CE9" w:rsidRDefault="009E7154" w:rsidP="00D2485E">
            <w:pPr>
              <w:spacing w:after="0" w:line="360" w:lineRule="auto"/>
              <w:ind w:left="596" w:hanging="567"/>
              <w:jc w:val="both"/>
              <w:rPr>
                <w:rFonts w:asciiTheme="majorHAnsi" w:hAnsiTheme="majorHAnsi"/>
                <w:sz w:val="20"/>
                <w:szCs w:val="20"/>
              </w:rPr>
            </w:pPr>
            <w:r>
              <w:rPr>
                <w:rFonts w:asciiTheme="majorHAnsi" w:hAnsiTheme="majorHAnsi"/>
                <w:sz w:val="20"/>
                <w:szCs w:val="20"/>
              </w:rPr>
              <w:t xml:space="preserve">2.3.2. </w:t>
            </w:r>
            <w:r w:rsidRPr="00F05CE9">
              <w:rPr>
                <w:rFonts w:asciiTheme="majorHAnsi" w:hAnsiTheme="majorHAnsi"/>
                <w:sz w:val="20"/>
                <w:szCs w:val="20"/>
              </w:rPr>
              <w:t>Gniazda do ładowania plu</w:t>
            </w:r>
            <w:r>
              <w:rPr>
                <w:rFonts w:asciiTheme="majorHAnsi" w:hAnsiTheme="majorHAnsi"/>
                <w:sz w:val="20"/>
                <w:szCs w:val="20"/>
              </w:rPr>
              <w:t xml:space="preserve">g-in w ilości 2szt. powinny być </w:t>
            </w:r>
            <w:r w:rsidRPr="00F05CE9">
              <w:rPr>
                <w:rFonts w:asciiTheme="majorHAnsi" w:hAnsiTheme="majorHAnsi"/>
                <w:sz w:val="20"/>
                <w:szCs w:val="20"/>
              </w:rPr>
              <w:t>umieszczone:</w:t>
            </w:r>
          </w:p>
          <w:p w14:paraId="53227DAA" w14:textId="77777777" w:rsidR="009E7154" w:rsidRPr="00F05CE9" w:rsidRDefault="009E7154" w:rsidP="00D2485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pierwsze z przodu autobusu</w:t>
            </w:r>
          </w:p>
          <w:p w14:paraId="6D3BD146" w14:textId="159F9BE1" w:rsidR="009E7154" w:rsidRPr="00F05CE9" w:rsidRDefault="009E7154" w:rsidP="00D2485E">
            <w:pPr>
              <w:spacing w:line="360" w:lineRule="auto"/>
              <w:ind w:left="738"/>
              <w:jc w:val="both"/>
              <w:rPr>
                <w:rFonts w:asciiTheme="majorHAnsi" w:hAnsiTheme="majorHAnsi"/>
                <w:sz w:val="20"/>
                <w:szCs w:val="20"/>
              </w:rPr>
            </w:pPr>
            <w:r w:rsidRPr="00F05CE9">
              <w:rPr>
                <w:rFonts w:asciiTheme="majorHAnsi" w:hAnsiTheme="majorHAnsi"/>
                <w:sz w:val="20"/>
                <w:szCs w:val="20"/>
              </w:rPr>
              <w:t>b) drugie z prawej strony au</w:t>
            </w:r>
            <w:r>
              <w:rPr>
                <w:rFonts w:asciiTheme="majorHAnsi" w:hAnsiTheme="majorHAnsi"/>
                <w:sz w:val="20"/>
                <w:szCs w:val="20"/>
              </w:rPr>
              <w:t>tobusu za pierwszymi drzwiami.</w:t>
            </w:r>
          </w:p>
          <w:p w14:paraId="1E73AE33" w14:textId="18B66EF1" w:rsidR="009E7154" w:rsidRDefault="009E7154" w:rsidP="00BD15CA">
            <w:pPr>
              <w:spacing w:line="360" w:lineRule="auto"/>
              <w:ind w:left="705" w:hanging="705"/>
              <w:jc w:val="both"/>
              <w:rPr>
                <w:rFonts w:asciiTheme="majorHAnsi" w:hAnsiTheme="majorHAnsi"/>
                <w:sz w:val="20"/>
                <w:szCs w:val="20"/>
              </w:rPr>
            </w:pPr>
            <w:r w:rsidRPr="00866740">
              <w:rPr>
                <w:rFonts w:asciiTheme="majorHAnsi" w:hAnsiTheme="majorHAnsi"/>
                <w:sz w:val="20"/>
                <w:szCs w:val="20"/>
              </w:rPr>
              <w:t>2.3.3. Złącze ładowania: Combo-2 (Type 2/mode 4).</w:t>
            </w:r>
          </w:p>
          <w:p w14:paraId="449756B1" w14:textId="74F874F7" w:rsidR="009E7154" w:rsidRDefault="009E7154" w:rsidP="00866740">
            <w:pPr>
              <w:spacing w:line="360" w:lineRule="auto"/>
              <w:ind w:left="601" w:hanging="601"/>
              <w:jc w:val="both"/>
              <w:rPr>
                <w:rFonts w:asciiTheme="majorHAnsi" w:hAnsiTheme="majorHAnsi"/>
                <w:sz w:val="20"/>
                <w:szCs w:val="20"/>
              </w:rPr>
            </w:pPr>
            <w:r w:rsidRPr="00866740">
              <w:rPr>
                <w:rFonts w:asciiTheme="majorHAnsi" w:hAnsiTheme="majorHAnsi"/>
                <w:sz w:val="20"/>
                <w:szCs w:val="20"/>
              </w:rPr>
              <w:t>2.3.4. Komunikacja pomiędzy stacjami ładowania a autobusem powinna odbywać się w oparci</w:t>
            </w:r>
            <w:r>
              <w:rPr>
                <w:rFonts w:asciiTheme="majorHAnsi" w:hAnsiTheme="majorHAnsi"/>
                <w:sz w:val="20"/>
                <w:szCs w:val="20"/>
              </w:rPr>
              <w:t xml:space="preserve">u o standardy: </w:t>
            </w:r>
            <w:r w:rsidRPr="00EA7905">
              <w:rPr>
                <w:rFonts w:asciiTheme="majorHAnsi" w:hAnsiTheme="majorHAnsi"/>
                <w:sz w:val="20"/>
                <w:szCs w:val="20"/>
              </w:rPr>
              <w:t>IEC 61851</w:t>
            </w:r>
            <w:r>
              <w:rPr>
                <w:rFonts w:asciiTheme="majorHAnsi" w:hAnsiTheme="majorHAnsi"/>
                <w:sz w:val="20"/>
                <w:szCs w:val="20"/>
              </w:rPr>
              <w:t>,</w:t>
            </w:r>
            <w:r w:rsidRPr="00EA7905">
              <w:rPr>
                <w:rFonts w:asciiTheme="majorHAnsi" w:hAnsiTheme="majorHAnsi"/>
                <w:sz w:val="20"/>
                <w:szCs w:val="20"/>
              </w:rPr>
              <w:t xml:space="preserve"> </w:t>
            </w:r>
            <w:r>
              <w:rPr>
                <w:rFonts w:asciiTheme="majorHAnsi" w:hAnsiTheme="majorHAnsi"/>
                <w:sz w:val="20"/>
                <w:szCs w:val="20"/>
              </w:rPr>
              <w:t>DIN SPEC 70121 i </w:t>
            </w:r>
            <w:r w:rsidRPr="00866740">
              <w:rPr>
                <w:rFonts w:asciiTheme="majorHAnsi" w:hAnsiTheme="majorHAnsi"/>
                <w:sz w:val="20"/>
                <w:szCs w:val="20"/>
              </w:rPr>
              <w:t>ISO 15118 lub równoważne.</w:t>
            </w:r>
          </w:p>
          <w:p w14:paraId="5016AA4B" w14:textId="5F18D146"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2.3.5</w:t>
            </w:r>
            <w:r>
              <w:rPr>
                <w:rFonts w:asciiTheme="majorHAnsi" w:hAnsiTheme="majorHAnsi"/>
                <w:sz w:val="20"/>
                <w:szCs w:val="20"/>
              </w:rPr>
              <w:t xml:space="preserve">. </w:t>
            </w:r>
            <w:r w:rsidRPr="00F05CE9">
              <w:rPr>
                <w:rFonts w:asciiTheme="majorHAnsi" w:hAnsiTheme="majorHAnsi"/>
                <w:sz w:val="20"/>
                <w:szCs w:val="20"/>
              </w:rPr>
              <w:t xml:space="preserve">Autobus musi być wyposażony w automatyczny system rozłączania układu ładowania magazynu energii po osiągnięciu stanu pełnego naładowania lub przy zaniku zasilania stacji ładowania lub </w:t>
            </w:r>
            <w:r>
              <w:rPr>
                <w:rFonts w:asciiTheme="majorHAnsi" w:hAnsiTheme="majorHAnsi"/>
                <w:sz w:val="20"/>
                <w:szCs w:val="20"/>
              </w:rPr>
              <w:t> </w:t>
            </w:r>
            <w:r w:rsidRPr="00F05CE9">
              <w:rPr>
                <w:rFonts w:asciiTheme="majorHAnsi" w:hAnsiTheme="majorHAnsi"/>
                <w:sz w:val="20"/>
                <w:szCs w:val="20"/>
              </w:rPr>
              <w:t>przekroczeniu parametrów ładowania.</w:t>
            </w:r>
          </w:p>
          <w:p w14:paraId="108FDC3C" w14:textId="2F1EA724"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2.3.6</w:t>
            </w:r>
            <w:r>
              <w:rPr>
                <w:rFonts w:asciiTheme="majorHAnsi" w:hAnsiTheme="majorHAnsi"/>
                <w:sz w:val="20"/>
                <w:szCs w:val="20"/>
              </w:rPr>
              <w:t xml:space="preserve">. </w:t>
            </w:r>
            <w:r w:rsidRPr="00F05CE9">
              <w:rPr>
                <w:rFonts w:asciiTheme="majorHAnsi" w:hAnsiTheme="majorHAnsi"/>
                <w:sz w:val="20"/>
                <w:szCs w:val="20"/>
              </w:rPr>
              <w:t xml:space="preserve">Nie dopuszcza się, aby autobus był wyposażony w inne, niż wymienione w pkt 2.3.3 gniazda do </w:t>
            </w:r>
            <w:r>
              <w:rPr>
                <w:rFonts w:asciiTheme="majorHAnsi" w:hAnsiTheme="majorHAnsi"/>
                <w:sz w:val="20"/>
                <w:szCs w:val="20"/>
              </w:rPr>
              <w:t> </w:t>
            </w:r>
            <w:r w:rsidRPr="00F05CE9">
              <w:rPr>
                <w:rFonts w:asciiTheme="majorHAnsi" w:hAnsiTheme="majorHAnsi"/>
                <w:sz w:val="20"/>
                <w:szCs w:val="20"/>
              </w:rPr>
              <w:t>ładowania magazynu energii.</w:t>
            </w:r>
          </w:p>
          <w:p w14:paraId="7A00AD3B"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2.3.7.</w:t>
            </w:r>
            <w:r w:rsidRPr="00F05CE9">
              <w:rPr>
                <w:rFonts w:asciiTheme="majorHAnsi" w:hAnsiTheme="majorHAnsi"/>
                <w:sz w:val="20"/>
                <w:szCs w:val="20"/>
              </w:rPr>
              <w:tab/>
              <w:t xml:space="preserve">Nie dopuszcza się systemu ładowania magazynu energii poprzez ładowarkę zabudowaną na </w:t>
            </w:r>
            <w:r>
              <w:rPr>
                <w:rFonts w:asciiTheme="majorHAnsi" w:hAnsiTheme="majorHAnsi"/>
                <w:sz w:val="20"/>
                <w:szCs w:val="20"/>
              </w:rPr>
              <w:t> </w:t>
            </w:r>
            <w:r w:rsidRPr="00F05CE9">
              <w:rPr>
                <w:rFonts w:asciiTheme="majorHAnsi" w:hAnsiTheme="majorHAnsi"/>
                <w:sz w:val="20"/>
                <w:szCs w:val="20"/>
              </w:rPr>
              <w:t>pojeździe.</w:t>
            </w:r>
          </w:p>
          <w:p w14:paraId="35FD56B1" w14:textId="3F97D484"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2.3.8.</w:t>
            </w:r>
            <w:r w:rsidRPr="00F05CE9">
              <w:rPr>
                <w:rFonts w:asciiTheme="majorHAnsi" w:hAnsiTheme="majorHAnsi"/>
                <w:sz w:val="20"/>
                <w:szCs w:val="20"/>
              </w:rPr>
              <w:tab/>
              <w:t>System ładowania każdego z pojazdów musi przekazywać informację do stanowiska dyspozytora o stanie magazynu energii oraz etapie procesu jego ładowania.</w:t>
            </w:r>
          </w:p>
        </w:tc>
        <w:tc>
          <w:tcPr>
            <w:tcW w:w="3114" w:type="dxa"/>
          </w:tcPr>
          <w:p w14:paraId="42401776"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D2485E" w14:paraId="0B3F950C" w14:textId="77777777" w:rsidTr="004C6210">
        <w:tblPrEx>
          <w:jc w:val="left"/>
        </w:tblPrEx>
        <w:tc>
          <w:tcPr>
            <w:tcW w:w="575" w:type="dxa"/>
            <w:gridSpan w:val="2"/>
            <w:shd w:val="clear" w:color="auto" w:fill="D9D9D9" w:themeFill="background1" w:themeFillShade="D9"/>
          </w:tcPr>
          <w:p w14:paraId="01EDFC5B" w14:textId="048C791F" w:rsidR="00D2485E" w:rsidRPr="00D2485E" w:rsidRDefault="00D2485E" w:rsidP="00720B8C">
            <w:pPr>
              <w:spacing w:after="0" w:line="360" w:lineRule="auto"/>
              <w:rPr>
                <w:rFonts w:asciiTheme="majorHAnsi" w:hAnsiTheme="majorHAnsi"/>
                <w:b/>
                <w:sz w:val="20"/>
                <w:szCs w:val="20"/>
              </w:rPr>
            </w:pPr>
            <w:r w:rsidRPr="00D2485E">
              <w:rPr>
                <w:rFonts w:asciiTheme="majorHAnsi" w:hAnsiTheme="majorHAnsi"/>
                <w:b/>
                <w:sz w:val="20"/>
                <w:szCs w:val="20"/>
              </w:rPr>
              <w:t>3.</w:t>
            </w:r>
          </w:p>
        </w:tc>
        <w:tc>
          <w:tcPr>
            <w:tcW w:w="8490" w:type="dxa"/>
            <w:gridSpan w:val="3"/>
            <w:shd w:val="clear" w:color="auto" w:fill="D9D9D9" w:themeFill="background1" w:themeFillShade="D9"/>
          </w:tcPr>
          <w:p w14:paraId="14D6B08C" w14:textId="084400A0" w:rsidR="00D2485E" w:rsidRPr="00F05CE9" w:rsidRDefault="00D2485E" w:rsidP="00D2485E">
            <w:pPr>
              <w:spacing w:after="0" w:line="360" w:lineRule="auto"/>
              <w:ind w:left="705" w:hanging="705"/>
              <w:jc w:val="both"/>
              <w:rPr>
                <w:rFonts w:asciiTheme="majorHAnsi" w:hAnsiTheme="majorHAnsi"/>
                <w:sz w:val="20"/>
                <w:szCs w:val="20"/>
              </w:rPr>
            </w:pPr>
            <w:r w:rsidRPr="00D2485E">
              <w:rPr>
                <w:rFonts w:asciiTheme="majorHAnsi" w:hAnsiTheme="majorHAnsi"/>
                <w:b/>
                <w:sz w:val="20"/>
                <w:szCs w:val="20"/>
              </w:rPr>
              <w:t>Podwozie i jego elementy</w:t>
            </w:r>
            <w:r>
              <w:rPr>
                <w:rFonts w:asciiTheme="majorHAnsi" w:hAnsiTheme="majorHAnsi"/>
                <w:b/>
                <w:sz w:val="20"/>
                <w:szCs w:val="20"/>
              </w:rPr>
              <w:t>.</w:t>
            </w:r>
          </w:p>
        </w:tc>
      </w:tr>
      <w:tr w:rsidR="009E7154" w14:paraId="61A93751" w14:textId="360424DB" w:rsidTr="004C6210">
        <w:tblPrEx>
          <w:jc w:val="left"/>
        </w:tblPrEx>
        <w:tc>
          <w:tcPr>
            <w:tcW w:w="575" w:type="dxa"/>
            <w:gridSpan w:val="2"/>
          </w:tcPr>
          <w:p w14:paraId="06F36E29" w14:textId="1C0F58C1" w:rsidR="009E7154" w:rsidRPr="00D2485E"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3.1.</w:t>
            </w:r>
          </w:p>
        </w:tc>
        <w:tc>
          <w:tcPr>
            <w:tcW w:w="1692" w:type="dxa"/>
          </w:tcPr>
          <w:p w14:paraId="43D5C84D" w14:textId="77DF8DF8" w:rsidR="009E7154" w:rsidRPr="00D2485E"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Konstrukcja podwozia</w:t>
            </w:r>
          </w:p>
        </w:tc>
        <w:tc>
          <w:tcPr>
            <w:tcW w:w="3684" w:type="dxa"/>
          </w:tcPr>
          <w:p w14:paraId="17E3DD00"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3.1.1.</w:t>
            </w:r>
            <w:r w:rsidRPr="00F05CE9">
              <w:rPr>
                <w:rFonts w:asciiTheme="majorHAnsi" w:hAnsiTheme="majorHAnsi"/>
                <w:sz w:val="20"/>
                <w:szCs w:val="20"/>
              </w:rPr>
              <w:tab/>
              <w:t>Podwozie zabezpieczone antykorozyjnie w sposób zapewniający minimum 15-letni okres eksploatacji bez wykonywania napraw spowodowanych korozją, bez konieczności okresowej konserwacji.</w:t>
            </w:r>
          </w:p>
          <w:p w14:paraId="1BA20685" w14:textId="77777777"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3.1.2.</w:t>
            </w:r>
            <w:r w:rsidRPr="00F05CE9">
              <w:rPr>
                <w:rFonts w:asciiTheme="majorHAnsi" w:hAnsiTheme="majorHAnsi"/>
                <w:sz w:val="20"/>
                <w:szCs w:val="20"/>
              </w:rPr>
              <w:tab/>
              <w:t>Zabezpieczenie podwozia poprzez natrysk środków ochronnych o dużej trwałości oraz odporności na:</w:t>
            </w:r>
          </w:p>
          <w:p w14:paraId="663B46B7" w14:textId="77777777" w:rsidR="009E7154" w:rsidRDefault="009E7154" w:rsidP="00866740">
            <w:pPr>
              <w:spacing w:after="0" w:line="360" w:lineRule="auto"/>
              <w:ind w:left="601"/>
              <w:jc w:val="both"/>
              <w:rPr>
                <w:rFonts w:asciiTheme="majorHAnsi" w:hAnsiTheme="majorHAnsi"/>
                <w:sz w:val="20"/>
                <w:szCs w:val="20"/>
              </w:rPr>
            </w:pPr>
            <w:r w:rsidRPr="00F05CE9">
              <w:rPr>
                <w:rFonts w:asciiTheme="majorHAnsi" w:hAnsiTheme="majorHAnsi"/>
                <w:sz w:val="20"/>
                <w:szCs w:val="20"/>
              </w:rPr>
              <w:t>a) niskie i</w:t>
            </w:r>
            <w:r>
              <w:rPr>
                <w:rFonts w:asciiTheme="majorHAnsi" w:hAnsiTheme="majorHAnsi"/>
                <w:sz w:val="20"/>
                <w:szCs w:val="20"/>
              </w:rPr>
              <w:t xml:space="preserve"> wysokie temperatury otoczenia;</w:t>
            </w:r>
          </w:p>
          <w:p w14:paraId="3E0C349E"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 xml:space="preserve">działanie środków </w:t>
            </w:r>
            <w:r>
              <w:rPr>
                <w:rFonts w:asciiTheme="majorHAnsi" w:hAnsiTheme="majorHAnsi"/>
                <w:sz w:val="20"/>
                <w:szCs w:val="20"/>
              </w:rPr>
              <w:t xml:space="preserve">chemicznych stosowanych w zimie </w:t>
            </w:r>
            <w:r w:rsidRPr="00F05CE9">
              <w:rPr>
                <w:rFonts w:asciiTheme="majorHAnsi" w:hAnsiTheme="majorHAnsi"/>
                <w:sz w:val="20"/>
                <w:szCs w:val="20"/>
              </w:rPr>
              <w:t>przeciwko gołoledzi;</w:t>
            </w:r>
          </w:p>
          <w:p w14:paraId="0E4E57A1" w14:textId="1E6C31D6"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c) wypłukiwanie;</w:t>
            </w:r>
          </w:p>
          <w:p w14:paraId="753437CB"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d) piaskowanie;</w:t>
            </w:r>
          </w:p>
          <w:p w14:paraId="622F4F7C" w14:textId="6F4D56D6" w:rsidR="009E7154" w:rsidRPr="00F05CE9" w:rsidRDefault="009E7154" w:rsidP="00866740">
            <w:pPr>
              <w:spacing w:line="360" w:lineRule="auto"/>
              <w:ind w:left="601"/>
              <w:jc w:val="both"/>
              <w:rPr>
                <w:rFonts w:asciiTheme="majorHAnsi" w:hAnsiTheme="majorHAnsi"/>
                <w:sz w:val="20"/>
                <w:szCs w:val="20"/>
              </w:rPr>
            </w:pPr>
            <w:r w:rsidRPr="00F05CE9">
              <w:rPr>
                <w:rFonts w:asciiTheme="majorHAnsi" w:hAnsiTheme="majorHAnsi"/>
                <w:sz w:val="20"/>
                <w:szCs w:val="20"/>
              </w:rPr>
              <w:t>e) uderzenia kamieni.</w:t>
            </w:r>
          </w:p>
          <w:p w14:paraId="4C0944BA" w14:textId="5A7687C3" w:rsidR="009E7154" w:rsidRPr="00F05CE9" w:rsidRDefault="009E7154" w:rsidP="00866740">
            <w:pPr>
              <w:spacing w:line="360" w:lineRule="auto"/>
              <w:ind w:left="601" w:hanging="567"/>
              <w:jc w:val="both"/>
              <w:rPr>
                <w:rFonts w:asciiTheme="majorHAnsi" w:hAnsiTheme="majorHAnsi"/>
                <w:sz w:val="20"/>
                <w:szCs w:val="20"/>
              </w:rPr>
            </w:pPr>
            <w:r w:rsidRPr="00F05CE9">
              <w:rPr>
                <w:rFonts w:asciiTheme="majorHAnsi" w:hAnsiTheme="majorHAnsi"/>
                <w:sz w:val="20"/>
                <w:szCs w:val="20"/>
              </w:rPr>
              <w:t>3.1.3.</w:t>
            </w:r>
            <w:r w:rsidRPr="00F05CE9">
              <w:rPr>
                <w:rFonts w:asciiTheme="majorHAnsi" w:hAnsiTheme="majorHAnsi"/>
                <w:sz w:val="20"/>
                <w:szCs w:val="20"/>
              </w:rPr>
              <w:tab/>
              <w:t>W przypadku konie</w:t>
            </w:r>
            <w:r>
              <w:rPr>
                <w:rFonts w:asciiTheme="majorHAnsi" w:hAnsiTheme="majorHAnsi"/>
                <w:sz w:val="20"/>
                <w:szCs w:val="20"/>
              </w:rPr>
              <w:t>czności wykonania konserwacji w </w:t>
            </w:r>
            <w:r w:rsidRPr="00F05CE9">
              <w:rPr>
                <w:rFonts w:asciiTheme="majorHAnsi" w:hAnsiTheme="majorHAnsi"/>
                <w:sz w:val="20"/>
                <w:szCs w:val="20"/>
              </w:rPr>
              <w:t>okresie gwarancji podwozia wynoszącej 120 miesięcy koszty ponosi Wykonawca.</w:t>
            </w:r>
          </w:p>
          <w:p w14:paraId="7B720EA8" w14:textId="048AEB53"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3.1.4.</w:t>
            </w:r>
            <w:r w:rsidRPr="00F05CE9">
              <w:rPr>
                <w:rFonts w:asciiTheme="majorHAnsi" w:hAnsiTheme="majorHAnsi"/>
                <w:sz w:val="20"/>
                <w:szCs w:val="20"/>
              </w:rPr>
              <w:tab/>
              <w:t xml:space="preserve">W przypadku wyposażenia autobusu w wał napędowy musi on posiadać osłonę (uszczelnienie) zabezpieczającą przed </w:t>
            </w:r>
            <w:r>
              <w:rPr>
                <w:rFonts w:asciiTheme="majorHAnsi" w:hAnsiTheme="majorHAnsi"/>
                <w:sz w:val="20"/>
                <w:szCs w:val="20"/>
              </w:rPr>
              <w:t>zabrudzeniem komory silnikowej.</w:t>
            </w:r>
          </w:p>
        </w:tc>
        <w:tc>
          <w:tcPr>
            <w:tcW w:w="3114" w:type="dxa"/>
          </w:tcPr>
          <w:p w14:paraId="5806B355"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9E7154" w14:paraId="4F9955DF" w14:textId="0FEFC058" w:rsidTr="004C6210">
        <w:tblPrEx>
          <w:jc w:val="left"/>
        </w:tblPrEx>
        <w:tc>
          <w:tcPr>
            <w:tcW w:w="575" w:type="dxa"/>
            <w:gridSpan w:val="2"/>
          </w:tcPr>
          <w:p w14:paraId="0C1E1B46" w14:textId="6E84732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3.2.</w:t>
            </w:r>
          </w:p>
        </w:tc>
        <w:tc>
          <w:tcPr>
            <w:tcW w:w="1692" w:type="dxa"/>
          </w:tcPr>
          <w:p w14:paraId="7A09042C" w14:textId="2A231AB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Osie pojazdu</w:t>
            </w:r>
            <w:r>
              <w:rPr>
                <w:rFonts w:asciiTheme="majorHAnsi" w:hAnsiTheme="majorHAnsi"/>
                <w:b/>
                <w:sz w:val="20"/>
                <w:szCs w:val="20"/>
              </w:rPr>
              <w:t>.</w:t>
            </w:r>
          </w:p>
        </w:tc>
        <w:tc>
          <w:tcPr>
            <w:tcW w:w="3684" w:type="dxa"/>
          </w:tcPr>
          <w:p w14:paraId="6018124B" w14:textId="65551650" w:rsidR="009E7154" w:rsidRPr="00F05CE9" w:rsidRDefault="009E7154" w:rsidP="002A3797">
            <w:pPr>
              <w:spacing w:line="360" w:lineRule="auto"/>
              <w:ind w:left="670" w:hanging="670"/>
              <w:jc w:val="both"/>
              <w:rPr>
                <w:rFonts w:asciiTheme="majorHAnsi" w:hAnsiTheme="majorHAnsi"/>
                <w:sz w:val="20"/>
                <w:szCs w:val="20"/>
              </w:rPr>
            </w:pPr>
            <w:r>
              <w:rPr>
                <w:rFonts w:asciiTheme="majorHAnsi" w:hAnsiTheme="majorHAnsi"/>
                <w:sz w:val="20"/>
                <w:szCs w:val="20"/>
              </w:rPr>
              <w:t xml:space="preserve">3.2.1. </w:t>
            </w:r>
            <w:r w:rsidRPr="00F05CE9">
              <w:rPr>
                <w:rFonts w:asciiTheme="majorHAnsi" w:hAnsiTheme="majorHAnsi"/>
                <w:sz w:val="20"/>
                <w:szCs w:val="20"/>
              </w:rPr>
              <w:t xml:space="preserve">Oś przednia: </w:t>
            </w:r>
            <w:r>
              <w:rPr>
                <w:rFonts w:asciiTheme="majorHAnsi" w:hAnsiTheme="majorHAnsi"/>
                <w:sz w:val="20"/>
                <w:szCs w:val="20"/>
              </w:rPr>
              <w:t xml:space="preserve">zawieszenie </w:t>
            </w:r>
            <w:r w:rsidRPr="00F05CE9">
              <w:rPr>
                <w:rFonts w:asciiTheme="majorHAnsi" w:hAnsiTheme="majorHAnsi"/>
                <w:sz w:val="20"/>
                <w:szCs w:val="20"/>
              </w:rPr>
              <w:t>niezależne</w:t>
            </w:r>
            <w:r>
              <w:rPr>
                <w:rFonts w:asciiTheme="majorHAnsi" w:hAnsiTheme="majorHAnsi"/>
                <w:sz w:val="20"/>
                <w:szCs w:val="20"/>
              </w:rPr>
              <w:t xml:space="preserve"> ze stabilizatorem</w:t>
            </w:r>
            <w:r w:rsidRPr="00F05CE9">
              <w:rPr>
                <w:rFonts w:asciiTheme="majorHAnsi" w:hAnsiTheme="majorHAnsi"/>
                <w:sz w:val="20"/>
                <w:szCs w:val="20"/>
              </w:rPr>
              <w:t xml:space="preserve"> </w:t>
            </w:r>
            <w:r>
              <w:rPr>
                <w:rFonts w:asciiTheme="majorHAnsi" w:hAnsiTheme="majorHAnsi"/>
                <w:sz w:val="20"/>
                <w:szCs w:val="20"/>
              </w:rPr>
              <w:t xml:space="preserve">lub </w:t>
            </w:r>
            <w:r w:rsidRPr="00F05CE9">
              <w:rPr>
                <w:rFonts w:asciiTheme="majorHAnsi" w:hAnsiTheme="majorHAnsi"/>
                <w:sz w:val="20"/>
                <w:szCs w:val="20"/>
              </w:rPr>
              <w:t>zawiesze</w:t>
            </w:r>
            <w:r>
              <w:rPr>
                <w:rFonts w:asciiTheme="majorHAnsi" w:hAnsiTheme="majorHAnsi"/>
                <w:sz w:val="20"/>
                <w:szCs w:val="20"/>
              </w:rPr>
              <w:t>nie zależne (sztywna belka)</w:t>
            </w:r>
            <w:r w:rsidRPr="00F05CE9">
              <w:rPr>
                <w:rFonts w:asciiTheme="majorHAnsi" w:hAnsiTheme="majorHAnsi"/>
                <w:sz w:val="20"/>
                <w:szCs w:val="20"/>
              </w:rPr>
              <w:t>.</w:t>
            </w:r>
          </w:p>
          <w:p w14:paraId="46F21195" w14:textId="064374CF" w:rsidR="009E7154" w:rsidRPr="00F05CE9" w:rsidRDefault="009E7154" w:rsidP="00362F5E">
            <w:pPr>
              <w:spacing w:after="0" w:line="360" w:lineRule="auto"/>
              <w:jc w:val="both"/>
              <w:rPr>
                <w:rFonts w:asciiTheme="majorHAnsi" w:hAnsiTheme="majorHAnsi"/>
                <w:sz w:val="20"/>
                <w:szCs w:val="20"/>
              </w:rPr>
            </w:pPr>
            <w:r>
              <w:rPr>
                <w:rFonts w:asciiTheme="majorHAnsi" w:hAnsiTheme="majorHAnsi"/>
                <w:sz w:val="20"/>
                <w:szCs w:val="20"/>
              </w:rPr>
              <w:t xml:space="preserve">3.2.2. </w:t>
            </w:r>
            <w:r w:rsidRPr="00F05CE9">
              <w:rPr>
                <w:rFonts w:asciiTheme="majorHAnsi" w:hAnsiTheme="majorHAnsi"/>
                <w:sz w:val="20"/>
                <w:szCs w:val="20"/>
              </w:rPr>
              <w:t>Oś tylna: portalowa.</w:t>
            </w:r>
          </w:p>
        </w:tc>
        <w:tc>
          <w:tcPr>
            <w:tcW w:w="3114" w:type="dxa"/>
          </w:tcPr>
          <w:p w14:paraId="7BB29A26" w14:textId="77777777" w:rsidR="009E7154" w:rsidRPr="00F05CE9" w:rsidRDefault="009E7154" w:rsidP="00362F5E">
            <w:pPr>
              <w:spacing w:after="0" w:line="360" w:lineRule="auto"/>
              <w:jc w:val="both"/>
              <w:rPr>
                <w:rFonts w:asciiTheme="majorHAnsi" w:hAnsiTheme="majorHAnsi"/>
                <w:sz w:val="20"/>
                <w:szCs w:val="20"/>
              </w:rPr>
            </w:pPr>
          </w:p>
        </w:tc>
      </w:tr>
      <w:tr w:rsidR="009E7154" w14:paraId="3B28DFEB" w14:textId="168039F7" w:rsidTr="004C6210">
        <w:tblPrEx>
          <w:jc w:val="left"/>
        </w:tblPrEx>
        <w:tc>
          <w:tcPr>
            <w:tcW w:w="575" w:type="dxa"/>
            <w:gridSpan w:val="2"/>
          </w:tcPr>
          <w:p w14:paraId="22AEEC11" w14:textId="76BFE0F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3.3.</w:t>
            </w:r>
          </w:p>
        </w:tc>
        <w:tc>
          <w:tcPr>
            <w:tcW w:w="1692" w:type="dxa"/>
          </w:tcPr>
          <w:p w14:paraId="07E33A40" w14:textId="3A254482"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smarowania.</w:t>
            </w:r>
          </w:p>
          <w:p w14:paraId="2BA31DF8"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14983DC8" w14:textId="4BE2408F" w:rsidR="009E7154" w:rsidRPr="00F05CE9" w:rsidRDefault="009E7154" w:rsidP="00866740">
            <w:pPr>
              <w:spacing w:line="360" w:lineRule="auto"/>
              <w:ind w:left="459" w:hanging="459"/>
              <w:jc w:val="both"/>
              <w:rPr>
                <w:rFonts w:asciiTheme="majorHAnsi" w:hAnsiTheme="majorHAnsi"/>
                <w:sz w:val="20"/>
                <w:szCs w:val="20"/>
              </w:rPr>
            </w:pPr>
            <w:r>
              <w:rPr>
                <w:rFonts w:asciiTheme="majorHAnsi" w:hAnsiTheme="majorHAnsi"/>
                <w:sz w:val="20"/>
                <w:szCs w:val="20"/>
              </w:rPr>
              <w:t xml:space="preserve">3.3.1. </w:t>
            </w:r>
            <w:r w:rsidRPr="00F05CE9">
              <w:rPr>
                <w:rFonts w:asciiTheme="majorHAnsi" w:hAnsiTheme="majorHAnsi"/>
                <w:sz w:val="20"/>
                <w:szCs w:val="20"/>
              </w:rPr>
              <w:t>Autobus musi być wyposażony w system smarowania obejmujący wszystkie p</w:t>
            </w:r>
            <w:r>
              <w:rPr>
                <w:rFonts w:asciiTheme="majorHAnsi" w:hAnsiTheme="majorHAnsi"/>
                <w:sz w:val="20"/>
                <w:szCs w:val="20"/>
              </w:rPr>
              <w:t>unkty smarownicze występujące w </w:t>
            </w:r>
            <w:r w:rsidRPr="00F05CE9">
              <w:rPr>
                <w:rFonts w:asciiTheme="majorHAnsi" w:hAnsiTheme="majorHAnsi"/>
                <w:sz w:val="20"/>
                <w:szCs w:val="20"/>
              </w:rPr>
              <w:t>podzespołach podwozia w postaci punktów smarowniczych wymagających obsługi przy użyciu zewnętrznych urządzeń smarujących lub w postaci automatycznego systemu centralnego smarowania.</w:t>
            </w:r>
          </w:p>
          <w:p w14:paraId="2F86EDDC" w14:textId="147657A3" w:rsidR="009E7154" w:rsidRPr="00F05CE9" w:rsidRDefault="009E7154" w:rsidP="00866740">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3.3.2.</w:t>
            </w:r>
            <w:r>
              <w:rPr>
                <w:rFonts w:asciiTheme="majorHAnsi" w:hAnsiTheme="majorHAnsi"/>
                <w:sz w:val="20"/>
                <w:szCs w:val="20"/>
              </w:rPr>
              <w:t xml:space="preserve"> </w:t>
            </w:r>
            <w:r w:rsidRPr="00F05CE9">
              <w:rPr>
                <w:rFonts w:asciiTheme="majorHAnsi" w:hAnsiTheme="majorHAnsi"/>
                <w:sz w:val="20"/>
                <w:szCs w:val="20"/>
              </w:rPr>
              <w:t>Autobus wyposażony w automatyczny system centralnego smarowania musi mieć zainstalowaną na pulpicie kierowcy sygnalizację:</w:t>
            </w:r>
          </w:p>
          <w:p w14:paraId="1F136A19"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awarii automatycznego systemu centralnego smarowania;</w:t>
            </w:r>
          </w:p>
          <w:p w14:paraId="47D22E67"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rezerwie smaru w zasobniku automatycznego systemu centralnego smarowania;</w:t>
            </w:r>
          </w:p>
          <w:p w14:paraId="1DB7582E" w14:textId="654AFAC2" w:rsidR="009E7154" w:rsidRPr="00866740" w:rsidRDefault="009E7154" w:rsidP="00FF4898">
            <w:pPr>
              <w:pStyle w:val="Akapitzlist"/>
              <w:numPr>
                <w:ilvl w:val="0"/>
                <w:numId w:val="14"/>
              </w:numPr>
              <w:spacing w:line="360" w:lineRule="auto"/>
              <w:jc w:val="both"/>
              <w:rPr>
                <w:rFonts w:asciiTheme="majorHAnsi" w:hAnsiTheme="majorHAnsi"/>
                <w:sz w:val="20"/>
                <w:szCs w:val="20"/>
              </w:rPr>
            </w:pPr>
            <w:r w:rsidRPr="00866740">
              <w:rPr>
                <w:rFonts w:asciiTheme="majorHAnsi" w:hAnsiTheme="majorHAnsi"/>
                <w:sz w:val="20"/>
                <w:szCs w:val="20"/>
              </w:rPr>
              <w:t>spadku ciśnienia w automatycznym systemie centralnego  smarowania.</w:t>
            </w:r>
          </w:p>
          <w:p w14:paraId="77B6D274" w14:textId="2AA02F68" w:rsidR="009E7154" w:rsidRDefault="009E7154" w:rsidP="00FF4898">
            <w:pPr>
              <w:spacing w:line="360" w:lineRule="auto"/>
              <w:ind w:left="705" w:hanging="705"/>
              <w:jc w:val="both"/>
              <w:rPr>
                <w:rFonts w:asciiTheme="majorHAnsi" w:hAnsiTheme="majorHAnsi"/>
                <w:sz w:val="20"/>
                <w:szCs w:val="20"/>
              </w:rPr>
            </w:pPr>
            <w:r w:rsidRPr="00FF4898">
              <w:rPr>
                <w:rFonts w:asciiTheme="majorHAnsi" w:hAnsiTheme="majorHAnsi"/>
                <w:sz w:val="20"/>
                <w:szCs w:val="20"/>
              </w:rPr>
              <w:t xml:space="preserve">3.3.3. </w:t>
            </w:r>
            <w:r w:rsidR="005F608F">
              <w:rPr>
                <w:rFonts w:asciiTheme="majorHAnsi" w:hAnsiTheme="majorHAnsi"/>
                <w:sz w:val="20"/>
                <w:szCs w:val="20"/>
              </w:rPr>
              <w:t xml:space="preserve"> </w:t>
            </w:r>
            <w:r w:rsidRPr="00FF4898">
              <w:rPr>
                <w:rFonts w:asciiTheme="majorHAnsi" w:hAnsiTheme="majorHAnsi"/>
                <w:sz w:val="20"/>
                <w:szCs w:val="20"/>
              </w:rPr>
              <w:t>Automatyczny system centralnego smarowania musi posiadać możliwość zapisu pracy tego systemu umożliwiający jego diagnozę.</w:t>
            </w:r>
          </w:p>
          <w:p w14:paraId="2BC18C1C" w14:textId="669BC5BB" w:rsidR="009E7154" w:rsidRPr="00F05CE9" w:rsidRDefault="009E7154" w:rsidP="00362F5E">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3.3.4. </w:t>
            </w:r>
            <w:r w:rsidRPr="00F05CE9">
              <w:rPr>
                <w:rFonts w:asciiTheme="majorHAnsi" w:hAnsiTheme="majorHAnsi"/>
                <w:sz w:val="20"/>
                <w:szCs w:val="20"/>
              </w:rPr>
              <w:t xml:space="preserve">Zamawiający nie dopuszcza </w:t>
            </w:r>
            <w:r>
              <w:rPr>
                <w:rFonts w:asciiTheme="majorHAnsi" w:hAnsiTheme="majorHAnsi"/>
                <w:sz w:val="20"/>
                <w:szCs w:val="20"/>
              </w:rPr>
              <w:t xml:space="preserve">możliwości stosowania rozwiązań konstrukcyjnych </w:t>
            </w:r>
            <w:r w:rsidRPr="00F05CE9">
              <w:rPr>
                <w:rFonts w:asciiTheme="majorHAnsi" w:hAnsiTheme="majorHAnsi"/>
                <w:sz w:val="20"/>
                <w:szCs w:val="20"/>
              </w:rPr>
              <w:t>(w szczególności osi przedniej) nie wymagających smarowania oraz nie wymagających umieszczania stałych punktów smarowniczych.</w:t>
            </w:r>
          </w:p>
        </w:tc>
        <w:tc>
          <w:tcPr>
            <w:tcW w:w="3114" w:type="dxa"/>
          </w:tcPr>
          <w:p w14:paraId="503C871B" w14:textId="77777777" w:rsidR="009E7154" w:rsidRPr="00F05CE9" w:rsidRDefault="009E7154" w:rsidP="00362F5E">
            <w:pPr>
              <w:spacing w:after="0" w:line="360" w:lineRule="auto"/>
              <w:ind w:left="705" w:hanging="705"/>
              <w:jc w:val="both"/>
              <w:rPr>
                <w:rFonts w:asciiTheme="majorHAnsi" w:hAnsiTheme="majorHAnsi"/>
                <w:sz w:val="20"/>
                <w:szCs w:val="20"/>
              </w:rPr>
            </w:pPr>
          </w:p>
        </w:tc>
      </w:tr>
      <w:tr w:rsidR="009E7154" w14:paraId="3F3C36D6" w14:textId="274720E0" w:rsidTr="004C6210">
        <w:tblPrEx>
          <w:jc w:val="left"/>
        </w:tblPrEx>
        <w:tc>
          <w:tcPr>
            <w:tcW w:w="575" w:type="dxa"/>
            <w:gridSpan w:val="2"/>
          </w:tcPr>
          <w:p w14:paraId="39A0B7CF" w14:textId="4B5DD9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3.4.</w:t>
            </w:r>
          </w:p>
        </w:tc>
        <w:tc>
          <w:tcPr>
            <w:tcW w:w="1692" w:type="dxa"/>
          </w:tcPr>
          <w:p w14:paraId="65B859F6" w14:textId="749DA95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Zawieszenie.</w:t>
            </w:r>
          </w:p>
        </w:tc>
        <w:tc>
          <w:tcPr>
            <w:tcW w:w="3684" w:type="dxa"/>
          </w:tcPr>
          <w:p w14:paraId="07254BF3" w14:textId="332E4F67"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3.4.1.</w:t>
            </w:r>
            <w:r w:rsidR="005F608F">
              <w:rPr>
                <w:rFonts w:asciiTheme="majorHAnsi" w:hAnsiTheme="majorHAnsi"/>
                <w:sz w:val="20"/>
                <w:szCs w:val="20"/>
              </w:rPr>
              <w:t xml:space="preserve"> </w:t>
            </w:r>
            <w:r w:rsidRPr="00F05CE9">
              <w:rPr>
                <w:rFonts w:asciiTheme="majorHAnsi" w:hAnsiTheme="majorHAnsi"/>
                <w:sz w:val="20"/>
                <w:szCs w:val="20"/>
              </w:rPr>
              <w:t xml:space="preserve">Zawieszenie pneumatyczne </w:t>
            </w:r>
            <w:r w:rsidR="005F608F">
              <w:rPr>
                <w:rFonts w:asciiTheme="majorHAnsi" w:hAnsiTheme="majorHAnsi"/>
                <w:sz w:val="20"/>
                <w:szCs w:val="20"/>
              </w:rPr>
              <w:br/>
              <w:t xml:space="preserve">                 </w:t>
            </w:r>
            <w:r w:rsidRPr="00F05CE9">
              <w:rPr>
                <w:rFonts w:asciiTheme="majorHAnsi" w:hAnsiTheme="majorHAnsi"/>
                <w:sz w:val="20"/>
                <w:szCs w:val="20"/>
              </w:rPr>
              <w:t>na miechach gumowych.</w:t>
            </w:r>
          </w:p>
          <w:p w14:paraId="3CDF4BBF" w14:textId="6163172F"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.4.2.</w:t>
            </w:r>
            <w:r w:rsidR="005F608F">
              <w:rPr>
                <w:rFonts w:asciiTheme="majorHAnsi" w:hAnsiTheme="majorHAnsi"/>
                <w:sz w:val="20"/>
                <w:szCs w:val="20"/>
              </w:rPr>
              <w:t xml:space="preserve"> </w:t>
            </w:r>
            <w:r w:rsidRPr="00F05CE9">
              <w:rPr>
                <w:rFonts w:asciiTheme="majorHAnsi" w:hAnsiTheme="majorHAnsi"/>
                <w:sz w:val="20"/>
                <w:szCs w:val="20"/>
              </w:rPr>
              <w:t xml:space="preserve">Sterowanie układem </w:t>
            </w:r>
            <w:r w:rsidR="005F608F">
              <w:rPr>
                <w:rFonts w:asciiTheme="majorHAnsi" w:hAnsiTheme="majorHAnsi"/>
                <w:sz w:val="20"/>
                <w:szCs w:val="20"/>
              </w:rPr>
              <w:t xml:space="preserve">    </w:t>
            </w:r>
            <w:r w:rsidR="005F608F">
              <w:rPr>
                <w:rFonts w:asciiTheme="majorHAnsi" w:hAnsiTheme="majorHAnsi"/>
                <w:sz w:val="20"/>
                <w:szCs w:val="20"/>
              </w:rPr>
              <w:br/>
              <w:t xml:space="preserve">                </w:t>
            </w:r>
            <w:r w:rsidRPr="00F05CE9">
              <w:rPr>
                <w:rFonts w:asciiTheme="majorHAnsi" w:hAnsiTheme="majorHAnsi"/>
                <w:sz w:val="20"/>
                <w:szCs w:val="20"/>
              </w:rPr>
              <w:t>poziomowania.</w:t>
            </w:r>
          </w:p>
          <w:p w14:paraId="5D69A724" w14:textId="278E3751"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3.4.3.</w:t>
            </w:r>
            <w:r>
              <w:rPr>
                <w:rFonts w:asciiTheme="majorHAnsi" w:hAnsiTheme="majorHAnsi"/>
                <w:sz w:val="20"/>
                <w:szCs w:val="20"/>
              </w:rPr>
              <w:t xml:space="preserve"> </w:t>
            </w:r>
            <w:r w:rsidRPr="00F05CE9">
              <w:rPr>
                <w:rFonts w:asciiTheme="majorHAnsi" w:hAnsiTheme="majorHAnsi"/>
                <w:sz w:val="20"/>
                <w:szCs w:val="20"/>
              </w:rPr>
              <w:t>Możliwość realizacji funkcji unoszenia oraz opuszczania nadwozia.</w:t>
            </w:r>
          </w:p>
          <w:p w14:paraId="393DF83B" w14:textId="7AAC14A3"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3.4.4. </w:t>
            </w:r>
            <w:r w:rsidRPr="00F05CE9">
              <w:rPr>
                <w:rFonts w:asciiTheme="majorHAnsi" w:hAnsiTheme="majorHAnsi"/>
                <w:sz w:val="20"/>
                <w:szCs w:val="20"/>
              </w:rPr>
              <w:t xml:space="preserve">Funkcja „przyklęku” </w:t>
            </w:r>
            <w:r w:rsidRPr="00EA7905">
              <w:rPr>
                <w:rFonts w:asciiTheme="majorHAnsi" w:hAnsiTheme="majorHAnsi"/>
                <w:sz w:val="20"/>
                <w:szCs w:val="20"/>
              </w:rPr>
              <w:t>pojazdu</w:t>
            </w:r>
            <w:r w:rsidRPr="00F05CE9">
              <w:rPr>
                <w:rFonts w:asciiTheme="majorHAnsi" w:hAnsiTheme="majorHAnsi"/>
                <w:sz w:val="20"/>
                <w:szCs w:val="20"/>
              </w:rPr>
              <w:t xml:space="preserve"> realizowana poprzez obniżenie prawej strony pojazdu. Funkcja ta musi zapewniać możliwość obniżenie poziomu wejścia do autobusu po jego zatrzymaniu – zarówno przed jak i po otwarciu drzwi, oraz utrzymanie autobusu w stanie „przyklęku” także po </w:t>
            </w:r>
            <w:r>
              <w:rPr>
                <w:rFonts w:asciiTheme="majorHAnsi" w:hAnsiTheme="majorHAnsi"/>
                <w:sz w:val="20"/>
                <w:szCs w:val="20"/>
              </w:rPr>
              <w:t> </w:t>
            </w:r>
            <w:r w:rsidRPr="00F05CE9">
              <w:rPr>
                <w:rFonts w:asciiTheme="majorHAnsi" w:hAnsiTheme="majorHAnsi"/>
                <w:sz w:val="20"/>
                <w:szCs w:val="20"/>
              </w:rPr>
              <w:t>wyłączeniu silnika. Po zamknięciu drzwi pojazd poziomuje się samoczynnie.</w:t>
            </w:r>
          </w:p>
          <w:p w14:paraId="6C60236E" w14:textId="408DDA13" w:rsidR="009E7154" w:rsidRPr="00F05CE9" w:rsidRDefault="009E7154" w:rsidP="00FF4898">
            <w:pPr>
              <w:spacing w:after="0" w:line="360" w:lineRule="auto"/>
              <w:ind w:left="459" w:hanging="459"/>
              <w:jc w:val="both"/>
              <w:rPr>
                <w:rFonts w:asciiTheme="majorHAnsi" w:hAnsiTheme="majorHAnsi"/>
                <w:sz w:val="20"/>
                <w:szCs w:val="20"/>
              </w:rPr>
            </w:pPr>
            <w:r>
              <w:rPr>
                <w:rFonts w:asciiTheme="majorHAnsi" w:hAnsiTheme="majorHAnsi"/>
                <w:sz w:val="20"/>
                <w:szCs w:val="20"/>
              </w:rPr>
              <w:t xml:space="preserve">3.4.5. </w:t>
            </w:r>
            <w:r w:rsidRPr="00F05CE9">
              <w:rPr>
                <w:rFonts w:asciiTheme="majorHAnsi" w:hAnsiTheme="majorHAnsi"/>
                <w:sz w:val="20"/>
                <w:szCs w:val="20"/>
              </w:rPr>
              <w:t>Układ sterowania zawieszeniem typu ECAS z oprogramowaniem diagnostycznym w języku polskim umożli</w:t>
            </w:r>
            <w:r>
              <w:rPr>
                <w:rFonts w:asciiTheme="majorHAnsi" w:hAnsiTheme="majorHAnsi"/>
                <w:sz w:val="20"/>
                <w:szCs w:val="20"/>
              </w:rPr>
              <w:t>wiający kalibrację zawieszenia.</w:t>
            </w:r>
          </w:p>
        </w:tc>
        <w:tc>
          <w:tcPr>
            <w:tcW w:w="3114" w:type="dxa"/>
          </w:tcPr>
          <w:p w14:paraId="130ACB2E" w14:textId="77777777" w:rsidR="009E7154" w:rsidRDefault="009E7154">
            <w:pPr>
              <w:spacing w:after="0" w:line="240" w:lineRule="auto"/>
              <w:rPr>
                <w:rFonts w:asciiTheme="majorHAnsi" w:hAnsiTheme="majorHAnsi"/>
                <w:sz w:val="20"/>
                <w:szCs w:val="20"/>
              </w:rPr>
            </w:pPr>
          </w:p>
          <w:p w14:paraId="6EC4E825"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4AAA6F15" w14:textId="013477B9" w:rsidTr="004C6210">
        <w:tblPrEx>
          <w:jc w:val="left"/>
        </w:tblPrEx>
        <w:tc>
          <w:tcPr>
            <w:tcW w:w="575" w:type="dxa"/>
            <w:gridSpan w:val="2"/>
          </w:tcPr>
          <w:p w14:paraId="28193312" w14:textId="33D618BE"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3.5.</w:t>
            </w:r>
          </w:p>
        </w:tc>
        <w:tc>
          <w:tcPr>
            <w:tcW w:w="1692" w:type="dxa"/>
          </w:tcPr>
          <w:p w14:paraId="69C8F94D" w14:textId="456CFA9F"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ab/>
            </w:r>
            <w:r>
              <w:rPr>
                <w:rFonts w:asciiTheme="majorHAnsi" w:hAnsiTheme="majorHAnsi"/>
                <w:b/>
                <w:sz w:val="20"/>
                <w:szCs w:val="20"/>
              </w:rPr>
              <w:t>Ogumienie.</w:t>
            </w:r>
          </w:p>
        </w:tc>
        <w:tc>
          <w:tcPr>
            <w:tcW w:w="3684" w:type="dxa"/>
          </w:tcPr>
          <w:p w14:paraId="00DCDBFC" w14:textId="0C7DE18C"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3.5.1. </w:t>
            </w:r>
            <w:r w:rsidRPr="00F05CE9">
              <w:rPr>
                <w:rFonts w:asciiTheme="majorHAnsi" w:hAnsiTheme="majorHAnsi"/>
                <w:sz w:val="20"/>
                <w:szCs w:val="20"/>
              </w:rPr>
              <w:t>Autobus wyposażony w ogumienie bezdętkowe typu miejskiego z bieżnikiem o wzmocnionych bokach i odpowiednich parametrach nośności dostosowanych do autobusów elektrycznych. Wymaga się, aby całe ogumienie autobusu było jednakowe (ten sam producent, model , typ i rozmiar) dla całej dostawy.</w:t>
            </w:r>
          </w:p>
          <w:p w14:paraId="33F00E31" w14:textId="36924772"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 xml:space="preserve">3.5.2. </w:t>
            </w:r>
            <w:r w:rsidRPr="00F05CE9">
              <w:rPr>
                <w:rFonts w:asciiTheme="majorHAnsi" w:hAnsiTheme="majorHAnsi"/>
                <w:sz w:val="20"/>
                <w:szCs w:val="20"/>
              </w:rPr>
              <w:t>Na kołach wewnętrznych przedłużane wentyle.</w:t>
            </w:r>
          </w:p>
          <w:p w14:paraId="1B5D4342" w14:textId="274A3E08" w:rsidR="009E7154" w:rsidRPr="00F05CE9" w:rsidRDefault="009E7154" w:rsidP="00FF4898">
            <w:pPr>
              <w:spacing w:line="360" w:lineRule="auto"/>
              <w:ind w:left="601" w:hanging="601"/>
              <w:jc w:val="both"/>
              <w:rPr>
                <w:rFonts w:asciiTheme="majorHAnsi" w:hAnsiTheme="majorHAnsi"/>
                <w:sz w:val="20"/>
                <w:szCs w:val="20"/>
              </w:rPr>
            </w:pPr>
            <w:r w:rsidRPr="00F05CE9">
              <w:rPr>
                <w:rFonts w:asciiTheme="majorHAnsi" w:hAnsiTheme="majorHAnsi"/>
                <w:sz w:val="20"/>
                <w:szCs w:val="20"/>
              </w:rPr>
              <w:t>3.5.3.</w:t>
            </w:r>
            <w:r>
              <w:rPr>
                <w:rFonts w:asciiTheme="majorHAnsi" w:hAnsiTheme="majorHAnsi"/>
                <w:sz w:val="20"/>
                <w:szCs w:val="20"/>
              </w:rPr>
              <w:t xml:space="preserve"> </w:t>
            </w:r>
            <w:r w:rsidRPr="00F05CE9">
              <w:rPr>
                <w:rFonts w:asciiTheme="majorHAnsi" w:hAnsiTheme="majorHAnsi"/>
                <w:sz w:val="20"/>
                <w:szCs w:val="20"/>
              </w:rPr>
              <w:t>Dodatkowo Wykonawca dostarczy kompletne</w:t>
            </w:r>
            <w:r>
              <w:rPr>
                <w:rFonts w:asciiTheme="majorHAnsi" w:hAnsiTheme="majorHAnsi"/>
                <w:sz w:val="20"/>
                <w:szCs w:val="20"/>
              </w:rPr>
              <w:t xml:space="preserve"> koła zapasowe w ilości 2 szt. na </w:t>
            </w:r>
            <w:r w:rsidRPr="00F05CE9">
              <w:rPr>
                <w:rFonts w:asciiTheme="majorHAnsi" w:hAnsiTheme="majorHAnsi"/>
                <w:sz w:val="20"/>
                <w:szCs w:val="20"/>
              </w:rPr>
              <w:t>każdy dostarczony pojazd.</w:t>
            </w:r>
          </w:p>
          <w:p w14:paraId="5E10EEEA" w14:textId="26544345" w:rsidR="009E7154" w:rsidRPr="00F05CE9" w:rsidRDefault="009E7154" w:rsidP="00FF4898">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3.5.4.</w:t>
            </w:r>
            <w:r>
              <w:rPr>
                <w:rFonts w:asciiTheme="majorHAnsi" w:hAnsiTheme="majorHAnsi"/>
                <w:sz w:val="20"/>
                <w:szCs w:val="20"/>
              </w:rPr>
              <w:t xml:space="preserve"> </w:t>
            </w:r>
            <w:r w:rsidRPr="00F05CE9">
              <w:rPr>
                <w:rFonts w:asciiTheme="majorHAnsi" w:hAnsiTheme="majorHAnsi"/>
                <w:sz w:val="20"/>
                <w:szCs w:val="20"/>
              </w:rPr>
              <w:t>Śruby mocowania kół tylnych wyposażone w nakładki z tzw. wskaźnikiem luźnych śrub.</w:t>
            </w:r>
          </w:p>
        </w:tc>
        <w:tc>
          <w:tcPr>
            <w:tcW w:w="3114" w:type="dxa"/>
          </w:tcPr>
          <w:p w14:paraId="54E1A0F0"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115F7194" w14:textId="10DAC1F8" w:rsidTr="004C6210">
        <w:tblPrEx>
          <w:jc w:val="left"/>
        </w:tblPrEx>
        <w:tc>
          <w:tcPr>
            <w:tcW w:w="575" w:type="dxa"/>
            <w:gridSpan w:val="2"/>
          </w:tcPr>
          <w:p w14:paraId="59938201" w14:textId="78B62986"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3.6.</w:t>
            </w:r>
          </w:p>
        </w:tc>
        <w:tc>
          <w:tcPr>
            <w:tcW w:w="1692" w:type="dxa"/>
          </w:tcPr>
          <w:p w14:paraId="7B635FEE" w14:textId="7F63F4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kierowniczy.</w:t>
            </w:r>
          </w:p>
          <w:p w14:paraId="0AEF55B4"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30EF4CDD" w14:textId="2D05905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3.6.1.</w:t>
            </w:r>
            <w:r>
              <w:rPr>
                <w:rFonts w:asciiTheme="majorHAnsi" w:hAnsiTheme="majorHAnsi"/>
                <w:sz w:val="20"/>
                <w:szCs w:val="20"/>
              </w:rPr>
              <w:t xml:space="preserve"> </w:t>
            </w:r>
            <w:r w:rsidRPr="00F05CE9">
              <w:rPr>
                <w:rFonts w:asciiTheme="majorHAnsi" w:hAnsiTheme="majorHAnsi"/>
                <w:sz w:val="20"/>
                <w:szCs w:val="20"/>
              </w:rPr>
              <w:t>Układ kierowniczy musi być wyposażony w układ wspomagania działający po uruchomieniu systemów pojazdu w tryb gotowości do jazdy zarówno w czasie jazdy jak i na postoju.</w:t>
            </w:r>
          </w:p>
          <w:p w14:paraId="1AB79F1A" w14:textId="3454DB01" w:rsidR="009E7154" w:rsidRPr="00F05CE9" w:rsidRDefault="009E7154" w:rsidP="00FF4898">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3.6.2.</w:t>
            </w:r>
            <w:r>
              <w:rPr>
                <w:rFonts w:asciiTheme="majorHAnsi" w:hAnsiTheme="majorHAnsi"/>
                <w:sz w:val="20"/>
                <w:szCs w:val="20"/>
              </w:rPr>
              <w:t xml:space="preserve"> </w:t>
            </w:r>
            <w:r w:rsidRPr="00F05CE9">
              <w:rPr>
                <w:rFonts w:asciiTheme="majorHAnsi" w:hAnsiTheme="majorHAnsi"/>
                <w:sz w:val="20"/>
                <w:szCs w:val="20"/>
              </w:rPr>
              <w:t>Układ kierowniczy musi posiadać dwupłaszczyznową regulację położenia koła kierownicy (regulacja wysokości i kąta pochylenia) z pneumatyczną lub mechaniczną blokadą wybran</w:t>
            </w:r>
            <w:r>
              <w:rPr>
                <w:rFonts w:asciiTheme="majorHAnsi" w:hAnsiTheme="majorHAnsi"/>
                <w:sz w:val="20"/>
                <w:szCs w:val="20"/>
              </w:rPr>
              <w:t>ego położenia.</w:t>
            </w:r>
          </w:p>
        </w:tc>
        <w:tc>
          <w:tcPr>
            <w:tcW w:w="3114" w:type="dxa"/>
          </w:tcPr>
          <w:p w14:paraId="3350013D"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0B60EF4E" w14:textId="7A49EE3F" w:rsidTr="004C6210">
        <w:tblPrEx>
          <w:jc w:val="left"/>
        </w:tblPrEx>
        <w:tc>
          <w:tcPr>
            <w:tcW w:w="575" w:type="dxa"/>
            <w:gridSpan w:val="2"/>
          </w:tcPr>
          <w:p w14:paraId="03A8661C" w14:textId="2DAEED3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3.7.</w:t>
            </w:r>
          </w:p>
        </w:tc>
        <w:tc>
          <w:tcPr>
            <w:tcW w:w="1692" w:type="dxa"/>
          </w:tcPr>
          <w:p w14:paraId="6E61FF55" w14:textId="0A480FC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hamulcowy.</w:t>
            </w:r>
          </w:p>
        </w:tc>
        <w:tc>
          <w:tcPr>
            <w:tcW w:w="3684" w:type="dxa"/>
          </w:tcPr>
          <w:p w14:paraId="79E1434A" w14:textId="7B900CEB"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3.7.1.</w:t>
            </w:r>
            <w:r>
              <w:rPr>
                <w:rFonts w:asciiTheme="majorHAnsi" w:hAnsiTheme="majorHAnsi"/>
                <w:sz w:val="20"/>
                <w:szCs w:val="20"/>
              </w:rPr>
              <w:t xml:space="preserve"> </w:t>
            </w:r>
            <w:r w:rsidRPr="00F05CE9">
              <w:rPr>
                <w:rFonts w:asciiTheme="majorHAnsi" w:hAnsiTheme="majorHAnsi"/>
                <w:sz w:val="20"/>
                <w:szCs w:val="20"/>
              </w:rPr>
              <w:t>Hamulce tarczowe na przedniej oraz tylnej osi pojazdu.</w:t>
            </w:r>
          </w:p>
          <w:p w14:paraId="51DF682A" w14:textId="4743B600"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3.7.2.</w:t>
            </w:r>
            <w:r>
              <w:rPr>
                <w:rFonts w:asciiTheme="majorHAnsi" w:hAnsiTheme="majorHAnsi"/>
                <w:sz w:val="20"/>
                <w:szCs w:val="20"/>
              </w:rPr>
              <w:t xml:space="preserve"> </w:t>
            </w:r>
            <w:r w:rsidRPr="00F05CE9">
              <w:rPr>
                <w:rFonts w:asciiTheme="majorHAnsi" w:hAnsiTheme="majorHAnsi"/>
                <w:sz w:val="20"/>
                <w:szCs w:val="20"/>
              </w:rPr>
              <w:t>Zaciski hamulcowe z</w:t>
            </w:r>
            <w:r w:rsidR="005F608F">
              <w:rPr>
                <w:rFonts w:asciiTheme="majorHAnsi" w:hAnsiTheme="majorHAnsi"/>
                <w:sz w:val="20"/>
                <w:szCs w:val="20"/>
              </w:rPr>
              <w:t xml:space="preserve"> </w:t>
            </w:r>
            <w:r w:rsidRPr="00F05CE9">
              <w:rPr>
                <w:rFonts w:asciiTheme="majorHAnsi" w:hAnsiTheme="majorHAnsi"/>
                <w:sz w:val="20"/>
                <w:szCs w:val="20"/>
              </w:rPr>
              <w:t xml:space="preserve"> </w:t>
            </w:r>
            <w:r w:rsidR="005F608F">
              <w:rPr>
                <w:rFonts w:asciiTheme="majorHAnsi" w:hAnsiTheme="majorHAnsi"/>
                <w:sz w:val="20"/>
                <w:szCs w:val="20"/>
              </w:rPr>
              <w:t xml:space="preserve">   </w:t>
            </w:r>
            <w:r w:rsidRPr="00F05CE9">
              <w:rPr>
                <w:rFonts w:asciiTheme="majorHAnsi" w:hAnsiTheme="majorHAnsi"/>
                <w:sz w:val="20"/>
                <w:szCs w:val="20"/>
              </w:rPr>
              <w:t xml:space="preserve">automatyczną </w:t>
            </w:r>
            <w:r w:rsidR="005F608F">
              <w:rPr>
                <w:rFonts w:asciiTheme="majorHAnsi" w:hAnsiTheme="majorHAnsi"/>
                <w:sz w:val="20"/>
                <w:szCs w:val="20"/>
              </w:rPr>
              <w:t xml:space="preserve">      </w:t>
            </w:r>
            <w:r w:rsidRPr="00F05CE9">
              <w:rPr>
                <w:rFonts w:asciiTheme="majorHAnsi" w:hAnsiTheme="majorHAnsi"/>
                <w:sz w:val="20"/>
                <w:szCs w:val="20"/>
              </w:rPr>
              <w:t>regulacją luzu.</w:t>
            </w:r>
          </w:p>
          <w:p w14:paraId="02ABFDE3" w14:textId="0295CF4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3.7.3.</w:t>
            </w:r>
            <w:r>
              <w:rPr>
                <w:rFonts w:asciiTheme="majorHAnsi" w:hAnsiTheme="majorHAnsi"/>
                <w:sz w:val="20"/>
                <w:szCs w:val="20"/>
              </w:rPr>
              <w:t xml:space="preserve"> </w:t>
            </w:r>
            <w:r w:rsidRPr="00F05CE9">
              <w:rPr>
                <w:rFonts w:asciiTheme="majorHAnsi" w:hAnsiTheme="majorHAnsi"/>
                <w:sz w:val="20"/>
                <w:szCs w:val="20"/>
              </w:rPr>
              <w:t>Autobusy muszą być wyposażone w elektronicznie sterowany układ hamulcowy EBS (Electronic Breaking System).</w:t>
            </w:r>
          </w:p>
          <w:p w14:paraId="1B378CCA" w14:textId="031F25A6"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3.7.4.</w:t>
            </w:r>
            <w:r>
              <w:rPr>
                <w:rFonts w:asciiTheme="majorHAnsi" w:hAnsiTheme="majorHAnsi"/>
                <w:sz w:val="20"/>
                <w:szCs w:val="20"/>
              </w:rPr>
              <w:t xml:space="preserve"> </w:t>
            </w:r>
            <w:r w:rsidRPr="00F05CE9">
              <w:rPr>
                <w:rFonts w:asciiTheme="majorHAnsi" w:hAnsiTheme="majorHAnsi"/>
                <w:sz w:val="20"/>
                <w:szCs w:val="20"/>
              </w:rPr>
              <w:t>Funkcja informowania kierowcy o bieżącym zużyciu okładzin klocków hamulcowych.</w:t>
            </w:r>
          </w:p>
          <w:p w14:paraId="3D20D204" w14:textId="00FA75A0"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3.7.5.</w:t>
            </w:r>
            <w:r>
              <w:rPr>
                <w:rFonts w:asciiTheme="majorHAnsi" w:hAnsiTheme="majorHAnsi"/>
                <w:sz w:val="20"/>
                <w:szCs w:val="20"/>
              </w:rPr>
              <w:t xml:space="preserve"> </w:t>
            </w:r>
            <w:r w:rsidRPr="00F05CE9">
              <w:rPr>
                <w:rFonts w:asciiTheme="majorHAnsi" w:hAnsiTheme="majorHAnsi"/>
                <w:sz w:val="20"/>
                <w:szCs w:val="20"/>
              </w:rPr>
              <w:t>Hamulec przystank</w:t>
            </w:r>
            <w:r>
              <w:rPr>
                <w:rFonts w:asciiTheme="majorHAnsi" w:hAnsiTheme="majorHAnsi"/>
                <w:sz w:val="20"/>
                <w:szCs w:val="20"/>
              </w:rPr>
              <w:t>owy uruchamiany automatycznie w </w:t>
            </w:r>
            <w:r w:rsidRPr="00F05CE9">
              <w:rPr>
                <w:rFonts w:asciiTheme="majorHAnsi" w:hAnsiTheme="majorHAnsi"/>
                <w:sz w:val="20"/>
                <w:szCs w:val="20"/>
              </w:rPr>
              <w:t xml:space="preserve">przypadku, gdy którekolwiek drzwi są </w:t>
            </w:r>
            <w:r>
              <w:rPr>
                <w:rFonts w:asciiTheme="majorHAnsi" w:hAnsiTheme="majorHAnsi"/>
                <w:sz w:val="20"/>
                <w:szCs w:val="20"/>
              </w:rPr>
              <w:t> otwarte, z </w:t>
            </w:r>
            <w:r w:rsidRPr="00F05CE9">
              <w:rPr>
                <w:rFonts w:asciiTheme="majorHAnsi" w:hAnsiTheme="majorHAnsi"/>
                <w:sz w:val="20"/>
                <w:szCs w:val="20"/>
              </w:rPr>
              <w:t>możliwością urucham</w:t>
            </w:r>
            <w:r>
              <w:rPr>
                <w:rFonts w:asciiTheme="majorHAnsi" w:hAnsiTheme="majorHAnsi"/>
                <w:sz w:val="20"/>
                <w:szCs w:val="20"/>
              </w:rPr>
              <w:t>iania ręcznego przez kierowcę w </w:t>
            </w:r>
            <w:r w:rsidRPr="00F05CE9">
              <w:rPr>
                <w:rFonts w:asciiTheme="majorHAnsi" w:hAnsiTheme="majorHAnsi"/>
                <w:sz w:val="20"/>
                <w:szCs w:val="20"/>
              </w:rPr>
              <w:t>sytuacji zatrzymania pojazdu.</w:t>
            </w:r>
          </w:p>
          <w:p w14:paraId="408D64CD" w14:textId="65F6E606" w:rsidR="009E7154" w:rsidRPr="00F05CE9" w:rsidRDefault="009E7154" w:rsidP="00FF4898">
            <w:pPr>
              <w:spacing w:after="0" w:line="360" w:lineRule="auto"/>
              <w:ind w:left="601" w:hanging="601"/>
              <w:jc w:val="both"/>
              <w:rPr>
                <w:rFonts w:asciiTheme="majorHAnsi" w:hAnsiTheme="majorHAnsi"/>
                <w:sz w:val="20"/>
                <w:szCs w:val="20"/>
              </w:rPr>
            </w:pPr>
            <w:r>
              <w:rPr>
                <w:rFonts w:asciiTheme="majorHAnsi" w:hAnsiTheme="majorHAnsi"/>
                <w:sz w:val="20"/>
                <w:szCs w:val="20"/>
              </w:rPr>
              <w:t xml:space="preserve">3.7.6. </w:t>
            </w:r>
            <w:r w:rsidRPr="00F05CE9">
              <w:rPr>
                <w:rFonts w:asciiTheme="majorHAnsi" w:hAnsiTheme="majorHAnsi"/>
                <w:sz w:val="20"/>
                <w:szCs w:val="20"/>
              </w:rPr>
              <w:t>Sygnalizacja dźwiękowa braku włączenia hamulca postojowego przy wyłączonym napędzie</w:t>
            </w:r>
            <w:r>
              <w:rPr>
                <w:rFonts w:asciiTheme="majorHAnsi" w:hAnsiTheme="majorHAnsi"/>
                <w:sz w:val="20"/>
                <w:szCs w:val="20"/>
              </w:rPr>
              <w:t>.</w:t>
            </w:r>
          </w:p>
        </w:tc>
        <w:tc>
          <w:tcPr>
            <w:tcW w:w="3114" w:type="dxa"/>
          </w:tcPr>
          <w:p w14:paraId="71D06E53" w14:textId="77777777" w:rsidR="009E7154" w:rsidRDefault="009E7154">
            <w:pPr>
              <w:spacing w:after="0" w:line="240" w:lineRule="auto"/>
              <w:rPr>
                <w:rFonts w:asciiTheme="majorHAnsi" w:hAnsiTheme="majorHAnsi"/>
                <w:sz w:val="20"/>
                <w:szCs w:val="20"/>
              </w:rPr>
            </w:pPr>
          </w:p>
          <w:p w14:paraId="0145E78B"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724C977D" w14:textId="7BB097CF" w:rsidTr="004C6210">
        <w:tblPrEx>
          <w:jc w:val="left"/>
        </w:tblPrEx>
        <w:tc>
          <w:tcPr>
            <w:tcW w:w="575" w:type="dxa"/>
            <w:gridSpan w:val="2"/>
          </w:tcPr>
          <w:p w14:paraId="7CA4239A" w14:textId="2ACE761A" w:rsidR="009E7154" w:rsidRPr="00F05CE9" w:rsidRDefault="009E7154" w:rsidP="00720B8C">
            <w:pPr>
              <w:spacing w:line="360" w:lineRule="auto"/>
              <w:rPr>
                <w:rFonts w:asciiTheme="majorHAnsi" w:hAnsiTheme="majorHAnsi"/>
                <w:b/>
                <w:sz w:val="20"/>
                <w:szCs w:val="20"/>
              </w:rPr>
            </w:pPr>
            <w:r>
              <w:rPr>
                <w:rFonts w:asciiTheme="majorHAnsi" w:hAnsiTheme="majorHAnsi"/>
                <w:b/>
                <w:sz w:val="20"/>
                <w:szCs w:val="20"/>
              </w:rPr>
              <w:t>3.8.</w:t>
            </w:r>
          </w:p>
        </w:tc>
        <w:tc>
          <w:tcPr>
            <w:tcW w:w="1692" w:type="dxa"/>
          </w:tcPr>
          <w:p w14:paraId="3FF6D0B1" w14:textId="0059B5A7" w:rsidR="009E7154"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pneumatyczny.</w:t>
            </w:r>
          </w:p>
        </w:tc>
        <w:tc>
          <w:tcPr>
            <w:tcW w:w="3684" w:type="dxa"/>
          </w:tcPr>
          <w:p w14:paraId="0686626B" w14:textId="21D2CD99" w:rsidR="009E7154" w:rsidRPr="00F10796" w:rsidRDefault="009E7154" w:rsidP="00F10796">
            <w:pPr>
              <w:spacing w:line="360" w:lineRule="auto"/>
              <w:jc w:val="both"/>
              <w:rPr>
                <w:rFonts w:asciiTheme="majorHAnsi" w:hAnsiTheme="majorHAnsi"/>
                <w:sz w:val="20"/>
                <w:szCs w:val="20"/>
              </w:rPr>
            </w:pPr>
            <w:r>
              <w:rPr>
                <w:rFonts w:asciiTheme="majorHAnsi" w:hAnsiTheme="majorHAnsi"/>
                <w:sz w:val="20"/>
                <w:szCs w:val="20"/>
              </w:rPr>
              <w:t xml:space="preserve">3.8.1. </w:t>
            </w:r>
            <w:r w:rsidRPr="00F10796">
              <w:rPr>
                <w:rFonts w:asciiTheme="majorHAnsi" w:hAnsiTheme="majorHAnsi"/>
                <w:sz w:val="20"/>
                <w:szCs w:val="20"/>
              </w:rPr>
              <w:t>Zapewniający bezawaryjną pracę w zmiennych warunkach klimatycznych w szczególności w niskich temperaturach oraz dużej wilgotności.</w:t>
            </w:r>
          </w:p>
          <w:p w14:paraId="5D202ECD" w14:textId="5894A180"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 xml:space="preserve">.8.2. </w:t>
            </w:r>
            <w:r w:rsidRPr="00F05CE9">
              <w:rPr>
                <w:rFonts w:asciiTheme="majorHAnsi" w:hAnsiTheme="majorHAnsi"/>
                <w:sz w:val="20"/>
                <w:szCs w:val="20"/>
              </w:rPr>
              <w:t>Wyposażony w skute</w:t>
            </w:r>
            <w:r>
              <w:rPr>
                <w:rFonts w:asciiTheme="majorHAnsi" w:hAnsiTheme="majorHAnsi"/>
                <w:sz w:val="20"/>
                <w:szCs w:val="20"/>
              </w:rPr>
              <w:t>czny układ osuszania powietrza.</w:t>
            </w:r>
          </w:p>
          <w:p w14:paraId="2CE7BF27" w14:textId="59048962" w:rsidR="009E7154" w:rsidRPr="00F05CE9" w:rsidRDefault="009E7154" w:rsidP="00F10796">
            <w:pPr>
              <w:spacing w:line="360" w:lineRule="auto"/>
              <w:ind w:left="459" w:hanging="459"/>
              <w:jc w:val="both"/>
              <w:rPr>
                <w:rFonts w:asciiTheme="majorHAnsi" w:hAnsiTheme="majorHAnsi"/>
                <w:sz w:val="20"/>
                <w:szCs w:val="20"/>
              </w:rPr>
            </w:pPr>
            <w:r>
              <w:rPr>
                <w:rFonts w:asciiTheme="majorHAnsi" w:hAnsiTheme="majorHAnsi"/>
                <w:sz w:val="20"/>
                <w:szCs w:val="20"/>
              </w:rPr>
              <w:t xml:space="preserve">3.8.3. </w:t>
            </w:r>
            <w:r w:rsidRPr="00F05CE9">
              <w:rPr>
                <w:rFonts w:asciiTheme="majorHAnsi" w:hAnsiTheme="majorHAnsi"/>
                <w:sz w:val="20"/>
                <w:szCs w:val="20"/>
              </w:rPr>
              <w:t>Wyposażony w podgr</w:t>
            </w:r>
            <w:r>
              <w:rPr>
                <w:rFonts w:asciiTheme="majorHAnsi" w:hAnsiTheme="majorHAnsi"/>
                <w:sz w:val="20"/>
                <w:szCs w:val="20"/>
              </w:rPr>
              <w:t>zewany automatyczny odolejacz i </w:t>
            </w:r>
            <w:r w:rsidRPr="00F05CE9">
              <w:rPr>
                <w:rFonts w:asciiTheme="majorHAnsi" w:hAnsiTheme="majorHAnsi"/>
                <w:sz w:val="20"/>
                <w:szCs w:val="20"/>
              </w:rPr>
              <w:t>podgrzewany osuszacz.</w:t>
            </w:r>
          </w:p>
          <w:p w14:paraId="519CFA08" w14:textId="6E259B60" w:rsidR="009E7154" w:rsidRPr="00F05CE9"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3.8.4. Przewody układu, zbiorniki powietrza oraz złączki wykonane z materiałów nierdzewnych</w:t>
            </w:r>
            <w:r>
              <w:rPr>
                <w:rFonts w:asciiTheme="majorHAnsi" w:hAnsiTheme="majorHAnsi"/>
                <w:sz w:val="20"/>
                <w:szCs w:val="20"/>
              </w:rPr>
              <w:t xml:space="preserve"> lub materiałów zabezpieczonych przed korozją</w:t>
            </w:r>
            <w:r w:rsidRPr="00F05CE9">
              <w:rPr>
                <w:rFonts w:asciiTheme="majorHAnsi" w:hAnsiTheme="majorHAnsi"/>
                <w:sz w:val="20"/>
                <w:szCs w:val="20"/>
              </w:rPr>
              <w:t>.</w:t>
            </w:r>
          </w:p>
          <w:p w14:paraId="0E30EDF6" w14:textId="6849C107"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3.8.5.</w:t>
            </w:r>
            <w:r>
              <w:rPr>
                <w:rFonts w:asciiTheme="majorHAnsi" w:hAnsiTheme="majorHAnsi"/>
                <w:sz w:val="20"/>
                <w:szCs w:val="20"/>
              </w:rPr>
              <w:t xml:space="preserve"> </w:t>
            </w:r>
            <w:r w:rsidRPr="00F05CE9">
              <w:rPr>
                <w:rFonts w:asciiTheme="majorHAnsi" w:hAnsiTheme="majorHAnsi"/>
                <w:sz w:val="20"/>
                <w:szCs w:val="20"/>
              </w:rPr>
              <w:t>Dodatkowe złącza do za</w:t>
            </w:r>
            <w:r>
              <w:rPr>
                <w:rFonts w:asciiTheme="majorHAnsi" w:hAnsiTheme="majorHAnsi"/>
                <w:sz w:val="20"/>
                <w:szCs w:val="20"/>
              </w:rPr>
              <w:t>silania układu pneumatycznego z </w:t>
            </w:r>
            <w:r w:rsidRPr="00F05CE9">
              <w:rPr>
                <w:rFonts w:asciiTheme="majorHAnsi" w:hAnsiTheme="majorHAnsi"/>
                <w:sz w:val="20"/>
                <w:szCs w:val="20"/>
              </w:rPr>
              <w:t>zewnętrznego źródła zlokalizowane z przodu i z tyłu każdego z autobusów, będących przedmiotem zamówienia.</w:t>
            </w:r>
          </w:p>
          <w:p w14:paraId="7AB0F8FA" w14:textId="21A01A7E" w:rsidR="009E7154" w:rsidRPr="00F05CE9" w:rsidRDefault="009E7154" w:rsidP="009C6D75">
            <w:pPr>
              <w:spacing w:after="0" w:line="360" w:lineRule="auto"/>
              <w:ind w:left="459" w:hanging="459"/>
              <w:jc w:val="both"/>
              <w:rPr>
                <w:rFonts w:asciiTheme="majorHAnsi" w:hAnsiTheme="majorHAnsi"/>
                <w:sz w:val="20"/>
                <w:szCs w:val="20"/>
              </w:rPr>
            </w:pPr>
            <w:r>
              <w:rPr>
                <w:rFonts w:asciiTheme="majorHAnsi" w:hAnsiTheme="majorHAnsi"/>
                <w:sz w:val="20"/>
                <w:szCs w:val="20"/>
              </w:rPr>
              <w:t>3.8.6.</w:t>
            </w:r>
            <w:r>
              <w:rPr>
                <w:rFonts w:asciiTheme="majorHAnsi" w:hAnsiTheme="majorHAnsi"/>
                <w:sz w:val="20"/>
                <w:szCs w:val="20"/>
              </w:rPr>
              <w:tab/>
              <w:t xml:space="preserve"> Skropliny ze zbiorników powietrza odprowadzane na zewnątrz przez zawory odwadniające za pomocą łatwo dostępnych cięgien lub zaworów.</w:t>
            </w:r>
          </w:p>
        </w:tc>
        <w:tc>
          <w:tcPr>
            <w:tcW w:w="3114" w:type="dxa"/>
          </w:tcPr>
          <w:p w14:paraId="40BCD131" w14:textId="77777777" w:rsidR="009E7154" w:rsidRPr="00F05CE9" w:rsidRDefault="009E7154" w:rsidP="009C6D75">
            <w:pPr>
              <w:spacing w:after="0" w:line="360" w:lineRule="auto"/>
              <w:ind w:left="459" w:hanging="459"/>
              <w:jc w:val="both"/>
              <w:rPr>
                <w:rFonts w:asciiTheme="majorHAnsi" w:hAnsiTheme="majorHAnsi"/>
                <w:sz w:val="20"/>
                <w:szCs w:val="20"/>
              </w:rPr>
            </w:pPr>
          </w:p>
        </w:tc>
      </w:tr>
      <w:tr w:rsidR="00652B1F" w14:paraId="67B4271A" w14:textId="04A742F4" w:rsidTr="004C6210">
        <w:tblPrEx>
          <w:jc w:val="left"/>
        </w:tblPrEx>
        <w:tc>
          <w:tcPr>
            <w:tcW w:w="575" w:type="dxa"/>
            <w:gridSpan w:val="2"/>
            <w:shd w:val="clear" w:color="auto" w:fill="D9D9D9" w:themeFill="background1" w:themeFillShade="D9"/>
          </w:tcPr>
          <w:p w14:paraId="6F4B32DC" w14:textId="0EDC63FB" w:rsidR="00652B1F" w:rsidRPr="00F64287" w:rsidRDefault="00652B1F" w:rsidP="00720B8C">
            <w:pPr>
              <w:spacing w:after="0" w:line="360" w:lineRule="auto"/>
              <w:rPr>
                <w:rFonts w:asciiTheme="majorHAnsi" w:hAnsiTheme="majorHAnsi"/>
                <w:b/>
                <w:sz w:val="20"/>
                <w:szCs w:val="20"/>
              </w:rPr>
            </w:pPr>
            <w:r w:rsidRPr="00F64287">
              <w:rPr>
                <w:rFonts w:asciiTheme="majorHAnsi" w:hAnsiTheme="majorHAnsi"/>
                <w:b/>
                <w:sz w:val="20"/>
                <w:szCs w:val="20"/>
              </w:rPr>
              <w:t>4.</w:t>
            </w:r>
          </w:p>
        </w:tc>
        <w:tc>
          <w:tcPr>
            <w:tcW w:w="8490" w:type="dxa"/>
            <w:gridSpan w:val="3"/>
            <w:shd w:val="clear" w:color="auto" w:fill="D9D9D9" w:themeFill="background1" w:themeFillShade="D9"/>
          </w:tcPr>
          <w:p w14:paraId="1FC03F78" w14:textId="65B72CE1" w:rsidR="00652B1F" w:rsidRPr="00F64287" w:rsidRDefault="00652B1F" w:rsidP="009E7154">
            <w:pPr>
              <w:spacing w:after="0" w:line="360" w:lineRule="auto"/>
              <w:jc w:val="both"/>
              <w:rPr>
                <w:rFonts w:asciiTheme="majorHAnsi" w:hAnsiTheme="majorHAnsi"/>
                <w:sz w:val="20"/>
                <w:szCs w:val="20"/>
              </w:rPr>
            </w:pPr>
            <w:r w:rsidRPr="00F64287">
              <w:rPr>
                <w:rFonts w:asciiTheme="majorHAnsi" w:hAnsiTheme="majorHAnsi"/>
                <w:b/>
                <w:sz w:val="20"/>
                <w:szCs w:val="20"/>
              </w:rPr>
              <w:t>Nadwozie.</w:t>
            </w:r>
          </w:p>
        </w:tc>
      </w:tr>
      <w:tr w:rsidR="009E7154" w14:paraId="57ADD601" w14:textId="4D1FDBE7" w:rsidTr="004C6210">
        <w:tblPrEx>
          <w:jc w:val="left"/>
        </w:tblPrEx>
        <w:tc>
          <w:tcPr>
            <w:tcW w:w="575" w:type="dxa"/>
            <w:gridSpan w:val="2"/>
          </w:tcPr>
          <w:p w14:paraId="1B6B7451" w14:textId="1026814C" w:rsidR="009E7154" w:rsidRPr="00F05CE9" w:rsidRDefault="009E7154" w:rsidP="00720B8C">
            <w:pPr>
              <w:spacing w:line="360" w:lineRule="auto"/>
              <w:rPr>
                <w:rFonts w:asciiTheme="majorHAnsi" w:hAnsiTheme="majorHAnsi"/>
                <w:b/>
                <w:sz w:val="20"/>
                <w:szCs w:val="20"/>
                <w:highlight w:val="lightGray"/>
              </w:rPr>
            </w:pPr>
            <w:r w:rsidRPr="00F05CE9">
              <w:rPr>
                <w:rFonts w:asciiTheme="majorHAnsi" w:hAnsiTheme="majorHAnsi"/>
                <w:b/>
                <w:sz w:val="20"/>
                <w:szCs w:val="20"/>
              </w:rPr>
              <w:t>4.1.</w:t>
            </w:r>
          </w:p>
        </w:tc>
        <w:tc>
          <w:tcPr>
            <w:tcW w:w="1692" w:type="dxa"/>
          </w:tcPr>
          <w:p w14:paraId="045A11AF" w14:textId="2560123F" w:rsidR="009E7154" w:rsidRPr="00F05CE9" w:rsidRDefault="009E7154" w:rsidP="00423105">
            <w:pPr>
              <w:spacing w:line="360" w:lineRule="auto"/>
              <w:jc w:val="both"/>
              <w:rPr>
                <w:rFonts w:asciiTheme="majorHAnsi" w:hAnsiTheme="majorHAnsi"/>
                <w:b/>
                <w:sz w:val="20"/>
                <w:szCs w:val="20"/>
                <w:highlight w:val="lightGray"/>
              </w:rPr>
            </w:pPr>
            <w:r w:rsidRPr="00F05CE9">
              <w:rPr>
                <w:rFonts w:asciiTheme="majorHAnsi" w:hAnsiTheme="majorHAnsi"/>
                <w:b/>
                <w:sz w:val="20"/>
                <w:szCs w:val="20"/>
              </w:rPr>
              <w:t>Konstrukcja nadwozia.</w:t>
            </w:r>
          </w:p>
        </w:tc>
        <w:tc>
          <w:tcPr>
            <w:tcW w:w="3684" w:type="dxa"/>
          </w:tcPr>
          <w:p w14:paraId="520BA39B" w14:textId="5A0ED10D"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w:t>
            </w:r>
            <w:r w:rsidRPr="00F05CE9">
              <w:rPr>
                <w:rFonts w:asciiTheme="majorHAnsi" w:hAnsiTheme="majorHAnsi"/>
                <w:sz w:val="20"/>
                <w:szCs w:val="20"/>
              </w:rPr>
              <w:tab/>
            </w:r>
            <w:r>
              <w:rPr>
                <w:rFonts w:asciiTheme="majorHAnsi" w:hAnsiTheme="majorHAnsi"/>
                <w:sz w:val="20"/>
                <w:szCs w:val="20"/>
              </w:rPr>
              <w:t xml:space="preserve">Konstrukcja nadwozia wykonane ze stali </w:t>
            </w:r>
            <w:r w:rsidRPr="00F05CE9">
              <w:rPr>
                <w:rFonts w:asciiTheme="majorHAnsi" w:hAnsiTheme="majorHAnsi"/>
                <w:sz w:val="20"/>
                <w:szCs w:val="20"/>
              </w:rPr>
              <w:t>odp</w:t>
            </w:r>
            <w:r>
              <w:rPr>
                <w:rFonts w:asciiTheme="majorHAnsi" w:hAnsiTheme="majorHAnsi"/>
                <w:sz w:val="20"/>
                <w:szCs w:val="20"/>
              </w:rPr>
              <w:t>ornej na korozję wg Normy PN EN</w:t>
            </w:r>
            <w:r w:rsidRPr="00F05CE9">
              <w:rPr>
                <w:rFonts w:asciiTheme="majorHAnsi" w:hAnsiTheme="majorHAnsi"/>
                <w:sz w:val="20"/>
                <w:szCs w:val="20"/>
              </w:rPr>
              <w:t>-10088-1 lub no</w:t>
            </w:r>
            <w:r>
              <w:rPr>
                <w:rFonts w:asciiTheme="majorHAnsi" w:hAnsiTheme="majorHAnsi"/>
                <w:sz w:val="20"/>
                <w:szCs w:val="20"/>
              </w:rPr>
              <w:t>rm równoważnych, lub ze stali o </w:t>
            </w:r>
            <w:r w:rsidRPr="00F05CE9">
              <w:rPr>
                <w:rFonts w:asciiTheme="majorHAnsi" w:hAnsiTheme="majorHAnsi"/>
                <w:sz w:val="20"/>
                <w:szCs w:val="20"/>
              </w:rPr>
              <w:t xml:space="preserve">podwyższonej jakości zabezpieczonej antykorozyjnie </w:t>
            </w:r>
            <w:r>
              <w:rPr>
                <w:rFonts w:asciiTheme="majorHAnsi" w:hAnsiTheme="majorHAnsi"/>
                <w:sz w:val="20"/>
                <w:szCs w:val="20"/>
              </w:rPr>
              <w:t>metodą kataforezy KTL lub aluminium</w:t>
            </w:r>
            <w:r w:rsidRPr="00F05CE9">
              <w:rPr>
                <w:rFonts w:asciiTheme="majorHAnsi" w:hAnsiTheme="majorHAnsi"/>
                <w:sz w:val="20"/>
                <w:szCs w:val="20"/>
              </w:rPr>
              <w:t>.</w:t>
            </w:r>
          </w:p>
          <w:p w14:paraId="23904F0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w:t>
            </w:r>
            <w:r w:rsidRPr="00F05CE9">
              <w:rPr>
                <w:rFonts w:asciiTheme="majorHAnsi" w:hAnsiTheme="majorHAnsi"/>
                <w:sz w:val="20"/>
                <w:szCs w:val="20"/>
              </w:rPr>
              <w:tab/>
              <w:t>W przypadku konieczności wykonania konserwacji  w okresie gwarancji konstrukcji nadwozia koszty ponosi Wykonawca.</w:t>
            </w:r>
          </w:p>
          <w:p w14:paraId="72353BC0" w14:textId="62165CB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4.1.3.</w:t>
            </w:r>
            <w:r w:rsidRPr="00F05CE9">
              <w:rPr>
                <w:rFonts w:asciiTheme="majorHAnsi" w:hAnsiTheme="majorHAnsi"/>
                <w:sz w:val="20"/>
                <w:szCs w:val="20"/>
              </w:rPr>
              <w:tab/>
              <w:t>Wszystkie poręc</w:t>
            </w:r>
            <w:r>
              <w:rPr>
                <w:rFonts w:asciiTheme="majorHAnsi" w:hAnsiTheme="majorHAnsi"/>
                <w:sz w:val="20"/>
                <w:szCs w:val="20"/>
              </w:rPr>
              <w:t>ze wykonane z materiałów odpornych na korozję</w:t>
            </w:r>
            <w:r w:rsidRPr="00F05CE9">
              <w:rPr>
                <w:rFonts w:asciiTheme="majorHAnsi" w:hAnsiTheme="majorHAnsi"/>
                <w:sz w:val="20"/>
                <w:szCs w:val="20"/>
              </w:rPr>
              <w:t xml:space="preserve">, nie malowane. Uchwyty, podłokietniki, ograniczniki biodrowe itp. przeznaczone dla pasażerów, wykonane z tworzyw sztucznych, nie </w:t>
            </w:r>
            <w:r>
              <w:rPr>
                <w:rFonts w:asciiTheme="majorHAnsi" w:hAnsiTheme="majorHAnsi"/>
                <w:sz w:val="20"/>
                <w:szCs w:val="20"/>
              </w:rPr>
              <w:t> </w:t>
            </w:r>
            <w:r w:rsidRPr="00F05CE9">
              <w:rPr>
                <w:rFonts w:asciiTheme="majorHAnsi" w:hAnsiTheme="majorHAnsi"/>
                <w:sz w:val="20"/>
                <w:szCs w:val="20"/>
              </w:rPr>
              <w:t>lakierowane, komponujące się z poręczami.</w:t>
            </w:r>
          </w:p>
          <w:p w14:paraId="7F421E05" w14:textId="6D01505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4.1.4.</w:t>
            </w:r>
            <w:r w:rsidRPr="00F05CE9">
              <w:rPr>
                <w:rFonts w:asciiTheme="majorHAnsi" w:hAnsiTheme="majorHAnsi"/>
                <w:sz w:val="20"/>
                <w:szCs w:val="20"/>
              </w:rPr>
              <w:tab/>
              <w:t>Poręcze pionowe łączon</w:t>
            </w:r>
            <w:r>
              <w:rPr>
                <w:rFonts w:asciiTheme="majorHAnsi" w:hAnsiTheme="majorHAnsi"/>
                <w:sz w:val="20"/>
                <w:szCs w:val="20"/>
              </w:rPr>
              <w:t>e z podłogą złączem wykonanym z </w:t>
            </w:r>
            <w:r w:rsidRPr="00F05CE9">
              <w:rPr>
                <w:rFonts w:asciiTheme="majorHAnsi" w:hAnsiTheme="majorHAnsi"/>
                <w:sz w:val="20"/>
                <w:szCs w:val="20"/>
              </w:rPr>
              <w:t>tworzywa sztucznego, aluminium lub stali nierdzewnej.</w:t>
            </w:r>
          </w:p>
          <w:p w14:paraId="2686ADF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4.1.5.</w:t>
            </w:r>
            <w:r w:rsidRPr="00F05CE9">
              <w:rPr>
                <w:rFonts w:asciiTheme="majorHAnsi" w:hAnsiTheme="majorHAnsi"/>
                <w:sz w:val="20"/>
                <w:szCs w:val="20"/>
              </w:rPr>
              <w:tab/>
              <w:t>Wszystkie połączenia poręczy opisane w pkt 4.1.4 wykonane przy użyciu materiałów nierdzewnych.</w:t>
            </w:r>
          </w:p>
          <w:p w14:paraId="17CC91D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4.1.6.</w:t>
            </w:r>
            <w:r w:rsidRPr="00F05CE9">
              <w:rPr>
                <w:rFonts w:asciiTheme="majorHAnsi" w:hAnsiTheme="majorHAnsi"/>
                <w:sz w:val="20"/>
                <w:szCs w:val="20"/>
              </w:rPr>
              <w:tab/>
              <w:t>Szyba czołowa dzielona pionowo w osi wzdłużnej pojazdu na część lewą i prawą lub niedzielona, klejona ze szkła wielowarstwowego, bezpiecznego.</w:t>
            </w:r>
          </w:p>
          <w:p w14:paraId="776EEEC7" w14:textId="77777777"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4.1.7.</w:t>
            </w:r>
            <w:r w:rsidRPr="00F05CE9">
              <w:rPr>
                <w:rFonts w:asciiTheme="majorHAnsi" w:hAnsiTheme="majorHAnsi"/>
                <w:sz w:val="20"/>
                <w:szCs w:val="20"/>
              </w:rPr>
              <w:tab/>
            </w:r>
            <w:r w:rsidRPr="00B47552">
              <w:rPr>
                <w:rFonts w:asciiTheme="majorHAnsi" w:hAnsiTheme="majorHAnsi"/>
                <w:sz w:val="20"/>
                <w:szCs w:val="20"/>
              </w:rPr>
              <w:t>Szyba czołowa oddzielona od szyby osłaniającej przednią tablicę kierunkową lub nie oddzielona.</w:t>
            </w:r>
          </w:p>
          <w:p w14:paraId="26810115" w14:textId="0EF18C9E"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4.1.8.     </w:t>
            </w:r>
            <w:r w:rsidRPr="00F05CE9">
              <w:rPr>
                <w:rFonts w:asciiTheme="majorHAnsi" w:hAnsiTheme="majorHAnsi"/>
                <w:sz w:val="20"/>
                <w:szCs w:val="20"/>
              </w:rPr>
              <w:t>Szyba osłaniająca przednią tablicę kierunkową ogrzewana lub podwójna.</w:t>
            </w:r>
          </w:p>
          <w:p w14:paraId="3E135919"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4.1.9.</w:t>
            </w:r>
            <w:r w:rsidRPr="00F05CE9">
              <w:rPr>
                <w:rFonts w:asciiTheme="majorHAnsi" w:hAnsiTheme="majorHAnsi"/>
                <w:sz w:val="20"/>
                <w:szCs w:val="20"/>
              </w:rPr>
              <w:tab/>
              <w:t>Szyby boczne z wyłączeniem szyby bocznej kabiny kierowcy oraz szyb w skrzydłach pierwszych drzwi przyciemniane. Maksymalny współczynnik przepuszczalności światła nie mniejszy niż 70%.</w:t>
            </w:r>
          </w:p>
          <w:p w14:paraId="074DDF17"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4.1.10.</w:t>
            </w:r>
            <w:r w:rsidRPr="00F05CE9">
              <w:rPr>
                <w:rFonts w:asciiTheme="majorHAnsi" w:hAnsiTheme="majorHAnsi"/>
                <w:sz w:val="20"/>
                <w:szCs w:val="20"/>
              </w:rPr>
              <w:tab/>
              <w:t>Wymagana przepisami liczba wyjść bezpieczeństwa.</w:t>
            </w:r>
          </w:p>
          <w:p w14:paraId="51742203"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4.1.11.</w:t>
            </w:r>
            <w:r w:rsidRPr="00F05CE9">
              <w:rPr>
                <w:rFonts w:asciiTheme="majorHAnsi" w:hAnsiTheme="majorHAnsi"/>
                <w:sz w:val="20"/>
                <w:szCs w:val="20"/>
              </w:rPr>
              <w:tab/>
              <w:t>Ściany boczne i dach izolowane cieplnie.</w:t>
            </w:r>
          </w:p>
          <w:p w14:paraId="6F49B0D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4.1.12.</w:t>
            </w:r>
            <w:r w:rsidRPr="00F05CE9">
              <w:rPr>
                <w:rFonts w:asciiTheme="majorHAnsi" w:hAnsiTheme="majorHAnsi"/>
                <w:sz w:val="20"/>
                <w:szCs w:val="20"/>
              </w:rPr>
              <w:tab/>
              <w:t>Wykładziny wewnętrzne oraz osłony i obudowy elementów konstrukcyjnych nadwozia muszą posiadać powierzchnię przystosowaną do łatwego usuwania zanieczyszczeń.</w:t>
            </w:r>
          </w:p>
          <w:p w14:paraId="7911390F"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4.1.13.</w:t>
            </w:r>
            <w:r w:rsidRPr="00F05CE9">
              <w:rPr>
                <w:rFonts w:asciiTheme="majorHAnsi" w:hAnsiTheme="majorHAnsi"/>
                <w:sz w:val="20"/>
                <w:szCs w:val="20"/>
              </w:rPr>
              <w:tab/>
              <w:t>Podłoga autobusu oraz elementy wykończenia progu drzwi wykonane w sposób umożliwiający samoczynny, grawitacyjny spływ wody.</w:t>
            </w:r>
          </w:p>
          <w:p w14:paraId="7E9088D4" w14:textId="7B06D7D7" w:rsidR="009E7154" w:rsidRPr="00F05CE9" w:rsidRDefault="009E7154" w:rsidP="00D41ED8">
            <w:pPr>
              <w:spacing w:line="360" w:lineRule="auto"/>
              <w:ind w:left="705" w:hanging="705"/>
              <w:jc w:val="both"/>
              <w:rPr>
                <w:rFonts w:asciiTheme="majorHAnsi" w:hAnsiTheme="majorHAnsi"/>
                <w:sz w:val="20"/>
                <w:szCs w:val="20"/>
              </w:rPr>
            </w:pPr>
            <w:r w:rsidRPr="00F05CE9">
              <w:rPr>
                <w:rFonts w:asciiTheme="majorHAnsi" w:hAnsiTheme="majorHAnsi"/>
                <w:sz w:val="20"/>
                <w:szCs w:val="20"/>
              </w:rPr>
              <w:t>4.1.14.</w:t>
            </w:r>
            <w:r w:rsidRPr="00F05CE9">
              <w:rPr>
                <w:rFonts w:asciiTheme="majorHAnsi" w:hAnsiTheme="majorHAnsi"/>
                <w:sz w:val="20"/>
                <w:szCs w:val="20"/>
              </w:rPr>
              <w:tab/>
              <w:t>Podłoga pokryta gładką wykładziną antypoślizgową w kolorze szarym, łatwą do sprzątania i utrzymania czystości. Kolor do uzgodnienia z Zamawiającym po podpisaniu umowy.</w:t>
            </w:r>
          </w:p>
          <w:p w14:paraId="09DE195E" w14:textId="7743541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4.1.15.</w:t>
            </w:r>
            <w:r w:rsidRPr="00F05CE9">
              <w:rPr>
                <w:rFonts w:asciiTheme="majorHAnsi" w:hAnsiTheme="majorHAnsi"/>
                <w:sz w:val="20"/>
                <w:szCs w:val="20"/>
              </w:rPr>
              <w:tab/>
              <w:t xml:space="preserve">Wszystkie klapy obsługowe (serwisowe) usytuowane w strefie nad oknami </w:t>
            </w:r>
            <w:r w:rsidRPr="00CE15DA">
              <w:rPr>
                <w:rFonts w:asciiTheme="majorHAnsi" w:hAnsiTheme="majorHAnsi"/>
                <w:sz w:val="20"/>
                <w:szCs w:val="20"/>
              </w:rPr>
              <w:t>wewnątrz pojazdu</w:t>
            </w:r>
            <w:r>
              <w:rPr>
                <w:rFonts w:asciiTheme="majorHAnsi" w:hAnsiTheme="majorHAnsi"/>
                <w:sz w:val="20"/>
                <w:szCs w:val="20"/>
              </w:rPr>
              <w:t xml:space="preserve"> </w:t>
            </w:r>
            <w:r w:rsidRPr="00F05CE9">
              <w:rPr>
                <w:rFonts w:asciiTheme="majorHAnsi" w:hAnsiTheme="majorHAnsi"/>
                <w:sz w:val="20"/>
                <w:szCs w:val="20"/>
              </w:rPr>
              <w:t>wyposażone w zamki zamykane (otwierane) jednym kluczem typu kwadrat wewnętrzny 8mm.</w:t>
            </w:r>
          </w:p>
          <w:p w14:paraId="287FD17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4.1.16.</w:t>
            </w:r>
            <w:r w:rsidRPr="00F05CE9">
              <w:rPr>
                <w:rFonts w:asciiTheme="majorHAnsi" w:hAnsiTheme="majorHAnsi"/>
                <w:sz w:val="20"/>
                <w:szCs w:val="20"/>
              </w:rPr>
              <w:tab/>
              <w:t xml:space="preserve">Śruby mocujące klapy serwisowe umieszczone w podłodze przestrzeni pasażerskiej wykonane ze </w:t>
            </w:r>
            <w:r>
              <w:rPr>
                <w:rFonts w:asciiTheme="majorHAnsi" w:hAnsiTheme="majorHAnsi"/>
                <w:sz w:val="20"/>
                <w:szCs w:val="20"/>
              </w:rPr>
              <w:t> </w:t>
            </w:r>
            <w:r w:rsidRPr="00F05CE9">
              <w:rPr>
                <w:rFonts w:asciiTheme="majorHAnsi" w:hAnsiTheme="majorHAnsi"/>
                <w:sz w:val="20"/>
                <w:szCs w:val="20"/>
              </w:rPr>
              <w:t>stali nierdzewnej.</w:t>
            </w:r>
          </w:p>
          <w:p w14:paraId="4A92888F" w14:textId="472E4ABF"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4.1.17.</w:t>
            </w:r>
            <w:r w:rsidRPr="00F05CE9">
              <w:rPr>
                <w:rFonts w:asciiTheme="majorHAnsi" w:hAnsiTheme="majorHAnsi"/>
                <w:sz w:val="20"/>
                <w:szCs w:val="20"/>
              </w:rPr>
              <w:tab/>
              <w:t xml:space="preserve">Poręcze poziome wyposażone w uchwyty wiszące do trzymania się dla pasażerów stojących, wykonane jako elastyczne i bezpieczne dla pasażerów. Poręcze wykonane </w:t>
            </w:r>
            <w:r>
              <w:rPr>
                <w:rFonts w:asciiTheme="majorHAnsi" w:hAnsiTheme="majorHAnsi"/>
                <w:sz w:val="20"/>
                <w:szCs w:val="20"/>
              </w:rPr>
              <w:t>z materiałów odpornych na korozję. Uchwyty</w:t>
            </w:r>
            <w:r w:rsidRPr="00F05CE9">
              <w:rPr>
                <w:rFonts w:asciiTheme="majorHAnsi" w:hAnsiTheme="majorHAnsi"/>
                <w:sz w:val="20"/>
                <w:szCs w:val="20"/>
              </w:rPr>
              <w:t xml:space="preserve"> przeznaczone dla pasażerów wykonane z tworzyw, nie</w:t>
            </w:r>
            <w:r>
              <w:rPr>
                <w:rFonts w:asciiTheme="majorHAnsi" w:hAnsiTheme="majorHAnsi"/>
                <w:sz w:val="20"/>
                <w:szCs w:val="20"/>
              </w:rPr>
              <w:t xml:space="preserve"> lakierowane, komponujące się z </w:t>
            </w:r>
            <w:r w:rsidRPr="00F05CE9">
              <w:rPr>
                <w:rFonts w:asciiTheme="majorHAnsi" w:hAnsiTheme="majorHAnsi"/>
                <w:sz w:val="20"/>
                <w:szCs w:val="20"/>
              </w:rPr>
              <w:t>poręczami, zamontowane w sposób wykluczający przesuwanie się ich na poręczach podczas jazdy.</w:t>
            </w:r>
          </w:p>
          <w:p w14:paraId="185BB0E5" w14:textId="603564B1"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4.1.18.</w:t>
            </w:r>
            <w:r>
              <w:rPr>
                <w:rFonts w:asciiTheme="majorHAnsi" w:hAnsiTheme="majorHAnsi"/>
                <w:sz w:val="20"/>
                <w:szCs w:val="20"/>
              </w:rPr>
              <w:t xml:space="preserve"> </w:t>
            </w:r>
            <w:r w:rsidRPr="00F05CE9">
              <w:rPr>
                <w:rFonts w:asciiTheme="majorHAnsi" w:hAnsiTheme="majorHAnsi"/>
                <w:sz w:val="20"/>
                <w:szCs w:val="20"/>
              </w:rPr>
              <w:t>Nadkola przednie wewnątrz autobusu zabezpieczone przed możliwością zajmowania na nich miej</w:t>
            </w:r>
            <w:r>
              <w:rPr>
                <w:rFonts w:asciiTheme="majorHAnsi" w:hAnsiTheme="majorHAnsi"/>
                <w:sz w:val="20"/>
                <w:szCs w:val="20"/>
              </w:rPr>
              <w:t>sca (siadania przez pasażerów).</w:t>
            </w:r>
          </w:p>
          <w:p w14:paraId="4002710A" w14:textId="182D255F"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4.1.19. </w:t>
            </w:r>
            <w:r w:rsidRPr="00F05CE9">
              <w:rPr>
                <w:rFonts w:asciiTheme="majorHAnsi" w:hAnsiTheme="majorHAnsi"/>
                <w:sz w:val="20"/>
                <w:szCs w:val="20"/>
              </w:rPr>
              <w:t>Krawędzie stopni wejściowych w drzwiach oznaczone kolorem żółtym kontrastowym.</w:t>
            </w:r>
          </w:p>
          <w:p w14:paraId="17CF3781" w14:textId="1A1C5D66"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4.1.20</w:t>
            </w:r>
            <w:r>
              <w:rPr>
                <w:rFonts w:asciiTheme="majorHAnsi" w:hAnsiTheme="majorHAnsi"/>
                <w:sz w:val="20"/>
                <w:szCs w:val="20"/>
              </w:rPr>
              <w:t xml:space="preserve">. </w:t>
            </w:r>
            <w:r w:rsidRPr="00CF095F">
              <w:rPr>
                <w:rFonts w:asciiTheme="majorHAnsi" w:hAnsiTheme="majorHAnsi"/>
                <w:sz w:val="20"/>
                <w:szCs w:val="20"/>
              </w:rPr>
              <w:t xml:space="preserve">Poszycie zewnętrzne boczne oraz </w:t>
            </w:r>
            <w:r w:rsidRPr="00CE15DA">
              <w:rPr>
                <w:rFonts w:asciiTheme="majorHAnsi" w:hAnsiTheme="majorHAnsi"/>
                <w:sz w:val="20"/>
                <w:szCs w:val="20"/>
              </w:rPr>
              <w:t>zewnętrznych</w:t>
            </w:r>
            <w:r>
              <w:rPr>
                <w:rFonts w:asciiTheme="majorHAnsi" w:hAnsiTheme="majorHAnsi"/>
                <w:sz w:val="20"/>
                <w:szCs w:val="20"/>
              </w:rPr>
              <w:t xml:space="preserve"> </w:t>
            </w:r>
            <w:r w:rsidRPr="00CF095F">
              <w:rPr>
                <w:rFonts w:asciiTheme="majorHAnsi" w:hAnsiTheme="majorHAnsi"/>
                <w:sz w:val="20"/>
                <w:szCs w:val="20"/>
              </w:rPr>
              <w:t xml:space="preserve">klap bocznych nadwozia wykonane </w:t>
            </w:r>
            <w:r w:rsidR="00FE78D4">
              <w:rPr>
                <w:rFonts w:asciiTheme="majorHAnsi" w:hAnsiTheme="majorHAnsi"/>
                <w:sz w:val="20"/>
                <w:szCs w:val="20"/>
              </w:rPr>
              <w:br/>
            </w:r>
            <w:r w:rsidRPr="00CF095F">
              <w:rPr>
                <w:rFonts w:asciiTheme="majorHAnsi" w:hAnsiTheme="majorHAnsi"/>
                <w:sz w:val="20"/>
                <w:szCs w:val="20"/>
              </w:rPr>
              <w:t>z aluminium, tworzywa sztucznego lub szkła hartowanego.</w:t>
            </w:r>
          </w:p>
          <w:p w14:paraId="6DAC8F98" w14:textId="4B0501A1"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4.1.21. </w:t>
            </w:r>
            <w:r w:rsidRPr="00F05CE9">
              <w:rPr>
                <w:rFonts w:asciiTheme="majorHAnsi" w:hAnsiTheme="majorHAnsi"/>
                <w:sz w:val="20"/>
                <w:szCs w:val="20"/>
              </w:rPr>
              <w:t xml:space="preserve">Poszycie </w:t>
            </w:r>
            <w:r w:rsidRPr="00CE15DA">
              <w:rPr>
                <w:rFonts w:asciiTheme="majorHAnsi" w:hAnsiTheme="majorHAnsi"/>
                <w:sz w:val="20"/>
                <w:szCs w:val="20"/>
              </w:rPr>
              <w:t>zewnętrzne</w:t>
            </w:r>
            <w:r>
              <w:rPr>
                <w:rFonts w:asciiTheme="majorHAnsi" w:hAnsiTheme="majorHAnsi"/>
                <w:sz w:val="20"/>
                <w:szCs w:val="20"/>
              </w:rPr>
              <w:t xml:space="preserve"> </w:t>
            </w:r>
            <w:r w:rsidRPr="00F05CE9">
              <w:rPr>
                <w:rFonts w:asciiTheme="majorHAnsi" w:hAnsiTheme="majorHAnsi"/>
                <w:sz w:val="20"/>
                <w:szCs w:val="20"/>
              </w:rPr>
              <w:t>klapy komory sil</w:t>
            </w:r>
            <w:r>
              <w:rPr>
                <w:rFonts w:asciiTheme="majorHAnsi" w:hAnsiTheme="majorHAnsi"/>
                <w:sz w:val="20"/>
                <w:szCs w:val="20"/>
              </w:rPr>
              <w:t xml:space="preserve">nika wykonane </w:t>
            </w:r>
            <w:r w:rsidR="00FE78D4">
              <w:rPr>
                <w:rFonts w:asciiTheme="majorHAnsi" w:hAnsiTheme="majorHAnsi"/>
                <w:sz w:val="20"/>
                <w:szCs w:val="20"/>
              </w:rPr>
              <w:br/>
            </w:r>
            <w:r>
              <w:rPr>
                <w:rFonts w:asciiTheme="majorHAnsi" w:hAnsiTheme="majorHAnsi"/>
                <w:sz w:val="20"/>
                <w:szCs w:val="20"/>
              </w:rPr>
              <w:t>z aluminium lub z </w:t>
            </w:r>
            <w:r w:rsidRPr="00F05CE9">
              <w:rPr>
                <w:rFonts w:asciiTheme="majorHAnsi" w:hAnsiTheme="majorHAnsi"/>
                <w:sz w:val="20"/>
                <w:szCs w:val="20"/>
              </w:rPr>
              <w:t>tworzywa sztucznego.</w:t>
            </w:r>
          </w:p>
          <w:p w14:paraId="75A01C82" w14:textId="77777777" w:rsidR="009E7154"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4.1.22.</w:t>
            </w:r>
            <w:r w:rsidRPr="00F05CE9">
              <w:rPr>
                <w:rFonts w:asciiTheme="majorHAnsi" w:hAnsiTheme="majorHAnsi"/>
                <w:sz w:val="20"/>
                <w:szCs w:val="20"/>
              </w:rPr>
              <w:tab/>
              <w:t>Ściana przednia i tylna wykonana z t</w:t>
            </w:r>
            <w:r>
              <w:rPr>
                <w:rFonts w:asciiTheme="majorHAnsi" w:hAnsiTheme="majorHAnsi"/>
                <w:sz w:val="20"/>
                <w:szCs w:val="20"/>
              </w:rPr>
              <w:t>worzywa sztucznego.</w:t>
            </w:r>
          </w:p>
          <w:p w14:paraId="2676C16B" w14:textId="77777777" w:rsidR="009E7154" w:rsidRPr="00F10796"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4.1.23. Powłoka lakiernicza odporna na substancje użyte w klejach folii używanych do reklamy.</w:t>
            </w:r>
          </w:p>
          <w:p w14:paraId="018E4B99" w14:textId="34E6EF74" w:rsidR="009E7154"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4.1.24.</w:t>
            </w:r>
            <w:r w:rsidRPr="00F10796">
              <w:rPr>
                <w:rFonts w:asciiTheme="majorHAnsi" w:hAnsiTheme="majorHAnsi"/>
                <w:sz w:val="20"/>
                <w:szCs w:val="20"/>
              </w:rPr>
              <w:tab/>
              <w:t>Panele boczne zewnętrzne klejone do nadwozia lub przykręcane.</w:t>
            </w:r>
          </w:p>
          <w:p w14:paraId="50C6DF0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4.1.25.</w:t>
            </w:r>
            <w:r w:rsidRPr="00F05CE9">
              <w:rPr>
                <w:rFonts w:asciiTheme="majorHAnsi" w:hAnsiTheme="majorHAnsi"/>
                <w:sz w:val="20"/>
                <w:szCs w:val="20"/>
              </w:rPr>
              <w:tab/>
              <w:t xml:space="preserve">Poszycie boczne zewnętrzne dzielone w pionie w postaci wymiennych paneli </w:t>
            </w:r>
            <w:r>
              <w:rPr>
                <w:rFonts w:asciiTheme="majorHAnsi" w:hAnsiTheme="majorHAnsi"/>
                <w:sz w:val="20"/>
                <w:szCs w:val="20"/>
              </w:rPr>
              <w:t>w całym pasie podokiennym</w:t>
            </w:r>
            <w:r w:rsidRPr="00F05CE9">
              <w:rPr>
                <w:rFonts w:asciiTheme="majorHAnsi" w:hAnsiTheme="majorHAnsi"/>
                <w:sz w:val="20"/>
                <w:szCs w:val="20"/>
              </w:rPr>
              <w:t xml:space="preserve"> lub poszycie nie dzielone.</w:t>
            </w:r>
          </w:p>
          <w:p w14:paraId="78669995" w14:textId="328247B0"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4.1.26.</w:t>
            </w:r>
            <w:r w:rsidRPr="00F05CE9">
              <w:rPr>
                <w:rFonts w:asciiTheme="majorHAnsi" w:hAnsiTheme="majorHAnsi"/>
                <w:sz w:val="20"/>
                <w:szCs w:val="20"/>
              </w:rPr>
              <w:tab/>
              <w:t xml:space="preserve">Zderzak przedni jednoczęściowy lub dzielony. </w:t>
            </w:r>
            <w:r w:rsidR="00FE78D4">
              <w:rPr>
                <w:rFonts w:asciiTheme="majorHAnsi" w:hAnsiTheme="majorHAnsi"/>
                <w:sz w:val="20"/>
                <w:szCs w:val="20"/>
              </w:rPr>
              <w:br/>
            </w:r>
            <w:r w:rsidRPr="00F05CE9">
              <w:rPr>
                <w:rFonts w:asciiTheme="majorHAnsi" w:hAnsiTheme="majorHAnsi"/>
                <w:sz w:val="20"/>
                <w:szCs w:val="20"/>
              </w:rPr>
              <w:t xml:space="preserve">W przypadku zderzaka dzielonego podział na min. 3 </w:t>
            </w:r>
            <w:r>
              <w:rPr>
                <w:rFonts w:asciiTheme="majorHAnsi" w:hAnsiTheme="majorHAnsi"/>
                <w:sz w:val="20"/>
                <w:szCs w:val="20"/>
              </w:rPr>
              <w:t> </w:t>
            </w:r>
            <w:r w:rsidRPr="00F05CE9">
              <w:rPr>
                <w:rFonts w:asciiTheme="majorHAnsi" w:hAnsiTheme="majorHAnsi"/>
                <w:sz w:val="20"/>
                <w:szCs w:val="20"/>
              </w:rPr>
              <w:t>elementy.</w:t>
            </w:r>
          </w:p>
          <w:p w14:paraId="0E651A47" w14:textId="201E9F5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4.1.27.</w:t>
            </w:r>
            <w:r w:rsidRPr="00F05CE9">
              <w:rPr>
                <w:rFonts w:asciiTheme="majorHAnsi" w:hAnsiTheme="majorHAnsi"/>
                <w:sz w:val="20"/>
                <w:szCs w:val="20"/>
              </w:rPr>
              <w:tab/>
              <w:t>Zderzak tylny jednoczęściowy lub dzielony.</w:t>
            </w:r>
          </w:p>
        </w:tc>
        <w:tc>
          <w:tcPr>
            <w:tcW w:w="3114" w:type="dxa"/>
          </w:tcPr>
          <w:p w14:paraId="5A43FA3E" w14:textId="77777777" w:rsidR="009E7154" w:rsidRPr="00F05CE9" w:rsidRDefault="009E7154" w:rsidP="00F64287">
            <w:pPr>
              <w:spacing w:after="0" w:line="360" w:lineRule="auto"/>
              <w:jc w:val="both"/>
              <w:rPr>
                <w:rFonts w:asciiTheme="majorHAnsi" w:hAnsiTheme="majorHAnsi"/>
                <w:sz w:val="20"/>
                <w:szCs w:val="20"/>
              </w:rPr>
            </w:pPr>
          </w:p>
        </w:tc>
      </w:tr>
      <w:tr w:rsidR="009E7154" w14:paraId="517C5CE8" w14:textId="18CE97CE" w:rsidTr="004C6210">
        <w:tblPrEx>
          <w:jc w:val="left"/>
        </w:tblPrEx>
        <w:tc>
          <w:tcPr>
            <w:tcW w:w="575" w:type="dxa"/>
            <w:gridSpan w:val="2"/>
          </w:tcPr>
          <w:p w14:paraId="1A32A81F" w14:textId="23893BC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4.2.</w:t>
            </w:r>
          </w:p>
        </w:tc>
        <w:tc>
          <w:tcPr>
            <w:tcW w:w="1692" w:type="dxa"/>
          </w:tcPr>
          <w:p w14:paraId="24685AD2" w14:textId="6F847AE1"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Lusterka.</w:t>
            </w:r>
          </w:p>
        </w:tc>
        <w:tc>
          <w:tcPr>
            <w:tcW w:w="3684" w:type="dxa"/>
          </w:tcPr>
          <w:p w14:paraId="5D5D270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4.2.1.</w:t>
            </w:r>
            <w:r w:rsidRPr="00F05CE9">
              <w:rPr>
                <w:rFonts w:asciiTheme="majorHAnsi" w:hAnsiTheme="majorHAnsi"/>
                <w:sz w:val="20"/>
                <w:szCs w:val="20"/>
              </w:rPr>
              <w:tab/>
              <w:t>Lustra zewnętrzne główne prawe i lewe, klasa II, podgrzewane, sterowane elektrycznie z miejsca kierowcy.</w:t>
            </w:r>
          </w:p>
          <w:p w14:paraId="59AFA61D" w14:textId="64628CE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4.2.2.</w:t>
            </w:r>
            <w:r w:rsidRPr="00F05CE9">
              <w:rPr>
                <w:rFonts w:asciiTheme="majorHAnsi" w:hAnsiTheme="majorHAnsi"/>
                <w:sz w:val="20"/>
                <w:szCs w:val="20"/>
              </w:rPr>
              <w:tab/>
              <w:t>Lustro do obserwacji krawędzi jezdni po prawej stronie - lustro bliskiego zasięgu, klas</w:t>
            </w:r>
            <w:r>
              <w:rPr>
                <w:rFonts w:asciiTheme="majorHAnsi" w:hAnsiTheme="majorHAnsi"/>
                <w:sz w:val="20"/>
                <w:szCs w:val="20"/>
              </w:rPr>
              <w:t>a V, podgrzewane, umieszczone z </w:t>
            </w:r>
            <w:r w:rsidRPr="00F05CE9">
              <w:rPr>
                <w:rFonts w:asciiTheme="majorHAnsi" w:hAnsiTheme="majorHAnsi"/>
                <w:sz w:val="20"/>
                <w:szCs w:val="20"/>
              </w:rPr>
              <w:t>prawym lustrem zewnętrznym, ste</w:t>
            </w:r>
            <w:r>
              <w:rPr>
                <w:rFonts w:asciiTheme="majorHAnsi" w:hAnsiTheme="majorHAnsi"/>
                <w:sz w:val="20"/>
                <w:szCs w:val="20"/>
              </w:rPr>
              <w:t>rowane elektrycznie z </w:t>
            </w:r>
            <w:r w:rsidRPr="00F05CE9">
              <w:rPr>
                <w:rFonts w:asciiTheme="majorHAnsi" w:hAnsiTheme="majorHAnsi"/>
                <w:sz w:val="20"/>
                <w:szCs w:val="20"/>
              </w:rPr>
              <w:t>miejsca kierowcy.</w:t>
            </w:r>
          </w:p>
          <w:p w14:paraId="42848D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4.2.3.</w:t>
            </w:r>
            <w:r w:rsidRPr="00F05CE9">
              <w:rPr>
                <w:rFonts w:asciiTheme="majorHAnsi" w:hAnsiTheme="majorHAnsi"/>
                <w:sz w:val="20"/>
                <w:szCs w:val="20"/>
              </w:rPr>
              <w:tab/>
              <w:t>Lusterko wewnętrzne służące do obserwacji przestrzeni pasażerskiej min.1 szt. umieszczone możliwie blisko osi wzdłużnej pojazdu.</w:t>
            </w:r>
          </w:p>
          <w:p w14:paraId="5270EE8C" w14:textId="026E2E29"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4.2.4.</w:t>
            </w:r>
            <w:r w:rsidRPr="00F05CE9">
              <w:rPr>
                <w:rFonts w:asciiTheme="majorHAnsi" w:hAnsiTheme="majorHAnsi"/>
                <w:sz w:val="20"/>
                <w:szCs w:val="20"/>
              </w:rPr>
              <w:tab/>
              <w:t>Wewnętrzne lusterka</w:t>
            </w:r>
            <w:r>
              <w:rPr>
                <w:rFonts w:asciiTheme="majorHAnsi" w:hAnsiTheme="majorHAnsi"/>
                <w:sz w:val="20"/>
                <w:szCs w:val="20"/>
              </w:rPr>
              <w:t xml:space="preserve"> zwrotne nad drzwiami drugimi i </w:t>
            </w:r>
            <w:r w:rsidRPr="00F05CE9">
              <w:rPr>
                <w:rFonts w:asciiTheme="majorHAnsi" w:hAnsiTheme="majorHAnsi"/>
                <w:sz w:val="20"/>
                <w:szCs w:val="20"/>
              </w:rPr>
              <w:t>trzecimi ułatwiające obserwację strefy drzwi w przypadku awarii systemu wizyjnego monitorowania strefy drzwi.</w:t>
            </w:r>
          </w:p>
        </w:tc>
        <w:tc>
          <w:tcPr>
            <w:tcW w:w="3114" w:type="dxa"/>
          </w:tcPr>
          <w:p w14:paraId="48A279E6"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7470EA71" w14:textId="0CAECF29" w:rsidTr="004C6210">
        <w:tblPrEx>
          <w:jc w:val="left"/>
        </w:tblPrEx>
        <w:tc>
          <w:tcPr>
            <w:tcW w:w="575" w:type="dxa"/>
            <w:gridSpan w:val="2"/>
          </w:tcPr>
          <w:p w14:paraId="3DB79E0F" w14:textId="5523DBC9"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4.3.</w:t>
            </w:r>
          </w:p>
        </w:tc>
        <w:tc>
          <w:tcPr>
            <w:tcW w:w="1692" w:type="dxa"/>
          </w:tcPr>
          <w:p w14:paraId="48378056" w14:textId="73ADC9A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Drzwi pasażerskie.</w:t>
            </w:r>
          </w:p>
        </w:tc>
        <w:tc>
          <w:tcPr>
            <w:tcW w:w="3684" w:type="dxa"/>
          </w:tcPr>
          <w:p w14:paraId="5A4963B4" w14:textId="532A2D5C"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4.3.1.</w:t>
            </w:r>
            <w:r w:rsidRPr="00800739">
              <w:rPr>
                <w:rFonts w:asciiTheme="majorHAnsi" w:hAnsiTheme="majorHAnsi"/>
                <w:sz w:val="20"/>
                <w:szCs w:val="20"/>
              </w:rPr>
              <w:tab/>
              <w:t>Wszystkie drzwi o szerokości min. 1200mm otwierane do wewnątrz.</w:t>
            </w:r>
          </w:p>
          <w:p w14:paraId="61DB333C" w14:textId="6BEA5563"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4.3.2.</w:t>
            </w:r>
            <w:r w:rsidRPr="00F05CE9">
              <w:rPr>
                <w:rFonts w:asciiTheme="majorHAnsi" w:hAnsiTheme="majorHAnsi"/>
                <w:sz w:val="20"/>
                <w:szCs w:val="20"/>
              </w:rPr>
              <w:tab/>
              <w:t>Co najmniej przednie skrzydło pierwszych drzwi wyposażone w zamek zamykany i ot</w:t>
            </w:r>
            <w:r>
              <w:rPr>
                <w:rFonts w:asciiTheme="majorHAnsi" w:hAnsiTheme="majorHAnsi"/>
                <w:sz w:val="20"/>
                <w:szCs w:val="20"/>
              </w:rPr>
              <w:t>wierany indywidualnym kluczem z </w:t>
            </w:r>
            <w:r w:rsidRPr="00F05CE9">
              <w:rPr>
                <w:rFonts w:asciiTheme="majorHAnsi" w:hAnsiTheme="majorHAnsi"/>
                <w:sz w:val="20"/>
                <w:szCs w:val="20"/>
              </w:rPr>
              <w:t>zewnątrz autobusu, pozostałe skrzydła drzwi ryglowane od wewnątrz jednym kluczem typu kwadrat wewnętrzny 8mm.</w:t>
            </w:r>
          </w:p>
          <w:p w14:paraId="31496FA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4.3.3.</w:t>
            </w:r>
            <w:r w:rsidRPr="00F05CE9">
              <w:rPr>
                <w:rFonts w:asciiTheme="majorHAnsi" w:hAnsiTheme="majorHAnsi"/>
                <w:sz w:val="20"/>
                <w:szCs w:val="20"/>
              </w:rPr>
              <w:tab/>
              <w:t>Drzwi pierwsze z szybą ogrzewaną elektrycznie lub szyby podwójne zabezpieczone przed parowaniem.</w:t>
            </w:r>
          </w:p>
          <w:p w14:paraId="12373B68" w14:textId="4133813C"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t>4.3.4.</w:t>
            </w:r>
            <w:r w:rsidRPr="00800739">
              <w:rPr>
                <w:rFonts w:asciiTheme="majorHAnsi" w:hAnsiTheme="majorHAnsi"/>
                <w:sz w:val="20"/>
                <w:szCs w:val="20"/>
              </w:rPr>
              <w:tab/>
              <w:t>Szyby w drzwiach  drugich i trzecich wklejane ze szkła bezpiecznego.</w:t>
            </w:r>
          </w:p>
          <w:p w14:paraId="144349BF" w14:textId="6B4AE00D"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4.3.5.</w:t>
            </w:r>
            <w:r w:rsidRPr="00F05CE9">
              <w:rPr>
                <w:rFonts w:asciiTheme="majorHAnsi" w:hAnsiTheme="majorHAnsi"/>
                <w:sz w:val="20"/>
                <w:szCs w:val="20"/>
              </w:rPr>
              <w:tab/>
              <w:t xml:space="preserve">Każde drzwi wyposażone </w:t>
            </w:r>
            <w:r w:rsidR="00FE78D4">
              <w:rPr>
                <w:rFonts w:asciiTheme="majorHAnsi" w:hAnsiTheme="majorHAnsi"/>
                <w:sz w:val="20"/>
                <w:szCs w:val="20"/>
              </w:rPr>
              <w:br/>
            </w:r>
            <w:r w:rsidRPr="00F05CE9">
              <w:rPr>
                <w:rFonts w:asciiTheme="majorHAnsi" w:hAnsiTheme="majorHAnsi"/>
                <w:sz w:val="20"/>
                <w:szCs w:val="20"/>
              </w:rPr>
              <w:t xml:space="preserve">w oświetlenie obszaru wejścia/wyjścia włączane automatycznie </w:t>
            </w:r>
            <w:r>
              <w:rPr>
                <w:rFonts w:asciiTheme="majorHAnsi" w:hAnsiTheme="majorHAnsi"/>
                <w:sz w:val="20"/>
                <w:szCs w:val="20"/>
              </w:rPr>
              <w:t xml:space="preserve">w </w:t>
            </w:r>
            <w:r w:rsidRPr="00F05CE9">
              <w:rPr>
                <w:rFonts w:asciiTheme="majorHAnsi" w:hAnsiTheme="majorHAnsi"/>
                <w:sz w:val="20"/>
                <w:szCs w:val="20"/>
              </w:rPr>
              <w:t xml:space="preserve">momencie otwarcia drzwi i świecące </w:t>
            </w:r>
            <w:r w:rsidR="00FE78D4">
              <w:rPr>
                <w:rFonts w:asciiTheme="majorHAnsi" w:hAnsiTheme="majorHAnsi"/>
                <w:sz w:val="20"/>
                <w:szCs w:val="20"/>
              </w:rPr>
              <w:br/>
            </w:r>
            <w:r w:rsidRPr="00F05CE9">
              <w:rPr>
                <w:rFonts w:asciiTheme="majorHAnsi" w:hAnsiTheme="majorHAnsi"/>
                <w:sz w:val="20"/>
                <w:szCs w:val="20"/>
              </w:rPr>
              <w:t xml:space="preserve">w sposób ciągły aż do momentu całkowitego ich </w:t>
            </w:r>
            <w:r>
              <w:rPr>
                <w:rFonts w:asciiTheme="majorHAnsi" w:hAnsiTheme="majorHAnsi"/>
                <w:sz w:val="20"/>
                <w:szCs w:val="20"/>
              </w:rPr>
              <w:t> </w:t>
            </w:r>
            <w:r w:rsidRPr="00F05CE9">
              <w:rPr>
                <w:rFonts w:asciiTheme="majorHAnsi" w:hAnsiTheme="majorHAnsi"/>
                <w:sz w:val="20"/>
                <w:szCs w:val="20"/>
              </w:rPr>
              <w:t>zamknięcia. Punkt świetlny zlokalizowany wewnątrz pojazdu, nad drzwiami w osi pionowej otworu drzwi lub w osi pionowej każdeg</w:t>
            </w:r>
            <w:r>
              <w:rPr>
                <w:rFonts w:asciiTheme="majorHAnsi" w:hAnsiTheme="majorHAnsi"/>
                <w:sz w:val="20"/>
                <w:szCs w:val="20"/>
              </w:rPr>
              <w:t>o ze skrzydeł drzwi oddzielnie.</w:t>
            </w:r>
          </w:p>
        </w:tc>
        <w:tc>
          <w:tcPr>
            <w:tcW w:w="3114" w:type="dxa"/>
          </w:tcPr>
          <w:p w14:paraId="294E0FCB"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5C61CC11" w14:textId="17D29DA3" w:rsidTr="004C6210">
        <w:tblPrEx>
          <w:jc w:val="left"/>
        </w:tblPrEx>
        <w:tc>
          <w:tcPr>
            <w:tcW w:w="575" w:type="dxa"/>
            <w:gridSpan w:val="2"/>
          </w:tcPr>
          <w:p w14:paraId="57FBA35F" w14:textId="2B69D2F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4.4.</w:t>
            </w:r>
          </w:p>
        </w:tc>
        <w:tc>
          <w:tcPr>
            <w:tcW w:w="1692" w:type="dxa"/>
          </w:tcPr>
          <w:p w14:paraId="6BB74DB9" w14:textId="48AD5507"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Sterowanie drzwiami pasażerskimi.</w:t>
            </w:r>
          </w:p>
        </w:tc>
        <w:tc>
          <w:tcPr>
            <w:tcW w:w="3684" w:type="dxa"/>
          </w:tcPr>
          <w:p w14:paraId="05036198" w14:textId="07AA6201"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4.4.1.</w:t>
            </w:r>
            <w:r w:rsidRPr="00800739">
              <w:rPr>
                <w:rFonts w:asciiTheme="majorHAnsi" w:hAnsiTheme="majorHAnsi"/>
                <w:sz w:val="20"/>
                <w:szCs w:val="20"/>
              </w:rPr>
              <w:tab/>
              <w:t>Otwarcie drzwi musi skutkować włączeniem hamulca przystankowego.</w:t>
            </w:r>
          </w:p>
          <w:p w14:paraId="6832C6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4.4.2.</w:t>
            </w:r>
            <w:r w:rsidRPr="00F05CE9">
              <w:rPr>
                <w:rFonts w:asciiTheme="majorHAnsi" w:hAnsiTheme="majorHAnsi"/>
                <w:sz w:val="20"/>
                <w:szCs w:val="20"/>
              </w:rPr>
              <w:tab/>
              <w:t>Autobus musi posiadać zabezpieczony przed przypadkowym użyciem przełącznik w kabinie kierowcy lub przełącznik na tablicy elektrotechnicznej opisanej w pkt 5.1.5 umożliwiający zjazd awaryjny z otwartymi drzwiami.</w:t>
            </w:r>
          </w:p>
          <w:p w14:paraId="7EF870C1" w14:textId="5B212F0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4.4.3.</w:t>
            </w:r>
            <w:r w:rsidRPr="00F05CE9">
              <w:rPr>
                <w:rFonts w:asciiTheme="majorHAnsi" w:hAnsiTheme="majorHAnsi"/>
                <w:sz w:val="20"/>
                <w:szCs w:val="20"/>
              </w:rPr>
              <w:tab/>
              <w:t>Drzwi muszą być wyposażone w działający wyłącznie podczas ich zamykania system auto</w:t>
            </w:r>
            <w:r>
              <w:rPr>
                <w:rFonts w:asciiTheme="majorHAnsi" w:hAnsiTheme="majorHAnsi"/>
                <w:sz w:val="20"/>
                <w:szCs w:val="20"/>
              </w:rPr>
              <w:t>matycznego ponownego otwarcia w </w:t>
            </w:r>
            <w:r w:rsidRPr="00F05CE9">
              <w:rPr>
                <w:rFonts w:asciiTheme="majorHAnsi" w:hAnsiTheme="majorHAnsi"/>
                <w:sz w:val="20"/>
                <w:szCs w:val="20"/>
              </w:rPr>
              <w:t>przypadku pojawienia się w płaszczyźnie otworu drzwi pasażera lub innego obiektu w postaci np. bagażu itp.</w:t>
            </w:r>
          </w:p>
          <w:p w14:paraId="1C0A9247" w14:textId="68397C0C"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4.4.4.</w:t>
            </w:r>
            <w:r w:rsidRPr="00F05CE9">
              <w:rPr>
                <w:rFonts w:asciiTheme="majorHAnsi" w:hAnsiTheme="majorHAnsi"/>
                <w:sz w:val="20"/>
                <w:szCs w:val="20"/>
              </w:rPr>
              <w:tab/>
              <w:t xml:space="preserve">Przy każdych drzwiach urządzenie sterujące awaryjnym otwieraniem drzwi wewnątrz </w:t>
            </w:r>
            <w:r w:rsidR="00FE78D4">
              <w:rPr>
                <w:rFonts w:asciiTheme="majorHAnsi" w:hAnsiTheme="majorHAnsi"/>
                <w:sz w:val="20"/>
                <w:szCs w:val="20"/>
              </w:rPr>
              <w:br/>
            </w:r>
            <w:r w:rsidRPr="00F05CE9">
              <w:rPr>
                <w:rFonts w:asciiTheme="majorHAnsi" w:hAnsiTheme="majorHAnsi"/>
                <w:sz w:val="20"/>
                <w:szCs w:val="20"/>
              </w:rPr>
              <w:t>i na zewnątrz pojazdu zabezpieczone przed przypadkowym użyciem. Zabezpieczenie powinno być łatwo usuwalne w celu uzyskania dostępu do urządzenia sterującego bez konieczności stosowania jakichkolwiek narzędzi.</w:t>
            </w:r>
          </w:p>
          <w:p w14:paraId="2D73F130" w14:textId="00DD25A7"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t>4.4.5.</w:t>
            </w:r>
            <w:r w:rsidRPr="00800739">
              <w:rPr>
                <w:rFonts w:asciiTheme="majorHAnsi" w:hAnsiTheme="majorHAnsi"/>
                <w:sz w:val="20"/>
                <w:szCs w:val="20"/>
              </w:rPr>
              <w:tab/>
              <w:t>Blokada awaryjnego otwierania drzwi przy prędkości pojazdu powyżej 3 km/h.</w:t>
            </w:r>
          </w:p>
          <w:p w14:paraId="2C2787FF" w14:textId="77777777"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4.4.6.</w:t>
            </w:r>
            <w:r w:rsidRPr="00F05CE9">
              <w:rPr>
                <w:rFonts w:asciiTheme="majorHAnsi" w:hAnsiTheme="majorHAnsi"/>
                <w:sz w:val="20"/>
                <w:szCs w:val="20"/>
              </w:rPr>
              <w:tab/>
              <w:t>Pojazd wyposażony dodatkowo w system uruchamiający otwieranie drugich oraz trzecich drzwi automatycznie, tzw. "ciepły guzik", spełniający następujące założenia:</w:t>
            </w:r>
          </w:p>
          <w:p w14:paraId="0398FFE8"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a) system może być aktywowany przez kierującego wyłącznie podczas unieruchomienia pojazdu;</w:t>
            </w:r>
          </w:p>
          <w:p w14:paraId="1F9E18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b) system pozwala na uruchomienie funkcji „ciepły guzik” wyłącznie w drugich i trzecich drzwiach autobusu;</w:t>
            </w:r>
          </w:p>
          <w:p w14:paraId="0F21F9E7" w14:textId="3C64E523"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c) po aktywacji systemu „ciepły guzik” aktywny pozostaje system ponownego otwarcia, o którym mowa w pkt. 4.4.</w:t>
            </w:r>
            <w:r w:rsidR="002B5C55">
              <w:rPr>
                <w:rFonts w:asciiTheme="majorHAnsi" w:hAnsiTheme="majorHAnsi"/>
                <w:sz w:val="20"/>
                <w:szCs w:val="20"/>
              </w:rPr>
              <w:t>3</w:t>
            </w:r>
            <w:r w:rsidRPr="00F05CE9">
              <w:rPr>
                <w:rFonts w:asciiTheme="majorHAnsi" w:hAnsiTheme="majorHAnsi"/>
                <w:sz w:val="20"/>
                <w:szCs w:val="20"/>
              </w:rPr>
              <w:t>;</w:t>
            </w:r>
          </w:p>
          <w:p w14:paraId="257CCA5E"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d) automatyczne zamykanie drzwi następuje po upływie 5 sekund od ich pełnego otwarcia;</w:t>
            </w:r>
          </w:p>
          <w:p w14:paraId="3F6C3B82" w14:textId="5A5D0615" w:rsidR="009E7154" w:rsidRPr="00F05CE9" w:rsidRDefault="009E7154" w:rsidP="00F64287">
            <w:pPr>
              <w:spacing w:line="360" w:lineRule="auto"/>
              <w:ind w:left="705"/>
              <w:jc w:val="both"/>
              <w:rPr>
                <w:rFonts w:asciiTheme="majorHAnsi" w:hAnsiTheme="majorHAnsi"/>
                <w:sz w:val="20"/>
                <w:szCs w:val="20"/>
              </w:rPr>
            </w:pPr>
            <w:r w:rsidRPr="00F05CE9">
              <w:rPr>
                <w:rFonts w:asciiTheme="majorHAnsi" w:hAnsiTheme="majorHAnsi"/>
                <w:sz w:val="20"/>
                <w:szCs w:val="20"/>
              </w:rPr>
              <w:t>e) w przypadku uruchomienia procedury przez system opisany w pkt. 4.4.</w:t>
            </w:r>
            <w:r w:rsidR="007E7D72">
              <w:rPr>
                <w:rFonts w:asciiTheme="majorHAnsi" w:hAnsiTheme="majorHAnsi"/>
                <w:sz w:val="20"/>
                <w:szCs w:val="20"/>
              </w:rPr>
              <w:t>3</w:t>
            </w:r>
            <w:r w:rsidRPr="00F05CE9">
              <w:rPr>
                <w:rFonts w:asciiTheme="majorHAnsi" w:hAnsiTheme="majorHAnsi"/>
                <w:sz w:val="20"/>
                <w:szCs w:val="20"/>
              </w:rPr>
              <w:t xml:space="preserve"> automatyczne zamykanie drzwi następuje ponownie po upływie 5 sekund od ich pełnego otwarcia.</w:t>
            </w:r>
          </w:p>
          <w:p w14:paraId="7CA79E51" w14:textId="54D9B737" w:rsidR="009E7154" w:rsidRPr="00F05CE9" w:rsidRDefault="009E7154" w:rsidP="005C7C47">
            <w:pPr>
              <w:spacing w:line="360" w:lineRule="auto"/>
              <w:ind w:left="705" w:hanging="705"/>
              <w:jc w:val="both"/>
              <w:rPr>
                <w:rFonts w:asciiTheme="majorHAnsi" w:hAnsiTheme="majorHAnsi"/>
                <w:sz w:val="20"/>
                <w:szCs w:val="20"/>
              </w:rPr>
            </w:pPr>
            <w:r w:rsidRPr="00F05CE9">
              <w:rPr>
                <w:rFonts w:asciiTheme="majorHAnsi" w:hAnsiTheme="majorHAnsi"/>
                <w:sz w:val="20"/>
                <w:szCs w:val="20"/>
              </w:rPr>
              <w:t>4.4.7.</w:t>
            </w:r>
            <w:r w:rsidRPr="00F05CE9">
              <w:rPr>
                <w:rFonts w:asciiTheme="majorHAnsi" w:hAnsiTheme="majorHAnsi"/>
                <w:sz w:val="20"/>
                <w:szCs w:val="20"/>
              </w:rPr>
              <w:tab/>
              <w:t>Sygnał akustyczny ostrzega</w:t>
            </w:r>
            <w:r>
              <w:rPr>
                <w:rFonts w:asciiTheme="majorHAnsi" w:hAnsiTheme="majorHAnsi"/>
                <w:sz w:val="20"/>
                <w:szCs w:val="20"/>
              </w:rPr>
              <w:t>wczy umieszczony przy drugich i </w:t>
            </w:r>
            <w:r w:rsidRPr="00F05CE9">
              <w:rPr>
                <w:rFonts w:asciiTheme="majorHAnsi" w:hAnsiTheme="majorHAnsi"/>
                <w:sz w:val="20"/>
                <w:szCs w:val="20"/>
              </w:rPr>
              <w:t>trzecich drzwiach sygnalizujący w sposób automatyczny zamykanie drzwi na 1-3 sekundy przed rozpoczęciem zamykania.</w:t>
            </w:r>
          </w:p>
          <w:p w14:paraId="457180B6" w14:textId="771E80A0"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4.4.8.</w:t>
            </w:r>
            <w:r w:rsidRPr="00F05CE9">
              <w:rPr>
                <w:rFonts w:asciiTheme="majorHAnsi" w:hAnsiTheme="majorHAnsi"/>
                <w:sz w:val="20"/>
                <w:szCs w:val="20"/>
              </w:rPr>
              <w:tab/>
              <w:t xml:space="preserve">Przyciski „STOP" zw. „na żądanie” sterujące </w:t>
            </w:r>
            <w:r w:rsidR="00FE78D4">
              <w:rPr>
                <w:rFonts w:asciiTheme="majorHAnsi" w:hAnsiTheme="majorHAnsi"/>
                <w:sz w:val="20"/>
                <w:szCs w:val="20"/>
              </w:rPr>
              <w:br/>
            </w:r>
            <w:r w:rsidRPr="00F05CE9">
              <w:rPr>
                <w:rFonts w:asciiTheme="majorHAnsi" w:hAnsiTheme="majorHAnsi"/>
                <w:sz w:val="20"/>
                <w:szCs w:val="20"/>
              </w:rPr>
              <w:t>i sygnalizuj</w:t>
            </w:r>
            <w:r>
              <w:rPr>
                <w:rFonts w:asciiTheme="majorHAnsi" w:hAnsiTheme="majorHAnsi"/>
                <w:sz w:val="20"/>
                <w:szCs w:val="20"/>
              </w:rPr>
              <w:t>ące w </w:t>
            </w:r>
            <w:r w:rsidRPr="00F05CE9">
              <w:rPr>
                <w:rFonts w:asciiTheme="majorHAnsi" w:hAnsiTheme="majorHAnsi"/>
                <w:sz w:val="20"/>
                <w:szCs w:val="20"/>
              </w:rPr>
              <w:t xml:space="preserve">przestrzeni pasażerskiej wewnątrz pojazdów muszą spełniać następujące warunki: </w:t>
            </w:r>
          </w:p>
          <w:p w14:paraId="36A78F8A" w14:textId="77777777" w:rsidR="00B24794"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a) typ przycisku: elektroniczny o </w:t>
            </w:r>
            <w:r w:rsidR="00B24794">
              <w:rPr>
                <w:rFonts w:asciiTheme="majorHAnsi" w:hAnsiTheme="majorHAnsi"/>
                <w:sz w:val="20"/>
                <w:szCs w:val="20"/>
              </w:rPr>
              <w:t xml:space="preserve">   </w:t>
            </w:r>
          </w:p>
          <w:p w14:paraId="2E63A68D" w14:textId="287F4C8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wyczuwalnym skoku;</w:t>
            </w:r>
          </w:p>
          <w:p w14:paraId="3FF9404C" w14:textId="2BA577F5"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b) kolor obudowy przycisku: </w:t>
            </w:r>
            <w:r w:rsidR="00B24794">
              <w:rPr>
                <w:rFonts w:asciiTheme="majorHAnsi" w:hAnsiTheme="majorHAnsi"/>
                <w:sz w:val="20"/>
                <w:szCs w:val="20"/>
              </w:rPr>
              <w:br/>
            </w:r>
            <w:r w:rsidRPr="00F05CE9">
              <w:rPr>
                <w:rFonts w:asciiTheme="majorHAnsi" w:hAnsiTheme="majorHAnsi"/>
                <w:sz w:val="20"/>
                <w:szCs w:val="20"/>
              </w:rPr>
              <w:t>czerwony;</w:t>
            </w:r>
            <w:r w:rsidR="00B24794">
              <w:rPr>
                <w:rFonts w:asciiTheme="majorHAnsi" w:hAnsiTheme="majorHAnsi"/>
                <w:sz w:val="20"/>
                <w:szCs w:val="20"/>
              </w:rPr>
              <w:t xml:space="preserve">       </w:t>
            </w:r>
          </w:p>
          <w:p w14:paraId="58246B9D"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c) kolor przycisku: czerwony;</w:t>
            </w:r>
          </w:p>
          <w:p w14:paraId="0841553C"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d) napis umieszczony na przycisku: „STOP";</w:t>
            </w:r>
          </w:p>
          <w:p w14:paraId="4D6F8130" w14:textId="110B3C8C"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e) dodatkowy napis umieszczony na obudowie przycisku lub na samym przycisku o treści „STOP" </w:t>
            </w:r>
            <w:r w:rsidR="00FE78D4">
              <w:rPr>
                <w:rFonts w:asciiTheme="majorHAnsi" w:hAnsiTheme="majorHAnsi"/>
                <w:sz w:val="20"/>
                <w:szCs w:val="20"/>
              </w:rPr>
              <w:br/>
            </w:r>
            <w:r w:rsidRPr="00F05CE9">
              <w:rPr>
                <w:rFonts w:asciiTheme="majorHAnsi" w:hAnsiTheme="majorHAnsi"/>
                <w:sz w:val="20"/>
                <w:szCs w:val="20"/>
              </w:rPr>
              <w:t>w alfabecie Braille'a;</w:t>
            </w:r>
          </w:p>
          <w:p w14:paraId="49BBF6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f) przyciski muszą być rozmieszczone równomiernie na całej długości przestrzeni pasażerskiej oraz zlokalizowane na poręczach oraz innych łatwo dostępnych powierzchniach (np. na zabudowie kabiny kierowcy);</w:t>
            </w:r>
          </w:p>
          <w:p w14:paraId="4AEFC4C3" w14:textId="267C7E6F"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g) naciśnięcie przycisku musi być sygnalizowane </w:t>
            </w:r>
            <w:r w:rsidR="00FE78D4">
              <w:rPr>
                <w:rFonts w:asciiTheme="majorHAnsi" w:hAnsiTheme="majorHAnsi"/>
                <w:sz w:val="20"/>
                <w:szCs w:val="20"/>
              </w:rPr>
              <w:br/>
            </w:r>
            <w:r w:rsidRPr="00F05CE9">
              <w:rPr>
                <w:rFonts w:asciiTheme="majorHAnsi" w:hAnsiTheme="majorHAnsi"/>
                <w:sz w:val="20"/>
                <w:szCs w:val="20"/>
              </w:rPr>
              <w:t>w przestrzeni pasażerskiej wyświetleniem na minimum 5 sekund komunikatu „STOP" na co najmniej jednej tablicy wewnętrznej Systemu Informacji Pasażerskiej;</w:t>
            </w:r>
          </w:p>
          <w:p w14:paraId="50C513B7" w14:textId="30D1B975" w:rsidR="009E7154" w:rsidRPr="00F05CE9" w:rsidRDefault="009E7154" w:rsidP="00310988">
            <w:pPr>
              <w:spacing w:line="360" w:lineRule="auto"/>
              <w:ind w:left="705"/>
              <w:jc w:val="both"/>
              <w:rPr>
                <w:rFonts w:asciiTheme="majorHAnsi" w:hAnsiTheme="majorHAnsi"/>
                <w:sz w:val="20"/>
                <w:szCs w:val="20"/>
              </w:rPr>
            </w:pPr>
            <w:r w:rsidRPr="00F05CE9">
              <w:rPr>
                <w:rFonts w:asciiTheme="majorHAnsi" w:hAnsiTheme="majorHAnsi"/>
                <w:sz w:val="20"/>
                <w:szCs w:val="20"/>
              </w:rPr>
              <w:t xml:space="preserve">h) naciśnięcie przycisku musi być zasygnalizowane na pulpicie kierowcy w postaci kontrolki w kolorze żółtym </w:t>
            </w:r>
            <w:r>
              <w:rPr>
                <w:rFonts w:asciiTheme="majorHAnsi" w:hAnsiTheme="majorHAnsi"/>
                <w:sz w:val="20"/>
                <w:szCs w:val="20"/>
              </w:rPr>
              <w:t xml:space="preserve">do chwili otwarcia drzwi </w:t>
            </w:r>
            <w:r w:rsidRPr="00F05CE9">
              <w:rPr>
                <w:rFonts w:asciiTheme="majorHAnsi" w:hAnsiTheme="majorHAnsi"/>
                <w:sz w:val="20"/>
                <w:szCs w:val="20"/>
              </w:rPr>
              <w:t>i w postaci sygnalizacji akustycznej przez 1 sekundę oraz przesłanie informacji o jego użyciu do Systemu Informacji Pasażerskiej. Zamawiający dopuszcza wysyłanie tych danych za pośrednictwem szyny CAN.</w:t>
            </w:r>
          </w:p>
          <w:p w14:paraId="33923138" w14:textId="7777777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4.4.9.</w:t>
            </w:r>
            <w:r w:rsidRPr="00F05CE9">
              <w:rPr>
                <w:rFonts w:asciiTheme="majorHAnsi" w:hAnsiTheme="majorHAnsi"/>
                <w:sz w:val="20"/>
                <w:szCs w:val="20"/>
              </w:rPr>
              <w:tab/>
              <w:t>Przyciski otwierania drzwi:</w:t>
            </w:r>
          </w:p>
          <w:p w14:paraId="0A76EDBD"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a) przycisk służący do otwierania drzwi przez pasażerów musi otwierać wyłącznie te drzwi, przy których został umieszczony;</w:t>
            </w:r>
          </w:p>
          <w:p w14:paraId="0F8B2E93" w14:textId="72041564"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b) użycie przez pasażera przycisku umieszczonego wewnątrz pojazdu realizuje funkcję przycisku „STOP” opisaną w pkt 4.4.</w:t>
            </w:r>
            <w:r w:rsidR="00B24794">
              <w:rPr>
                <w:rFonts w:asciiTheme="majorHAnsi" w:hAnsiTheme="majorHAnsi"/>
                <w:sz w:val="20"/>
                <w:szCs w:val="20"/>
              </w:rPr>
              <w:t>8</w:t>
            </w:r>
            <w:r w:rsidRPr="00F05CE9">
              <w:rPr>
                <w:rFonts w:asciiTheme="majorHAnsi" w:hAnsiTheme="majorHAnsi"/>
                <w:sz w:val="20"/>
                <w:szCs w:val="20"/>
              </w:rPr>
              <w:t xml:space="preserve"> lit. g;</w:t>
            </w:r>
          </w:p>
          <w:p w14:paraId="698678BE" w14:textId="44CDCE9F"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naciśnięcie przycisku przez pasażera przed zatrzymaniem się autobusu musi skutkować automatycznym otwarciem </w:t>
            </w:r>
            <w:r w:rsidR="00216C58">
              <w:rPr>
                <w:rFonts w:asciiTheme="majorHAnsi" w:hAnsiTheme="majorHAnsi"/>
                <w:sz w:val="20"/>
                <w:szCs w:val="20"/>
              </w:rPr>
              <w:t xml:space="preserve">tych </w:t>
            </w:r>
            <w:r w:rsidRPr="00F05CE9">
              <w:rPr>
                <w:rFonts w:asciiTheme="majorHAnsi" w:hAnsiTheme="majorHAnsi"/>
                <w:sz w:val="20"/>
                <w:szCs w:val="20"/>
              </w:rPr>
              <w:t xml:space="preserve">drzwi </w:t>
            </w:r>
            <w:r w:rsidR="00216C58">
              <w:rPr>
                <w:rFonts w:asciiTheme="majorHAnsi" w:hAnsiTheme="majorHAnsi"/>
                <w:sz w:val="20"/>
                <w:szCs w:val="20"/>
              </w:rPr>
              <w:t xml:space="preserve">po zatrzymaniu pojazdu </w:t>
            </w:r>
            <w:r w:rsidR="00FE78D4">
              <w:rPr>
                <w:rFonts w:asciiTheme="majorHAnsi" w:hAnsiTheme="majorHAnsi"/>
                <w:sz w:val="20"/>
                <w:szCs w:val="20"/>
              </w:rPr>
              <w:br/>
            </w:r>
            <w:r w:rsidR="00216C58">
              <w:rPr>
                <w:rFonts w:asciiTheme="majorHAnsi" w:hAnsiTheme="majorHAnsi"/>
                <w:sz w:val="20"/>
                <w:szCs w:val="20"/>
              </w:rPr>
              <w:t>i otwarciu którychkolwiek drzwi przez kierowcę</w:t>
            </w:r>
            <w:r w:rsidRPr="00F05CE9">
              <w:rPr>
                <w:rFonts w:asciiTheme="majorHAnsi" w:hAnsiTheme="majorHAnsi"/>
                <w:sz w:val="20"/>
                <w:szCs w:val="20"/>
              </w:rPr>
              <w:t>;</w:t>
            </w:r>
          </w:p>
          <w:p w14:paraId="0E1306B1"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typ przycisku: elektroniczny o </w:t>
            </w:r>
          </w:p>
          <w:p w14:paraId="66D30BD4" w14:textId="5EE4E43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wyczuwalnym skoku;</w:t>
            </w:r>
          </w:p>
          <w:p w14:paraId="5F23D91B"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kolor obudowy przycisku: </w:t>
            </w:r>
          </w:p>
          <w:p w14:paraId="4979B90E" w14:textId="0AF4747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żółty;</w:t>
            </w:r>
          </w:p>
          <w:p w14:paraId="5DBD1D49"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f) kolor przycisku: zielony;</w:t>
            </w:r>
          </w:p>
          <w:p w14:paraId="5597227B" w14:textId="15963DCE"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g) napis umieszczony na przycisku lub podświetlanej obudowie przycisku otwierania drzwi</w:t>
            </w:r>
            <w:r>
              <w:rPr>
                <w:rFonts w:asciiTheme="majorHAnsi" w:hAnsiTheme="majorHAnsi"/>
                <w:sz w:val="20"/>
                <w:szCs w:val="20"/>
              </w:rPr>
              <w:t xml:space="preserve"> </w:t>
            </w:r>
            <w:r w:rsidRPr="00F05CE9">
              <w:rPr>
                <w:rFonts w:asciiTheme="majorHAnsi" w:hAnsiTheme="majorHAnsi"/>
                <w:sz w:val="20"/>
                <w:szCs w:val="20"/>
              </w:rPr>
              <w:t xml:space="preserve">o treści „DRZWI" i/lub „&lt;&gt;” i/lub piktogram symbolizujący otwieranie drzwi; </w:t>
            </w:r>
          </w:p>
          <w:p w14:paraId="41BACBCA" w14:textId="3FCDD6F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h) dodatkowo napis umieszczony na obudowie przycisku lub na samym przycisku: „DRZWI" w alfabecie Braille'a lub wypukły piktogram w formie dwóch przeciwbieżnie skierowanych strzałek „&lt;&gt;”; </w:t>
            </w:r>
          </w:p>
          <w:p w14:paraId="3628DAB3" w14:textId="4D7B7F6B"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i) przycisk wyposażony </w:t>
            </w:r>
            <w:r w:rsidR="00FE78D4">
              <w:rPr>
                <w:rFonts w:asciiTheme="majorHAnsi" w:hAnsiTheme="majorHAnsi"/>
                <w:sz w:val="20"/>
                <w:szCs w:val="20"/>
              </w:rPr>
              <w:br/>
            </w:r>
            <w:r w:rsidRPr="00F05CE9">
              <w:rPr>
                <w:rFonts w:asciiTheme="majorHAnsi" w:hAnsiTheme="majorHAnsi"/>
                <w:sz w:val="20"/>
                <w:szCs w:val="20"/>
              </w:rPr>
              <w:t>w podświetlenie dwukolorowe informujące o jednej z dwóch funkcji realizowanych przez przycisk:</w:t>
            </w:r>
          </w:p>
          <w:p w14:paraId="585AE875" w14:textId="6EB5BF5F" w:rsidR="009E7154" w:rsidRPr="00F05CE9" w:rsidRDefault="009E7154" w:rsidP="00F64287">
            <w:pPr>
              <w:pStyle w:val="Akapitzlist"/>
              <w:numPr>
                <w:ilvl w:val="0"/>
                <w:numId w:val="6"/>
              </w:numPr>
              <w:spacing w:after="0" w:line="360" w:lineRule="auto"/>
              <w:ind w:left="1134"/>
              <w:jc w:val="both"/>
              <w:rPr>
                <w:rFonts w:asciiTheme="majorHAnsi" w:hAnsiTheme="majorHAnsi"/>
                <w:sz w:val="20"/>
                <w:szCs w:val="20"/>
              </w:rPr>
            </w:pPr>
            <w:r w:rsidRPr="00F05CE9">
              <w:rPr>
                <w:rFonts w:asciiTheme="majorHAnsi" w:hAnsiTheme="majorHAnsi"/>
                <w:sz w:val="20"/>
                <w:szCs w:val="20"/>
              </w:rPr>
              <w:t xml:space="preserve">pierwsza funkcja to informacja o aktywacji przez kierującego systemu samodzielnego otwierania drzwi przez pasażerów sygnalizowana podświetleniem ciągłym </w:t>
            </w:r>
            <w:r w:rsidR="00FE78D4">
              <w:rPr>
                <w:rFonts w:asciiTheme="majorHAnsi" w:hAnsiTheme="majorHAnsi"/>
                <w:sz w:val="20"/>
                <w:szCs w:val="20"/>
              </w:rPr>
              <w:br/>
            </w:r>
            <w:r w:rsidRPr="00F05CE9">
              <w:rPr>
                <w:rFonts w:asciiTheme="majorHAnsi" w:hAnsiTheme="majorHAnsi"/>
                <w:sz w:val="20"/>
                <w:szCs w:val="20"/>
              </w:rPr>
              <w:t>w kolorze zielonym;</w:t>
            </w:r>
          </w:p>
          <w:p w14:paraId="0C8E6130" w14:textId="4C72E486" w:rsidR="009E7154" w:rsidRPr="005C7C47" w:rsidRDefault="009E7154" w:rsidP="00CF095F">
            <w:pPr>
              <w:pStyle w:val="Akapitzlist"/>
              <w:numPr>
                <w:ilvl w:val="0"/>
                <w:numId w:val="6"/>
              </w:numPr>
              <w:spacing w:after="0" w:line="360" w:lineRule="auto"/>
              <w:ind w:left="1134"/>
              <w:jc w:val="both"/>
              <w:rPr>
                <w:rFonts w:asciiTheme="majorHAnsi" w:hAnsiTheme="majorHAnsi"/>
                <w:sz w:val="20"/>
                <w:szCs w:val="20"/>
              </w:rPr>
            </w:pPr>
            <w:r w:rsidRPr="005C7C47">
              <w:rPr>
                <w:rFonts w:asciiTheme="majorHAnsi" w:hAnsiTheme="majorHAnsi"/>
                <w:sz w:val="20"/>
                <w:szCs w:val="20"/>
              </w:rPr>
              <w:t>druga funkcja to informacja o aktywowanym przez pasażera wewnątrz pojazdu systemie otwierania drzwi określonym w pkt 4.4.</w:t>
            </w:r>
            <w:r w:rsidR="00216C58">
              <w:rPr>
                <w:rFonts w:asciiTheme="majorHAnsi" w:hAnsiTheme="majorHAnsi"/>
                <w:sz w:val="20"/>
                <w:szCs w:val="20"/>
              </w:rPr>
              <w:t>9</w:t>
            </w:r>
            <w:r w:rsidRPr="005C7C47">
              <w:rPr>
                <w:rFonts w:asciiTheme="majorHAnsi" w:hAnsiTheme="majorHAnsi"/>
                <w:sz w:val="20"/>
                <w:szCs w:val="20"/>
              </w:rPr>
              <w:t xml:space="preserve"> lit. c, sygnalizowana podświetleniem ciągłym </w:t>
            </w:r>
            <w:r w:rsidR="00FE78D4">
              <w:rPr>
                <w:rFonts w:asciiTheme="majorHAnsi" w:hAnsiTheme="majorHAnsi"/>
                <w:sz w:val="20"/>
                <w:szCs w:val="20"/>
              </w:rPr>
              <w:br/>
            </w:r>
            <w:r w:rsidRPr="005C7C47">
              <w:rPr>
                <w:rFonts w:asciiTheme="majorHAnsi" w:hAnsiTheme="majorHAnsi"/>
                <w:sz w:val="20"/>
                <w:szCs w:val="20"/>
              </w:rPr>
              <w:t>w kolorze czerwonym aż do momentu zatrzymania się autobusu i otwarcia drzwi;</w:t>
            </w:r>
          </w:p>
          <w:p w14:paraId="4D331FE4"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j) przyciski wewnątrz pojazdu muszą być zlokalizowane na poręczach po obu stronach drzwi bezpośrednio przy nich na wysokości nie większej niż 1200 mm od płaszczyzny podłogi. </w:t>
            </w:r>
          </w:p>
          <w:p w14:paraId="3D5B432C" w14:textId="77777777"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W przypadku, gdy ostatnie drzwi w pojeździe znajdują się na zwisie tylnym i po prawej stronie drzwi (patrząc od wewnątrz) nie ma możliwości zamontowania przycisku na poręczy lub innej powierzchni, możliwe jest zamieszczenie przycisku tylko po lewej stronie drzwi.</w:t>
            </w:r>
          </w:p>
          <w:p w14:paraId="712CC48D" w14:textId="3E8253CA"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4.4.10.</w:t>
            </w:r>
            <w:r w:rsidRPr="00F05CE9">
              <w:rPr>
                <w:rFonts w:asciiTheme="majorHAnsi" w:hAnsiTheme="majorHAnsi"/>
                <w:sz w:val="20"/>
                <w:szCs w:val="20"/>
              </w:rPr>
              <w:tab/>
              <w:t xml:space="preserve">Przyciski sterujące </w:t>
            </w:r>
            <w:r w:rsidR="00E02DB8">
              <w:rPr>
                <w:rFonts w:asciiTheme="majorHAnsi" w:hAnsiTheme="majorHAnsi"/>
                <w:sz w:val="20"/>
                <w:szCs w:val="20"/>
              </w:rPr>
              <w:br/>
            </w:r>
            <w:r w:rsidRPr="00F05CE9">
              <w:rPr>
                <w:rFonts w:asciiTheme="majorHAnsi" w:hAnsiTheme="majorHAnsi"/>
                <w:sz w:val="20"/>
                <w:szCs w:val="20"/>
              </w:rPr>
              <w:t>i sygnalizujące na zewnątrz pojazdów:</w:t>
            </w:r>
          </w:p>
          <w:p w14:paraId="0795A933"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typ przycisku: elektroniczny o </w:t>
            </w:r>
          </w:p>
          <w:p w14:paraId="5D7D3FB2" w14:textId="4CFD2793" w:rsidR="009E7154" w:rsidRPr="00F05CE9" w:rsidRDefault="00FE78D4" w:rsidP="00F64287">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wyczuwalnym skoku; </w:t>
            </w:r>
          </w:p>
          <w:p w14:paraId="29016DDA"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kolor przycisku: czerwony; </w:t>
            </w:r>
          </w:p>
          <w:p w14:paraId="36E00409" w14:textId="3FCB9708"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c) kolor obudowy przycisku: </w:t>
            </w:r>
            <w:r w:rsidR="00216C58">
              <w:rPr>
                <w:rFonts w:asciiTheme="majorHAnsi" w:hAnsiTheme="majorHAnsi"/>
                <w:sz w:val="20"/>
                <w:szCs w:val="20"/>
              </w:rPr>
              <w:br/>
            </w:r>
            <w:r w:rsidRPr="00F05CE9">
              <w:rPr>
                <w:rFonts w:asciiTheme="majorHAnsi" w:hAnsiTheme="majorHAnsi"/>
                <w:sz w:val="20"/>
                <w:szCs w:val="20"/>
              </w:rPr>
              <w:t>czerwony;</w:t>
            </w:r>
          </w:p>
          <w:p w14:paraId="4B079DD1"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d) nadruk na przycisku: wypukły piktogram w formie dwóch przeciwbieżnie skierowanych strzałek „&lt;&gt;";</w:t>
            </w:r>
          </w:p>
          <w:p w14:paraId="7E3E3EE0" w14:textId="7980EFB1"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wyposażony </w:t>
            </w:r>
            <w:r w:rsidR="00FE78D4">
              <w:rPr>
                <w:rFonts w:asciiTheme="majorHAnsi" w:hAnsiTheme="majorHAnsi"/>
                <w:sz w:val="20"/>
                <w:szCs w:val="20"/>
              </w:rPr>
              <w:br/>
            </w:r>
            <w:r w:rsidRPr="00F05CE9">
              <w:rPr>
                <w:rFonts w:asciiTheme="majorHAnsi" w:hAnsiTheme="majorHAnsi"/>
                <w:sz w:val="20"/>
                <w:szCs w:val="20"/>
              </w:rPr>
              <w:t>w podświetlenie dwukolorowe. Możliwe podświetlenie samego przycisku lub obwódki wokół przycisku;</w:t>
            </w:r>
          </w:p>
          <w:p w14:paraId="34FF236B" w14:textId="0BEF61A0"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f) podświetlenie ciągłe </w:t>
            </w:r>
            <w:r w:rsidR="00FE78D4">
              <w:rPr>
                <w:rFonts w:asciiTheme="majorHAnsi" w:hAnsiTheme="majorHAnsi"/>
                <w:sz w:val="20"/>
                <w:szCs w:val="20"/>
              </w:rPr>
              <w:br/>
            </w:r>
            <w:r w:rsidRPr="00F05CE9">
              <w:rPr>
                <w:rFonts w:asciiTheme="majorHAnsi" w:hAnsiTheme="majorHAnsi"/>
                <w:sz w:val="20"/>
                <w:szCs w:val="20"/>
              </w:rPr>
              <w:t>w kolorze zielonym od momentu aktywowania przez prowadzącego pojazd systemu samodzielnego otwierania drzwi przez pasażerów aż do momentu dezaktywacji tego systemu;</w:t>
            </w:r>
          </w:p>
          <w:p w14:paraId="3AFE8614" w14:textId="605AE3BC"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g) podświetlenie kró</w:t>
            </w:r>
            <w:r>
              <w:rPr>
                <w:rFonts w:asciiTheme="majorHAnsi" w:hAnsiTheme="majorHAnsi"/>
                <w:sz w:val="20"/>
                <w:szCs w:val="20"/>
              </w:rPr>
              <w:t>tkotrwałe w kolorze czerwonym w </w:t>
            </w:r>
            <w:r w:rsidRPr="00F05CE9">
              <w:rPr>
                <w:rFonts w:asciiTheme="majorHAnsi" w:hAnsiTheme="majorHAnsi"/>
                <w:sz w:val="20"/>
                <w:szCs w:val="20"/>
              </w:rPr>
              <w:t>momencie naciskania przycisku, jako sygnalizacja naciśnięcia przycisku przez pasażera;</w:t>
            </w:r>
          </w:p>
          <w:p w14:paraId="516A8EAC" w14:textId="16CB2FA4" w:rsidR="009E7154"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h) lokalizacja przycisków </w:t>
            </w:r>
            <w:r w:rsidR="00FE78D4">
              <w:rPr>
                <w:rFonts w:asciiTheme="majorHAnsi" w:hAnsiTheme="majorHAnsi"/>
                <w:sz w:val="20"/>
                <w:szCs w:val="20"/>
              </w:rPr>
              <w:br/>
            </w:r>
            <w:r w:rsidRPr="00F05CE9">
              <w:rPr>
                <w:rFonts w:asciiTheme="majorHAnsi" w:hAnsiTheme="majorHAnsi"/>
                <w:sz w:val="20"/>
                <w:szCs w:val="20"/>
              </w:rPr>
              <w:t>z boków drzwi przy każdym skrzydle na wysokości ok. 1100 +/-150mm od płaszczyzny jezdni.</w:t>
            </w:r>
          </w:p>
          <w:p w14:paraId="51245B77" w14:textId="77777777" w:rsidR="009E7154" w:rsidRPr="00800739" w:rsidRDefault="009E7154" w:rsidP="00800739">
            <w:pPr>
              <w:spacing w:after="0" w:line="360" w:lineRule="auto"/>
              <w:jc w:val="both"/>
              <w:rPr>
                <w:rFonts w:asciiTheme="majorHAnsi" w:hAnsiTheme="majorHAnsi"/>
                <w:sz w:val="20"/>
                <w:szCs w:val="20"/>
              </w:rPr>
            </w:pPr>
            <w:r w:rsidRPr="00800739">
              <w:rPr>
                <w:rFonts w:asciiTheme="majorHAnsi" w:hAnsiTheme="majorHAnsi"/>
                <w:sz w:val="20"/>
                <w:szCs w:val="20"/>
              </w:rPr>
              <w:t xml:space="preserve">4.4.11. Przyciski sterujące drzwiami pasażerskimi umieszone na </w:t>
            </w:r>
          </w:p>
          <w:p w14:paraId="74972469" w14:textId="7AD5D764" w:rsidR="009E7154" w:rsidRDefault="009E7154" w:rsidP="00800739">
            <w:pPr>
              <w:spacing w:after="0" w:line="360" w:lineRule="auto"/>
              <w:ind w:firstLine="601"/>
              <w:jc w:val="both"/>
              <w:rPr>
                <w:rFonts w:asciiTheme="majorHAnsi" w:hAnsiTheme="majorHAnsi"/>
                <w:sz w:val="20"/>
                <w:szCs w:val="20"/>
              </w:rPr>
            </w:pPr>
            <w:r w:rsidRPr="00800739">
              <w:rPr>
                <w:rFonts w:asciiTheme="majorHAnsi" w:hAnsiTheme="majorHAnsi"/>
                <w:sz w:val="20"/>
                <w:szCs w:val="20"/>
              </w:rPr>
              <w:t>pulpicie kierującego:</w:t>
            </w:r>
          </w:p>
          <w:p w14:paraId="3E245708" w14:textId="24BB63DE" w:rsidR="009E7154" w:rsidRPr="00F05CE9" w:rsidRDefault="009E7154" w:rsidP="005C7C47">
            <w:pPr>
              <w:spacing w:after="0" w:line="360" w:lineRule="auto"/>
              <w:ind w:left="743"/>
              <w:jc w:val="both"/>
              <w:rPr>
                <w:rFonts w:asciiTheme="majorHAnsi" w:hAnsiTheme="majorHAnsi"/>
                <w:sz w:val="20"/>
                <w:szCs w:val="20"/>
              </w:rPr>
            </w:pPr>
            <w:r w:rsidRPr="00F05CE9">
              <w:rPr>
                <w:rFonts w:asciiTheme="majorHAnsi" w:hAnsiTheme="majorHAnsi"/>
                <w:sz w:val="20"/>
                <w:szCs w:val="20"/>
              </w:rPr>
              <w:t>a)przyciski indywidualnego otwierania i zamykania każdych drzwi;</w:t>
            </w:r>
          </w:p>
          <w:p w14:paraId="132B9BC3" w14:textId="2B7EE77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przyciski indywidualnego otwierania i zamykania każdych drzwi muszą posiadać sygnalizację stanu otwarcia </w:t>
            </w:r>
            <w:r w:rsidR="00E02DB8">
              <w:rPr>
                <w:rFonts w:asciiTheme="majorHAnsi" w:hAnsiTheme="majorHAnsi"/>
                <w:sz w:val="20"/>
                <w:szCs w:val="20"/>
              </w:rPr>
              <w:br/>
            </w:r>
            <w:r w:rsidRPr="00F05CE9">
              <w:rPr>
                <w:rFonts w:asciiTheme="majorHAnsi" w:hAnsiTheme="majorHAnsi"/>
                <w:sz w:val="20"/>
                <w:szCs w:val="20"/>
              </w:rPr>
              <w:t>i zamknięcia drzwi realizowaną poprzez podświetlenie tych przycisków w kolorze czerwonym;</w:t>
            </w:r>
          </w:p>
          <w:p w14:paraId="0B0330C1"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c) przycisk umożliwiający otwarcie i zamknięcie wszystkich drzwi jednocześnie;</w:t>
            </w:r>
          </w:p>
          <w:p w14:paraId="14721656" w14:textId="21ECDC4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d) przycisk umożliwiający otwarcie i zamknięcie wszystkich drzwi jednocześnie  musi posiadać sygnalizację stanu otwarcia i zamknięcia drzwi realizowaną poprzez podświetlenie tego przycisku </w:t>
            </w:r>
            <w:r w:rsidR="00FE78D4">
              <w:rPr>
                <w:rFonts w:asciiTheme="majorHAnsi" w:hAnsiTheme="majorHAnsi"/>
                <w:sz w:val="20"/>
                <w:szCs w:val="20"/>
              </w:rPr>
              <w:br/>
            </w:r>
            <w:r w:rsidRPr="00F05CE9">
              <w:rPr>
                <w:rFonts w:asciiTheme="majorHAnsi" w:hAnsiTheme="majorHAnsi"/>
                <w:sz w:val="20"/>
                <w:szCs w:val="20"/>
              </w:rPr>
              <w:t xml:space="preserve">w kolorze czerwonym oraz podświetlenie przycisków indywidualnego otwierania </w:t>
            </w:r>
          </w:p>
          <w:p w14:paraId="77CF99E3"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i zamykania drzwi w kolorze czerwonym;</w:t>
            </w:r>
          </w:p>
          <w:p w14:paraId="724F7F97" w14:textId="12FA2868"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włączania </w:t>
            </w:r>
            <w:r w:rsidR="00FE78D4">
              <w:rPr>
                <w:rFonts w:asciiTheme="majorHAnsi" w:hAnsiTheme="majorHAnsi"/>
                <w:sz w:val="20"/>
                <w:szCs w:val="20"/>
              </w:rPr>
              <w:br/>
            </w:r>
            <w:r w:rsidRPr="00F05CE9">
              <w:rPr>
                <w:rFonts w:asciiTheme="majorHAnsi" w:hAnsiTheme="majorHAnsi"/>
                <w:sz w:val="20"/>
                <w:szCs w:val="20"/>
              </w:rPr>
              <w:t>i wyłączania systemu samodzielnego otwierania drzwi przez pasażerów;</w:t>
            </w:r>
          </w:p>
          <w:p w14:paraId="6EDEB3DF" w14:textId="096F6ECB"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f) przycisk włączania </w:t>
            </w:r>
            <w:r w:rsidR="00FE78D4">
              <w:rPr>
                <w:rFonts w:asciiTheme="majorHAnsi" w:hAnsiTheme="majorHAnsi"/>
                <w:sz w:val="20"/>
                <w:szCs w:val="20"/>
              </w:rPr>
              <w:br/>
            </w:r>
            <w:r w:rsidRPr="00F05CE9">
              <w:rPr>
                <w:rFonts w:asciiTheme="majorHAnsi" w:hAnsiTheme="majorHAnsi"/>
                <w:sz w:val="20"/>
                <w:szCs w:val="20"/>
              </w:rPr>
              <w:t xml:space="preserve">i wyłączania systemu samodzielnego otwierania drzwi przez pasażerów musi posiadać sygnalizację stanu uruchomienia tego systemu poprzez podświetlenie tego przycisku </w:t>
            </w:r>
            <w:r>
              <w:rPr>
                <w:rFonts w:asciiTheme="majorHAnsi" w:hAnsiTheme="majorHAnsi"/>
                <w:sz w:val="20"/>
                <w:szCs w:val="20"/>
              </w:rPr>
              <w:br/>
            </w:r>
            <w:r w:rsidRPr="00F05CE9">
              <w:rPr>
                <w:rFonts w:asciiTheme="majorHAnsi" w:hAnsiTheme="majorHAnsi"/>
                <w:sz w:val="20"/>
                <w:szCs w:val="20"/>
              </w:rPr>
              <w:t>w kolorze czerwonym.</w:t>
            </w:r>
          </w:p>
          <w:p w14:paraId="70A7612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4.4.12.</w:t>
            </w:r>
            <w:r w:rsidRPr="00F05CE9">
              <w:rPr>
                <w:rFonts w:asciiTheme="majorHAnsi" w:hAnsiTheme="majorHAnsi"/>
                <w:sz w:val="20"/>
                <w:szCs w:val="20"/>
              </w:rPr>
              <w:tab/>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60461736" w14:textId="7123E75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4.4.13.</w:t>
            </w:r>
            <w:r w:rsidRPr="00F05CE9">
              <w:rPr>
                <w:rFonts w:asciiTheme="majorHAnsi" w:hAnsiTheme="majorHAnsi"/>
                <w:sz w:val="20"/>
                <w:szCs w:val="20"/>
              </w:rPr>
              <w:tab/>
              <w:t xml:space="preserve">System samodzielnego otwierania drzwi wraz z funkcją automatycznego zamykania drzwi, musi być aktywny również po wyłączeniu układu elektrycznego pojazdu do stanu odpowiadającemu wyłączeniu zapłonu (IGN) w pojeździe wyposażonym </w:t>
            </w:r>
            <w:r w:rsidR="00FE78D4">
              <w:rPr>
                <w:rFonts w:asciiTheme="majorHAnsi" w:hAnsiTheme="majorHAnsi"/>
                <w:sz w:val="20"/>
                <w:szCs w:val="20"/>
              </w:rPr>
              <w:br/>
            </w:r>
            <w:r w:rsidRPr="00F05CE9">
              <w:rPr>
                <w:rFonts w:asciiTheme="majorHAnsi" w:hAnsiTheme="majorHAnsi"/>
                <w:sz w:val="20"/>
                <w:szCs w:val="20"/>
              </w:rPr>
              <w:t>w konwencjonalny silnik spalinowy przez prowadzącego pojazd.</w:t>
            </w:r>
          </w:p>
          <w:p w14:paraId="7BF565EE"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4.4.14.</w:t>
            </w:r>
            <w:r w:rsidRPr="00F05CE9">
              <w:rPr>
                <w:rFonts w:asciiTheme="majorHAnsi" w:hAnsiTheme="majorHAnsi"/>
                <w:sz w:val="20"/>
                <w:szCs w:val="20"/>
              </w:rPr>
              <w:tab/>
              <w:t>W przypadku znacznego zatłoczenia obszaru okolic drzwi, kierowca powinien mieć możliwość wymuszenia zamknięcia drzwi.</w:t>
            </w:r>
          </w:p>
          <w:p w14:paraId="722DA6B8" w14:textId="70831E07" w:rsidR="009E7154" w:rsidRPr="00F05CE9" w:rsidRDefault="009E7154" w:rsidP="00310988">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4.4.15.</w:t>
            </w:r>
            <w:r w:rsidRPr="00F05CE9">
              <w:rPr>
                <w:rFonts w:asciiTheme="majorHAnsi" w:hAnsiTheme="majorHAnsi"/>
                <w:sz w:val="20"/>
                <w:szCs w:val="20"/>
              </w:rPr>
              <w:tab/>
              <w:t xml:space="preserve">System sterowania drzwiami musi przesyłać informację </w:t>
            </w:r>
            <w:r w:rsidR="00FE78D4">
              <w:rPr>
                <w:rFonts w:asciiTheme="majorHAnsi" w:hAnsiTheme="majorHAnsi"/>
                <w:sz w:val="20"/>
                <w:szCs w:val="20"/>
              </w:rPr>
              <w:br/>
            </w:r>
            <w:r w:rsidRPr="00F05CE9">
              <w:rPr>
                <w:rFonts w:asciiTheme="majorHAnsi" w:hAnsiTheme="majorHAnsi"/>
                <w:sz w:val="20"/>
                <w:szCs w:val="20"/>
              </w:rPr>
              <w:t>o otwarciu drzwi do Systemu Informacji Pasażerskiej. Zamawiający dopuszcza wysyłanie tych danych za pośrednictwem szyny CAN.</w:t>
            </w:r>
          </w:p>
        </w:tc>
        <w:tc>
          <w:tcPr>
            <w:tcW w:w="3114" w:type="dxa"/>
          </w:tcPr>
          <w:p w14:paraId="05F647AA" w14:textId="77777777" w:rsidR="009E7154" w:rsidRPr="00F05CE9" w:rsidRDefault="009E7154" w:rsidP="00310988">
            <w:pPr>
              <w:spacing w:after="0" w:line="360" w:lineRule="auto"/>
              <w:ind w:left="705" w:hanging="705"/>
              <w:jc w:val="both"/>
              <w:rPr>
                <w:rFonts w:asciiTheme="majorHAnsi" w:hAnsiTheme="majorHAnsi"/>
                <w:sz w:val="20"/>
                <w:szCs w:val="20"/>
              </w:rPr>
            </w:pPr>
          </w:p>
        </w:tc>
      </w:tr>
      <w:tr w:rsidR="009E7154" w14:paraId="09FD0D28" w14:textId="481E2850" w:rsidTr="004C6210">
        <w:tblPrEx>
          <w:jc w:val="left"/>
        </w:tblPrEx>
        <w:tc>
          <w:tcPr>
            <w:tcW w:w="575" w:type="dxa"/>
            <w:gridSpan w:val="2"/>
          </w:tcPr>
          <w:p w14:paraId="2E8033E8" w14:textId="0A7287E1"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4.5.</w:t>
            </w:r>
          </w:p>
        </w:tc>
        <w:tc>
          <w:tcPr>
            <w:tcW w:w="1692" w:type="dxa"/>
          </w:tcPr>
          <w:p w14:paraId="07540B20" w14:textId="4EEDA12C"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Pochylnia (rampa) dla wózka inwalidzkiego i/lub dziecięcego</w:t>
            </w:r>
          </w:p>
        </w:tc>
        <w:tc>
          <w:tcPr>
            <w:tcW w:w="3684" w:type="dxa"/>
          </w:tcPr>
          <w:p w14:paraId="0B30379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w:t>
            </w:r>
            <w:r w:rsidRPr="00F05CE9">
              <w:rPr>
                <w:rFonts w:asciiTheme="majorHAnsi" w:hAnsiTheme="majorHAnsi"/>
                <w:sz w:val="20"/>
                <w:szCs w:val="20"/>
              </w:rPr>
              <w:tab/>
              <w:t>Pochylnia (rampa) dla wózka inwalidzkiego i/lub dziecięcego umiejscowiona w drugich drzwiach, rozkładana ręcznie, obsługiwana przez kierowcę przy pomocy specjalnego ergonomicznego uchwytu typu haczyk z rękojeścią.</w:t>
            </w:r>
          </w:p>
          <w:p w14:paraId="53D129F1" w14:textId="1F19FB8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4.5.2.</w:t>
            </w:r>
            <w:r w:rsidRPr="00F05CE9">
              <w:rPr>
                <w:rFonts w:asciiTheme="majorHAnsi" w:hAnsiTheme="majorHAnsi"/>
                <w:sz w:val="20"/>
                <w:szCs w:val="20"/>
              </w:rPr>
              <w:tab/>
              <w:t>Krawędzie zewnętrzne rampy,</w:t>
            </w:r>
            <w:r>
              <w:rPr>
                <w:rFonts w:asciiTheme="majorHAnsi" w:hAnsiTheme="majorHAnsi"/>
                <w:sz w:val="20"/>
                <w:szCs w:val="20"/>
              </w:rPr>
              <w:t xml:space="preserve"> po jej rozłożeniu, oznaczone w </w:t>
            </w:r>
            <w:r w:rsidRPr="00F05CE9">
              <w:rPr>
                <w:rFonts w:asciiTheme="majorHAnsi" w:hAnsiTheme="majorHAnsi"/>
                <w:sz w:val="20"/>
                <w:szCs w:val="20"/>
              </w:rPr>
              <w:t>formie</w:t>
            </w:r>
            <w:r>
              <w:rPr>
                <w:rFonts w:asciiTheme="majorHAnsi" w:hAnsiTheme="majorHAnsi"/>
                <w:sz w:val="20"/>
                <w:szCs w:val="20"/>
              </w:rPr>
              <w:t xml:space="preserve"> </w:t>
            </w:r>
            <w:r w:rsidRPr="00F05CE9">
              <w:rPr>
                <w:rFonts w:asciiTheme="majorHAnsi" w:hAnsiTheme="majorHAnsi"/>
                <w:sz w:val="20"/>
                <w:szCs w:val="20"/>
              </w:rPr>
              <w:t>naprzemiennych żółto-czarnych pasów lub żółtej listwy.</w:t>
            </w:r>
          </w:p>
          <w:p w14:paraId="1A42E21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4.5.3.</w:t>
            </w:r>
            <w:r w:rsidRPr="00F05CE9">
              <w:rPr>
                <w:rFonts w:asciiTheme="majorHAnsi" w:hAnsiTheme="majorHAnsi"/>
                <w:sz w:val="20"/>
                <w:szCs w:val="20"/>
              </w:rPr>
              <w:tab/>
              <w:t xml:space="preserve">Rampa wg wymagań określonych w załączniku nr 8 do Regulaminu nr 107 EKG ONZ (Dz.U. </w:t>
            </w:r>
            <w:r>
              <w:rPr>
                <w:rFonts w:asciiTheme="majorHAnsi" w:hAnsiTheme="majorHAnsi"/>
                <w:sz w:val="20"/>
                <w:szCs w:val="20"/>
              </w:rPr>
              <w:t> </w:t>
            </w:r>
            <w:r w:rsidRPr="00F05CE9">
              <w:rPr>
                <w:rFonts w:asciiTheme="majorHAnsi" w:hAnsiTheme="majorHAnsi"/>
                <w:sz w:val="20"/>
                <w:szCs w:val="20"/>
              </w:rPr>
              <w:t xml:space="preserve">UE </w:t>
            </w:r>
            <w:r>
              <w:rPr>
                <w:rFonts w:asciiTheme="majorHAnsi" w:hAnsiTheme="majorHAnsi"/>
                <w:sz w:val="20"/>
                <w:szCs w:val="20"/>
              </w:rPr>
              <w:t> </w:t>
            </w:r>
            <w:r w:rsidRPr="00F05CE9">
              <w:rPr>
                <w:rFonts w:asciiTheme="majorHAnsi" w:hAnsiTheme="majorHAnsi"/>
                <w:sz w:val="20"/>
                <w:szCs w:val="20"/>
              </w:rPr>
              <w:t xml:space="preserve">L </w:t>
            </w:r>
            <w:r>
              <w:rPr>
                <w:rFonts w:asciiTheme="majorHAnsi" w:hAnsiTheme="majorHAnsi"/>
                <w:sz w:val="20"/>
                <w:szCs w:val="20"/>
              </w:rPr>
              <w:t> </w:t>
            </w:r>
            <w:r w:rsidRPr="00F05CE9">
              <w:rPr>
                <w:rFonts w:asciiTheme="majorHAnsi" w:hAnsiTheme="majorHAnsi"/>
                <w:sz w:val="20"/>
                <w:szCs w:val="20"/>
              </w:rPr>
              <w:t>255 z 29.9.2010, s.1), o nośności min. 300 kg.</w:t>
            </w:r>
          </w:p>
          <w:p w14:paraId="12E8302D" w14:textId="4D1317C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4.5.4.</w:t>
            </w:r>
            <w:r w:rsidRPr="00F05CE9">
              <w:rPr>
                <w:rFonts w:asciiTheme="majorHAnsi" w:hAnsiTheme="majorHAnsi"/>
                <w:sz w:val="20"/>
                <w:szCs w:val="20"/>
              </w:rPr>
              <w:tab/>
              <w:t xml:space="preserve">Wnęka na rampę w podłodze </w:t>
            </w:r>
            <w:r w:rsidR="00FE78D4">
              <w:rPr>
                <w:rFonts w:asciiTheme="majorHAnsi" w:hAnsiTheme="majorHAnsi"/>
                <w:sz w:val="20"/>
                <w:szCs w:val="20"/>
              </w:rPr>
              <w:br/>
            </w:r>
            <w:r w:rsidRPr="00F05CE9">
              <w:rPr>
                <w:rFonts w:asciiTheme="majorHAnsi" w:hAnsiTheme="majorHAnsi"/>
                <w:sz w:val="20"/>
                <w:szCs w:val="20"/>
              </w:rPr>
              <w:t>z otworem odwadniającym lub ukształtowana w sposób umożliwiający samoczynny, grawitacyjny spływ wody.</w:t>
            </w:r>
          </w:p>
          <w:p w14:paraId="708CDB14" w14:textId="2F82EEE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4.5.5.</w:t>
            </w:r>
            <w:r w:rsidRPr="00F05CE9">
              <w:rPr>
                <w:rFonts w:asciiTheme="majorHAnsi" w:hAnsiTheme="majorHAnsi"/>
                <w:sz w:val="20"/>
                <w:szCs w:val="20"/>
              </w:rPr>
              <w:tab/>
              <w:t xml:space="preserve">Przyciski sygnalizujące konieczność użycia pochylni (rampy) umieszczone na zewnątrz oraz wewnątrz autobusu, na wysokości umożliwiającej naciśnięcie przez osobę znajdującą się na wózku; przyciski umieszczone </w:t>
            </w:r>
            <w:r w:rsidR="00FE78D4">
              <w:rPr>
                <w:rFonts w:asciiTheme="majorHAnsi" w:hAnsiTheme="majorHAnsi"/>
                <w:sz w:val="20"/>
                <w:szCs w:val="20"/>
              </w:rPr>
              <w:br/>
            </w:r>
            <w:r w:rsidRPr="00F05CE9">
              <w:rPr>
                <w:rFonts w:asciiTheme="majorHAnsi" w:hAnsiTheme="majorHAnsi"/>
                <w:sz w:val="20"/>
                <w:szCs w:val="20"/>
              </w:rPr>
              <w:t xml:space="preserve">i oznakowane w sposób czytelny </w:t>
            </w:r>
            <w:r w:rsidR="00FE78D4">
              <w:rPr>
                <w:rFonts w:asciiTheme="majorHAnsi" w:hAnsiTheme="majorHAnsi"/>
                <w:sz w:val="20"/>
                <w:szCs w:val="20"/>
              </w:rPr>
              <w:br/>
            </w:r>
            <w:r w:rsidRPr="00F05CE9">
              <w:rPr>
                <w:rFonts w:asciiTheme="majorHAnsi" w:hAnsiTheme="majorHAnsi"/>
                <w:sz w:val="20"/>
                <w:szCs w:val="20"/>
              </w:rPr>
              <w:t>i widoczny.</w:t>
            </w:r>
          </w:p>
          <w:p w14:paraId="66BD78F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4.5.6.</w:t>
            </w:r>
            <w:r w:rsidRPr="00F05CE9">
              <w:rPr>
                <w:rFonts w:asciiTheme="majorHAnsi" w:hAnsiTheme="majorHAnsi"/>
                <w:sz w:val="20"/>
                <w:szCs w:val="20"/>
              </w:rPr>
              <w:tab/>
              <w:t>Przycisk zewnętrzny umieszczony po prawej stronie drugich drzwi, oznaczony symbolem wózka inwalidzkiego na samym przycisku oraz dodatkowo naklejką obok przycisku.</w:t>
            </w:r>
          </w:p>
          <w:p w14:paraId="0DD66863" w14:textId="3F0B235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4.5.7.</w:t>
            </w:r>
            <w:r w:rsidRPr="00F05CE9">
              <w:rPr>
                <w:rFonts w:asciiTheme="majorHAnsi" w:hAnsiTheme="majorHAnsi"/>
                <w:sz w:val="20"/>
                <w:szCs w:val="20"/>
              </w:rPr>
              <w:tab/>
              <w:t>Przycisk wewnętrzny umieszczony w przestrzeni pasażerskiej przy miejscu przeznaczonym dla wózków oznaczony</w:t>
            </w:r>
            <w:r>
              <w:rPr>
                <w:rFonts w:asciiTheme="majorHAnsi" w:hAnsiTheme="majorHAnsi"/>
                <w:sz w:val="20"/>
                <w:szCs w:val="20"/>
              </w:rPr>
              <w:t xml:space="preserve"> </w:t>
            </w:r>
            <w:r w:rsidRPr="00F05CE9">
              <w:rPr>
                <w:rFonts w:asciiTheme="majorHAnsi" w:hAnsiTheme="majorHAnsi"/>
                <w:sz w:val="20"/>
                <w:szCs w:val="20"/>
              </w:rPr>
              <w:t>na przycisku symbolem wózka.</w:t>
            </w:r>
          </w:p>
          <w:p w14:paraId="756F4A7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4.5.8.</w:t>
            </w:r>
            <w:r w:rsidRPr="00F05CE9">
              <w:rPr>
                <w:rFonts w:asciiTheme="majorHAnsi" w:hAnsiTheme="majorHAnsi"/>
                <w:sz w:val="20"/>
                <w:szCs w:val="20"/>
              </w:rPr>
              <w:tab/>
              <w:t>Otwarcie rampy musi być sygnalizowane poprzez dedykowaną kontrolkę na pulpicie kierowcy.</w:t>
            </w:r>
          </w:p>
          <w:p w14:paraId="4988D9C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4.5.9.</w:t>
            </w:r>
            <w:r w:rsidRPr="00F05CE9">
              <w:rPr>
                <w:rFonts w:asciiTheme="majorHAnsi" w:hAnsiTheme="majorHAnsi"/>
                <w:sz w:val="20"/>
                <w:szCs w:val="20"/>
              </w:rPr>
              <w:tab/>
              <w:t>Otwarcie rampy musi zablokować możliwość zamknięcia drzwi, przy których jest ona umieszczona.</w:t>
            </w:r>
          </w:p>
          <w:p w14:paraId="221673D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4.5.10.</w:t>
            </w:r>
            <w:r w:rsidRPr="00F05CE9">
              <w:rPr>
                <w:rFonts w:asciiTheme="majorHAnsi" w:hAnsiTheme="majorHAnsi"/>
                <w:sz w:val="20"/>
                <w:szCs w:val="20"/>
              </w:rPr>
              <w:tab/>
              <w:t>Użycie przycisku wewnętrznego lub zewnętrznego, o których mowa w pkt 4.5.5 musi być zasygnalizowane na pulpicie kierowcy w postaci kontrolki w kolorze żółtym oraz w postaci sygnalizacji dźwiękowej przez 1 sekundę oraz przesłanie informacji o jego użyciu do Systemu Informacji Pasażerskiej. Zamawiający dopuszcza wysyłanie tych danych za pośrednictwem szyny CAN.</w:t>
            </w:r>
          </w:p>
          <w:p w14:paraId="3E3B74CF" w14:textId="41A9D549" w:rsidR="009E7154" w:rsidRPr="00F05CE9" w:rsidRDefault="009E7154" w:rsidP="00800739">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4.5.11.</w:t>
            </w:r>
            <w:r w:rsidRPr="00F05CE9">
              <w:rPr>
                <w:rFonts w:asciiTheme="majorHAnsi" w:hAnsiTheme="majorHAnsi"/>
                <w:sz w:val="20"/>
                <w:szCs w:val="20"/>
              </w:rPr>
              <w:tab/>
              <w:t>Elementy montażowe w postaci śrub, nakrętek i podkładek wykonane ze stali nierdzewnej.</w:t>
            </w:r>
          </w:p>
        </w:tc>
        <w:tc>
          <w:tcPr>
            <w:tcW w:w="3114" w:type="dxa"/>
          </w:tcPr>
          <w:p w14:paraId="47FD692B" w14:textId="77777777" w:rsidR="009E7154" w:rsidRPr="00F05CE9" w:rsidRDefault="009E7154" w:rsidP="00800739">
            <w:pPr>
              <w:spacing w:after="0" w:line="360" w:lineRule="auto"/>
              <w:ind w:left="705" w:hanging="705"/>
              <w:jc w:val="both"/>
              <w:rPr>
                <w:rFonts w:asciiTheme="majorHAnsi" w:hAnsiTheme="majorHAnsi"/>
                <w:sz w:val="20"/>
                <w:szCs w:val="20"/>
              </w:rPr>
            </w:pPr>
          </w:p>
        </w:tc>
      </w:tr>
    </w:tbl>
    <w:tbl>
      <w:tblPr>
        <w:tblW w:w="0" w:type="auto"/>
        <w:tblInd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154" w14:paraId="52B42615" w14:textId="77777777" w:rsidTr="00652B1F">
        <w:trPr>
          <w:trHeight w:val="2010"/>
        </w:trPr>
        <w:tc>
          <w:tcPr>
            <w:tcW w:w="210" w:type="dxa"/>
            <w:tcBorders>
              <w:left w:val="nil"/>
              <w:right w:val="nil"/>
            </w:tcBorders>
          </w:tcPr>
          <w:p w14:paraId="0CDE9984" w14:textId="77777777" w:rsidR="009E7154" w:rsidRDefault="009E7154" w:rsidP="00720B8C">
            <w:pPr>
              <w:spacing w:line="360" w:lineRule="auto"/>
              <w:rPr>
                <w:rFonts w:asciiTheme="majorHAnsi" w:hAnsiTheme="majorHAnsi"/>
                <w:b/>
                <w:sz w:val="20"/>
                <w:szCs w:val="20"/>
              </w:rPr>
            </w:pPr>
          </w:p>
        </w:tc>
      </w:tr>
    </w:tbl>
    <w:tbl>
      <w:tblPr>
        <w:tblStyle w:val="Tabela-Siatka"/>
        <w:tblW w:w="0" w:type="auto"/>
        <w:tblInd w:w="-5" w:type="dxa"/>
        <w:tblLayout w:type="fixed"/>
        <w:tblLook w:val="04A0" w:firstRow="1" w:lastRow="0" w:firstColumn="1" w:lastColumn="0" w:noHBand="0" w:noVBand="1"/>
      </w:tblPr>
      <w:tblGrid>
        <w:gridCol w:w="592"/>
        <w:gridCol w:w="1676"/>
        <w:gridCol w:w="3686"/>
        <w:gridCol w:w="3111"/>
      </w:tblGrid>
      <w:tr w:rsidR="009E7154" w14:paraId="4A6DC500" w14:textId="50CADD6E" w:rsidTr="00895755">
        <w:tc>
          <w:tcPr>
            <w:tcW w:w="592" w:type="dxa"/>
          </w:tcPr>
          <w:p w14:paraId="2E67856A" w14:textId="7E112D5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4.6.</w:t>
            </w:r>
          </w:p>
        </w:tc>
        <w:tc>
          <w:tcPr>
            <w:tcW w:w="1676" w:type="dxa"/>
          </w:tcPr>
          <w:p w14:paraId="5475EDA7" w14:textId="5E7E6782"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Siedzenia w przestrzeni pasażerskiej.</w:t>
            </w:r>
          </w:p>
        </w:tc>
        <w:tc>
          <w:tcPr>
            <w:tcW w:w="3686" w:type="dxa"/>
          </w:tcPr>
          <w:p w14:paraId="5C80521C" w14:textId="672F91A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4.6.1.</w:t>
            </w:r>
            <w:r w:rsidRPr="00F05CE9">
              <w:rPr>
                <w:rFonts w:asciiTheme="majorHAnsi" w:hAnsiTheme="majorHAnsi"/>
                <w:sz w:val="20"/>
                <w:szCs w:val="20"/>
              </w:rPr>
              <w:tab/>
              <w:t>Fotele o ergonomicznym kształcie, przednia krawędź wkładki tapicerskiej siedziska pow</w:t>
            </w:r>
            <w:r>
              <w:rPr>
                <w:rFonts w:asciiTheme="majorHAnsi" w:hAnsiTheme="majorHAnsi"/>
                <w:sz w:val="20"/>
                <w:szCs w:val="20"/>
              </w:rPr>
              <w:t>inna być łagodnie zaokrąglona i </w:t>
            </w:r>
            <w:r w:rsidRPr="00F05CE9">
              <w:rPr>
                <w:rFonts w:asciiTheme="majorHAnsi" w:hAnsiTheme="majorHAnsi"/>
                <w:sz w:val="20"/>
                <w:szCs w:val="20"/>
              </w:rPr>
              <w:t>płynnie przechodzić w przednią krawędź siedziska.</w:t>
            </w:r>
          </w:p>
          <w:p w14:paraId="41DAD0D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4.6.2.</w:t>
            </w:r>
            <w:r w:rsidRPr="00F05CE9">
              <w:rPr>
                <w:rFonts w:asciiTheme="majorHAnsi" w:hAnsiTheme="majorHAnsi"/>
                <w:sz w:val="20"/>
                <w:szCs w:val="20"/>
              </w:rPr>
              <w:tab/>
              <w:t>Korpus siedzenia z tworzywa lub ze stali w kolorze szarym.  Dopuszcza się łączenie różnych odcieni szarości.</w:t>
            </w:r>
          </w:p>
          <w:p w14:paraId="1CE941C7" w14:textId="26F4BBFF"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t>4.6.3.</w:t>
            </w:r>
            <w:r w:rsidRPr="00F05CE9">
              <w:rPr>
                <w:rFonts w:asciiTheme="majorHAnsi" w:hAnsiTheme="majorHAnsi"/>
                <w:sz w:val="20"/>
                <w:szCs w:val="20"/>
              </w:rPr>
              <w:tab/>
              <w:t>Materiały tapicerskie o dużej odporności na zużycie (wycieranie, zabrudzenie) oraz o podwyższonej odporności na akty wandalizmu (rozerwanie, przecięcie itp.).</w:t>
            </w:r>
          </w:p>
          <w:p w14:paraId="0D7C9051" w14:textId="0618CF25" w:rsidR="009E7154" w:rsidRPr="00F05CE9" w:rsidRDefault="009E7154" w:rsidP="00FD6725">
            <w:pPr>
              <w:spacing w:line="360" w:lineRule="auto"/>
              <w:ind w:left="705" w:hanging="705"/>
              <w:jc w:val="both"/>
              <w:rPr>
                <w:rFonts w:asciiTheme="majorHAnsi" w:hAnsiTheme="majorHAnsi"/>
                <w:sz w:val="20"/>
                <w:szCs w:val="20"/>
              </w:rPr>
            </w:pPr>
            <w:r w:rsidRPr="00F05CE9">
              <w:rPr>
                <w:rFonts w:asciiTheme="majorHAnsi" w:hAnsiTheme="majorHAnsi"/>
                <w:sz w:val="20"/>
                <w:szCs w:val="20"/>
              </w:rPr>
              <w:t>4.6.4.</w:t>
            </w:r>
            <w:r w:rsidRPr="00F05CE9">
              <w:rPr>
                <w:rFonts w:asciiTheme="majorHAnsi" w:hAnsiTheme="majorHAnsi"/>
                <w:sz w:val="20"/>
                <w:szCs w:val="20"/>
              </w:rPr>
              <w:tab/>
              <w:t xml:space="preserve">Wkładki tapicerskie siedziska </w:t>
            </w:r>
            <w:r w:rsidR="00FE78D4">
              <w:rPr>
                <w:rFonts w:asciiTheme="majorHAnsi" w:hAnsiTheme="majorHAnsi"/>
                <w:sz w:val="20"/>
                <w:szCs w:val="20"/>
              </w:rPr>
              <w:br/>
            </w:r>
            <w:r w:rsidRPr="00F05CE9">
              <w:rPr>
                <w:rFonts w:asciiTheme="majorHAnsi" w:hAnsiTheme="majorHAnsi"/>
                <w:sz w:val="20"/>
                <w:szCs w:val="20"/>
              </w:rPr>
              <w:t>i oparcia wyposażone w gąbkę zmiękczającą pod tapicerką, wykonane w sposób umożliwiający łatwą wymianę przy użyciu ogólnodostępnych narzędzi.</w:t>
            </w:r>
          </w:p>
          <w:p w14:paraId="7EB93B34" w14:textId="340D9543" w:rsidR="009E7154" w:rsidRPr="00F05CE9" w:rsidRDefault="009E7154" w:rsidP="00F64287">
            <w:pPr>
              <w:spacing w:line="360" w:lineRule="auto"/>
              <w:ind w:left="705" w:hanging="705"/>
              <w:jc w:val="both"/>
              <w:rPr>
                <w:rFonts w:asciiTheme="majorHAnsi" w:hAnsiTheme="majorHAnsi"/>
                <w:sz w:val="20"/>
                <w:szCs w:val="20"/>
              </w:rPr>
            </w:pPr>
            <w:r>
              <w:rPr>
                <w:rFonts w:asciiTheme="majorHAnsi" w:hAnsiTheme="majorHAnsi"/>
                <w:sz w:val="20"/>
                <w:szCs w:val="20"/>
              </w:rPr>
              <w:t>4.6.5</w:t>
            </w:r>
            <w:r w:rsidRPr="00F05CE9">
              <w:rPr>
                <w:rFonts w:asciiTheme="majorHAnsi" w:hAnsiTheme="majorHAnsi"/>
                <w:sz w:val="20"/>
                <w:szCs w:val="20"/>
              </w:rPr>
              <w:t>.</w:t>
            </w:r>
            <w:r w:rsidRPr="00F05CE9">
              <w:rPr>
                <w:rFonts w:asciiTheme="majorHAnsi" w:hAnsiTheme="majorHAnsi"/>
                <w:sz w:val="20"/>
                <w:szCs w:val="20"/>
              </w:rPr>
              <w:tab/>
              <w:t xml:space="preserve">Mocowanie foteli do nadwozia w sposób ułatwiający sprzątanie autobusu – mocowania foteli  do </w:t>
            </w:r>
            <w:r>
              <w:t> </w:t>
            </w:r>
            <w:r w:rsidRPr="00F05CE9">
              <w:rPr>
                <w:rFonts w:asciiTheme="majorHAnsi" w:hAnsiTheme="majorHAnsi"/>
                <w:sz w:val="20"/>
                <w:szCs w:val="20"/>
              </w:rPr>
              <w:t xml:space="preserve">ścian bocznych, nadkoli </w:t>
            </w:r>
            <w:r w:rsidR="00FE78D4">
              <w:rPr>
                <w:rFonts w:asciiTheme="majorHAnsi" w:hAnsiTheme="majorHAnsi"/>
                <w:sz w:val="20"/>
                <w:szCs w:val="20"/>
              </w:rPr>
              <w:br/>
            </w:r>
            <w:r w:rsidRPr="00F05CE9">
              <w:rPr>
                <w:rFonts w:asciiTheme="majorHAnsi" w:hAnsiTheme="majorHAnsi"/>
                <w:sz w:val="20"/>
                <w:szCs w:val="20"/>
              </w:rPr>
              <w:t>i podłogi.</w:t>
            </w:r>
          </w:p>
          <w:p w14:paraId="2E7831F9" w14:textId="502656E0" w:rsidR="009E7154" w:rsidRDefault="009E7154" w:rsidP="00800739">
            <w:pPr>
              <w:spacing w:line="360" w:lineRule="auto"/>
              <w:ind w:left="705" w:hanging="705"/>
              <w:jc w:val="both"/>
              <w:rPr>
                <w:rFonts w:asciiTheme="majorHAnsi" w:hAnsiTheme="majorHAnsi"/>
                <w:sz w:val="20"/>
                <w:szCs w:val="20"/>
              </w:rPr>
            </w:pPr>
            <w:r>
              <w:rPr>
                <w:rFonts w:asciiTheme="majorHAnsi" w:hAnsiTheme="majorHAnsi"/>
                <w:sz w:val="20"/>
                <w:szCs w:val="20"/>
              </w:rPr>
              <w:t>4.6.6</w:t>
            </w:r>
            <w:r w:rsidRPr="00800739">
              <w:rPr>
                <w:rFonts w:asciiTheme="majorHAnsi" w:hAnsiTheme="majorHAnsi"/>
                <w:sz w:val="20"/>
                <w:szCs w:val="20"/>
              </w:rPr>
              <w:t>.</w:t>
            </w:r>
            <w:r w:rsidRPr="00800739">
              <w:rPr>
                <w:rFonts w:asciiTheme="majorHAnsi" w:hAnsiTheme="majorHAnsi"/>
                <w:sz w:val="20"/>
                <w:szCs w:val="20"/>
              </w:rPr>
              <w:tab/>
              <w:t>Kolorystyka tkaniny do uzgodnienia z Zamawiającym po podpisaniu umowy.</w:t>
            </w:r>
          </w:p>
          <w:p w14:paraId="4B2AF7B5" w14:textId="1ABB438A" w:rsidR="009E7154" w:rsidRPr="00F05CE9" w:rsidRDefault="009E7154" w:rsidP="00F64287">
            <w:pPr>
              <w:spacing w:after="0" w:line="360" w:lineRule="auto"/>
              <w:ind w:left="705" w:hanging="705"/>
              <w:jc w:val="both"/>
              <w:rPr>
                <w:rFonts w:asciiTheme="majorHAnsi" w:hAnsiTheme="majorHAnsi"/>
                <w:sz w:val="20"/>
                <w:szCs w:val="20"/>
              </w:rPr>
            </w:pPr>
            <w:r>
              <w:rPr>
                <w:rFonts w:asciiTheme="majorHAnsi" w:hAnsiTheme="majorHAnsi"/>
                <w:sz w:val="20"/>
                <w:szCs w:val="20"/>
              </w:rPr>
              <w:t>4.6.7</w:t>
            </w:r>
            <w:r w:rsidRPr="00F05CE9">
              <w:rPr>
                <w:rFonts w:asciiTheme="majorHAnsi" w:hAnsiTheme="majorHAnsi"/>
                <w:sz w:val="20"/>
                <w:szCs w:val="20"/>
              </w:rPr>
              <w:t>.</w:t>
            </w:r>
            <w:r w:rsidRPr="00F05CE9">
              <w:rPr>
                <w:rFonts w:asciiTheme="majorHAnsi" w:hAnsiTheme="majorHAnsi"/>
                <w:sz w:val="20"/>
                <w:szCs w:val="20"/>
              </w:rPr>
              <w:tab/>
              <w:t xml:space="preserve">Liczba miejsc siedzących dostępnych bezpośrednio </w:t>
            </w:r>
            <w:r w:rsidR="00FE78D4">
              <w:rPr>
                <w:rFonts w:asciiTheme="majorHAnsi" w:hAnsiTheme="majorHAnsi"/>
                <w:sz w:val="20"/>
                <w:szCs w:val="20"/>
              </w:rPr>
              <w:br/>
            </w:r>
            <w:r w:rsidRPr="00F05CE9">
              <w:rPr>
                <w:rFonts w:asciiTheme="majorHAnsi" w:hAnsiTheme="majorHAnsi"/>
                <w:sz w:val="20"/>
                <w:szCs w:val="20"/>
              </w:rPr>
              <w:t>z poziomu n</w:t>
            </w:r>
            <w:r>
              <w:rPr>
                <w:rFonts w:asciiTheme="majorHAnsi" w:hAnsiTheme="majorHAnsi"/>
                <w:sz w:val="20"/>
                <w:szCs w:val="20"/>
              </w:rPr>
              <w:t xml:space="preserve">iskiej podłogi: min. 8. </w:t>
            </w:r>
            <w:r w:rsidRPr="00800739">
              <w:rPr>
                <w:rFonts w:asciiTheme="majorHAnsi" w:hAnsiTheme="majorHAnsi"/>
                <w:b/>
                <w:sz w:val="20"/>
                <w:szCs w:val="20"/>
              </w:rPr>
              <w:t>UWAGA!</w:t>
            </w:r>
            <w:r w:rsidRPr="00F05CE9">
              <w:rPr>
                <w:rFonts w:asciiTheme="majorHAnsi" w:hAnsiTheme="majorHAnsi"/>
                <w:sz w:val="20"/>
                <w:szCs w:val="20"/>
              </w:rPr>
              <w:t xml:space="preserve"> </w:t>
            </w:r>
            <w:r>
              <w:rPr>
                <w:rFonts w:asciiTheme="majorHAnsi" w:hAnsiTheme="majorHAnsi"/>
                <w:sz w:val="20"/>
                <w:szCs w:val="20"/>
              </w:rPr>
              <w:t> </w:t>
            </w:r>
            <w:r w:rsidRPr="00F05CE9">
              <w:rPr>
                <w:rFonts w:asciiTheme="majorHAnsi" w:hAnsiTheme="majorHAnsi"/>
                <w:sz w:val="20"/>
                <w:szCs w:val="20"/>
              </w:rPr>
              <w:t xml:space="preserve">Nie </w:t>
            </w:r>
            <w:r>
              <w:rPr>
                <w:rFonts w:asciiTheme="majorHAnsi" w:hAnsiTheme="majorHAnsi"/>
                <w:sz w:val="20"/>
                <w:szCs w:val="20"/>
              </w:rPr>
              <w:t> </w:t>
            </w:r>
            <w:r w:rsidRPr="00F05CE9">
              <w:rPr>
                <w:rFonts w:asciiTheme="majorHAnsi" w:hAnsiTheme="majorHAnsi"/>
                <w:sz w:val="20"/>
                <w:szCs w:val="20"/>
              </w:rPr>
              <w:t>dopuszcza się montażu siedzeń składanych.</w:t>
            </w:r>
          </w:p>
        </w:tc>
        <w:tc>
          <w:tcPr>
            <w:tcW w:w="3111" w:type="dxa"/>
          </w:tcPr>
          <w:p w14:paraId="119D961D"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21CF054B" w14:textId="3054EFA1" w:rsidTr="00895755">
        <w:tc>
          <w:tcPr>
            <w:tcW w:w="592" w:type="dxa"/>
          </w:tcPr>
          <w:p w14:paraId="239CC9F4" w14:textId="16612CE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4.7.</w:t>
            </w:r>
          </w:p>
        </w:tc>
        <w:tc>
          <w:tcPr>
            <w:tcW w:w="1676" w:type="dxa"/>
          </w:tcPr>
          <w:p w14:paraId="50FC516F" w14:textId="7A230CF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Kabina kierowcy.</w:t>
            </w:r>
          </w:p>
        </w:tc>
        <w:tc>
          <w:tcPr>
            <w:tcW w:w="3686" w:type="dxa"/>
          </w:tcPr>
          <w:p w14:paraId="681F1B6C" w14:textId="70C4416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w:t>
            </w:r>
            <w:r w:rsidRPr="00F05CE9">
              <w:rPr>
                <w:rFonts w:asciiTheme="majorHAnsi" w:hAnsiTheme="majorHAnsi"/>
                <w:sz w:val="20"/>
                <w:szCs w:val="20"/>
              </w:rPr>
              <w:tab/>
              <w:t xml:space="preserve">Kabina kierowcy typu zamkniętego z wydzielonym wejściem dla kierowcy przez przednie skrzydło pierwszych drzwi sterowane osobno </w:t>
            </w:r>
            <w:r w:rsidR="00FE78D4">
              <w:rPr>
                <w:rFonts w:asciiTheme="majorHAnsi" w:hAnsiTheme="majorHAnsi"/>
                <w:sz w:val="20"/>
                <w:szCs w:val="20"/>
              </w:rPr>
              <w:br/>
            </w:r>
            <w:r w:rsidRPr="00F05CE9">
              <w:rPr>
                <w:rFonts w:asciiTheme="majorHAnsi" w:hAnsiTheme="majorHAnsi"/>
                <w:sz w:val="20"/>
                <w:szCs w:val="20"/>
              </w:rPr>
              <w:t>i niezależnie oraz z we</w:t>
            </w:r>
            <w:r>
              <w:rPr>
                <w:rFonts w:asciiTheme="majorHAnsi" w:hAnsiTheme="majorHAnsi"/>
                <w:sz w:val="20"/>
                <w:szCs w:val="20"/>
              </w:rPr>
              <w:t>jściem przez drzwi wewnętrzne z </w:t>
            </w:r>
            <w:r w:rsidRPr="00F05CE9">
              <w:rPr>
                <w:rFonts w:asciiTheme="majorHAnsi" w:hAnsiTheme="majorHAnsi"/>
                <w:sz w:val="20"/>
                <w:szCs w:val="20"/>
              </w:rPr>
              <w:t>przestrzeni pasażerskiej.</w:t>
            </w:r>
          </w:p>
          <w:p w14:paraId="0C6BFEBD" w14:textId="0F3EA172"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4.7.2.</w:t>
            </w:r>
            <w:r w:rsidRPr="00F05CE9">
              <w:rPr>
                <w:rFonts w:asciiTheme="majorHAnsi" w:hAnsiTheme="majorHAnsi"/>
                <w:sz w:val="20"/>
                <w:szCs w:val="20"/>
              </w:rPr>
              <w:tab/>
              <w:t xml:space="preserve">Wyposażona w drzwi wewnętrzne otwierane </w:t>
            </w:r>
            <w:r w:rsidR="00FE78D4">
              <w:rPr>
                <w:rFonts w:asciiTheme="majorHAnsi" w:hAnsiTheme="majorHAnsi"/>
                <w:sz w:val="20"/>
                <w:szCs w:val="20"/>
              </w:rPr>
              <w:br/>
            </w:r>
            <w:r w:rsidRPr="00F05CE9">
              <w:rPr>
                <w:rFonts w:asciiTheme="majorHAnsi" w:hAnsiTheme="majorHAnsi"/>
                <w:sz w:val="20"/>
                <w:szCs w:val="20"/>
              </w:rPr>
              <w:t>w kierunku przestrzeni pasażerskiej. Drzwi wyposażone w zamek zamykany na kluczyk patentowy od strony zewnętrznej kabiny oraz z</w:t>
            </w:r>
            <w:r>
              <w:rPr>
                <w:rFonts w:asciiTheme="majorHAnsi" w:hAnsiTheme="majorHAnsi"/>
                <w:sz w:val="20"/>
                <w:szCs w:val="20"/>
              </w:rPr>
              <w:t> </w:t>
            </w:r>
            <w:r w:rsidRPr="00F05CE9">
              <w:rPr>
                <w:rFonts w:asciiTheme="majorHAnsi" w:hAnsiTheme="majorHAnsi"/>
                <w:sz w:val="20"/>
                <w:szCs w:val="20"/>
              </w:rPr>
              <w:t>możliwością prostego zablokowania przez kierowcę od środka (zabezpieczenie przed otworzeniem drzwi do kabiny przez osoby nieupoważnione). Wyklucza się zastosowanie szyby jako całości poszycia przegrody kabiny kierowcy (wymagany jest podział p</w:t>
            </w:r>
            <w:r>
              <w:rPr>
                <w:rFonts w:asciiTheme="majorHAnsi" w:hAnsiTheme="majorHAnsi"/>
                <w:sz w:val="20"/>
                <w:szCs w:val="20"/>
              </w:rPr>
              <w:t>rzegrody na część przeszkloną i </w:t>
            </w:r>
            <w:r w:rsidRPr="00F05CE9">
              <w:rPr>
                <w:rFonts w:asciiTheme="majorHAnsi" w:hAnsiTheme="majorHAnsi"/>
                <w:sz w:val="20"/>
                <w:szCs w:val="20"/>
              </w:rPr>
              <w:t>zabudowaną).</w:t>
            </w:r>
          </w:p>
          <w:p w14:paraId="26185FD8" w14:textId="7E013441" w:rsidR="009E7154" w:rsidRPr="00F05CE9" w:rsidRDefault="009E7154" w:rsidP="00F64287">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4.7.3.</w:t>
            </w:r>
            <w:r w:rsidRPr="00F05CE9">
              <w:rPr>
                <w:rFonts w:asciiTheme="majorHAnsi" w:hAnsiTheme="majorHAnsi"/>
                <w:sz w:val="20"/>
                <w:szCs w:val="20"/>
              </w:rPr>
              <w:tab/>
              <w:t xml:space="preserve">Wyposażona w okienko do sprzedaży biletów z zamknięciem </w:t>
            </w:r>
            <w:r>
              <w:rPr>
                <w:rFonts w:asciiTheme="majorHAnsi" w:hAnsiTheme="majorHAnsi"/>
                <w:sz w:val="20"/>
                <w:szCs w:val="20"/>
              </w:rPr>
              <w:t>z </w:t>
            </w:r>
            <w:r w:rsidRPr="00F05CE9">
              <w:rPr>
                <w:rFonts w:asciiTheme="majorHAnsi" w:hAnsiTheme="majorHAnsi"/>
                <w:sz w:val="20"/>
                <w:szCs w:val="20"/>
              </w:rPr>
              <w:t xml:space="preserve">półką po stronie kierowcy oraz kasetką na bilon </w:t>
            </w:r>
            <w:r w:rsidR="00FE78D4">
              <w:rPr>
                <w:rFonts w:asciiTheme="majorHAnsi" w:hAnsiTheme="majorHAnsi"/>
                <w:sz w:val="20"/>
                <w:szCs w:val="20"/>
              </w:rPr>
              <w:br/>
            </w:r>
            <w:r w:rsidRPr="00F05CE9">
              <w:rPr>
                <w:rFonts w:asciiTheme="majorHAnsi" w:hAnsiTheme="majorHAnsi"/>
                <w:sz w:val="20"/>
                <w:szCs w:val="20"/>
              </w:rPr>
              <w:t>i bilety.</w:t>
            </w:r>
          </w:p>
          <w:p w14:paraId="1021AA6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4.7.4.</w:t>
            </w:r>
            <w:r w:rsidRPr="00F05CE9">
              <w:rPr>
                <w:rFonts w:asciiTheme="majorHAnsi" w:hAnsiTheme="majorHAnsi"/>
                <w:sz w:val="20"/>
                <w:szCs w:val="20"/>
              </w:rPr>
              <w:tab/>
              <w:t>Wyposażona w rolety przeciwsłoneczne na oknie bocznym oraz na lewej części szyby przedniej (przed miejscem kierowcy) regulowane manualnie.</w:t>
            </w:r>
          </w:p>
          <w:p w14:paraId="7691F49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4.7.5.</w:t>
            </w:r>
            <w:r w:rsidRPr="00F05CE9">
              <w:rPr>
                <w:rFonts w:asciiTheme="majorHAnsi" w:hAnsiTheme="majorHAnsi"/>
                <w:sz w:val="20"/>
                <w:szCs w:val="20"/>
              </w:rPr>
              <w:tab/>
              <w:t>Wyposażona w wieszak na ubranie umieszczony na ścianie za fotelem kierowcy umożliwiający bezpieczne przewożenie kurtki, marynarki itp.</w:t>
            </w:r>
          </w:p>
          <w:p w14:paraId="4C77ECD3" w14:textId="77777777" w:rsidR="009E7154" w:rsidRDefault="009E7154" w:rsidP="00800739">
            <w:pPr>
              <w:spacing w:after="0" w:line="360" w:lineRule="auto"/>
              <w:jc w:val="both"/>
              <w:rPr>
                <w:rFonts w:asciiTheme="majorHAnsi" w:hAnsiTheme="majorHAnsi"/>
                <w:sz w:val="20"/>
                <w:szCs w:val="20"/>
              </w:rPr>
            </w:pPr>
            <w:r w:rsidRPr="00F05CE9">
              <w:rPr>
                <w:rFonts w:asciiTheme="majorHAnsi" w:hAnsiTheme="majorHAnsi"/>
                <w:sz w:val="20"/>
                <w:szCs w:val="20"/>
              </w:rPr>
              <w:t>4.7.6.</w:t>
            </w:r>
            <w:r w:rsidRPr="00F05CE9">
              <w:rPr>
                <w:rFonts w:asciiTheme="majorHAnsi" w:hAnsiTheme="majorHAnsi"/>
                <w:sz w:val="20"/>
                <w:szCs w:val="20"/>
              </w:rPr>
              <w:tab/>
              <w:t xml:space="preserve">Dodatkowe półki lub schowki: na </w:t>
            </w:r>
            <w:r>
              <w:rPr>
                <w:rFonts w:asciiTheme="majorHAnsi" w:hAnsiTheme="majorHAnsi"/>
                <w:sz w:val="20"/>
                <w:szCs w:val="20"/>
              </w:rPr>
              <w:t>drzwiach kabiny za</w:t>
            </w:r>
          </w:p>
          <w:p w14:paraId="5861759C" w14:textId="2FC54461" w:rsidR="009E7154" w:rsidRPr="00F05CE9" w:rsidRDefault="009E7154" w:rsidP="00800739">
            <w:pPr>
              <w:spacing w:line="360" w:lineRule="auto"/>
              <w:ind w:left="743"/>
              <w:jc w:val="both"/>
              <w:rPr>
                <w:rFonts w:asciiTheme="majorHAnsi" w:hAnsiTheme="majorHAnsi"/>
                <w:sz w:val="20"/>
                <w:szCs w:val="20"/>
              </w:rPr>
            </w:pPr>
            <w:r w:rsidRPr="00F05CE9">
              <w:rPr>
                <w:rFonts w:asciiTheme="majorHAnsi" w:hAnsiTheme="majorHAnsi"/>
                <w:sz w:val="20"/>
                <w:szCs w:val="20"/>
              </w:rPr>
              <w:t>fotelem itp.</w:t>
            </w:r>
          </w:p>
          <w:p w14:paraId="2DE9CE65" w14:textId="34D7B5B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4.7.7.</w:t>
            </w:r>
            <w:r w:rsidRPr="00F05CE9">
              <w:rPr>
                <w:rFonts w:asciiTheme="majorHAnsi" w:hAnsiTheme="majorHAnsi"/>
                <w:sz w:val="20"/>
                <w:szCs w:val="20"/>
              </w:rPr>
              <w:tab/>
              <w:t xml:space="preserve">Podkładka do rozkładu jazdy w rozmiarze formatu A5 </w:t>
            </w:r>
            <w:r w:rsidR="00FE78D4">
              <w:rPr>
                <w:rFonts w:asciiTheme="majorHAnsi" w:hAnsiTheme="majorHAnsi"/>
                <w:sz w:val="20"/>
                <w:szCs w:val="20"/>
              </w:rPr>
              <w:br/>
            </w:r>
            <w:r w:rsidRPr="00F05CE9">
              <w:rPr>
                <w:rFonts w:asciiTheme="majorHAnsi" w:hAnsiTheme="majorHAnsi"/>
                <w:sz w:val="20"/>
                <w:szCs w:val="20"/>
              </w:rPr>
              <w:t>w poziomie z lampką oświetlającą na uchwycie elastycznym nie powodującą oślepiania kierowcy.</w:t>
            </w:r>
          </w:p>
          <w:p w14:paraId="7D9FC1AB" w14:textId="25DB425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4.7.8.</w:t>
            </w:r>
            <w:r w:rsidRPr="00F05CE9">
              <w:rPr>
                <w:rFonts w:asciiTheme="majorHAnsi" w:hAnsiTheme="majorHAnsi"/>
                <w:sz w:val="20"/>
                <w:szCs w:val="20"/>
              </w:rPr>
              <w:tab/>
              <w:t xml:space="preserve">Miejsce nad kierowcą umożliwiające montaż komputera Systemu Informacji Pasażerskiej oraz radiotelefonu. </w:t>
            </w:r>
            <w:r w:rsidR="00FE78D4">
              <w:rPr>
                <w:rFonts w:asciiTheme="majorHAnsi" w:hAnsiTheme="majorHAnsi"/>
                <w:sz w:val="20"/>
                <w:szCs w:val="20"/>
              </w:rPr>
              <w:t>d</w:t>
            </w:r>
            <w:r w:rsidRPr="00F05CE9">
              <w:rPr>
                <w:rFonts w:asciiTheme="majorHAnsi" w:hAnsiTheme="majorHAnsi"/>
                <w:sz w:val="20"/>
                <w:szCs w:val="20"/>
              </w:rPr>
              <w:t>o uzgodnienia z Zamawiającym po podpisaniu umowy.</w:t>
            </w:r>
          </w:p>
          <w:p w14:paraId="74D5BA2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4.7.9.</w:t>
            </w:r>
            <w:r w:rsidRPr="00F05CE9">
              <w:rPr>
                <w:rFonts w:asciiTheme="majorHAnsi" w:hAnsiTheme="majorHAnsi"/>
                <w:sz w:val="20"/>
                <w:szCs w:val="20"/>
              </w:rPr>
              <w:tab/>
              <w:t>Gniazdo do ładowania typu zapalniczka 12V oraz gniazdo typu USB 5V typu A do ładowania telefonu komórkowego.</w:t>
            </w:r>
          </w:p>
          <w:p w14:paraId="46543055" w14:textId="77777777"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t>4.7.10.</w:t>
            </w:r>
            <w:r w:rsidRPr="00F05CE9">
              <w:rPr>
                <w:rFonts w:asciiTheme="majorHAnsi" w:hAnsiTheme="majorHAnsi"/>
                <w:sz w:val="20"/>
                <w:szCs w:val="20"/>
              </w:rPr>
              <w:tab/>
              <w:t>Wyprowadzona instalacja do podłączenia i montażu radiotelefonu Motorola DM serii 4400 wraz z</w:t>
            </w:r>
            <w:r>
              <w:rPr>
                <w:rFonts w:asciiTheme="majorHAnsi" w:hAnsiTheme="majorHAnsi"/>
                <w:sz w:val="20"/>
                <w:szCs w:val="20"/>
              </w:rPr>
              <w:t> </w:t>
            </w:r>
            <w:r w:rsidRPr="00F05CE9">
              <w:rPr>
                <w:rFonts w:asciiTheme="majorHAnsi" w:hAnsiTheme="majorHAnsi"/>
                <w:sz w:val="20"/>
                <w:szCs w:val="20"/>
              </w:rPr>
              <w:t xml:space="preserve">anteną dachową oraz uchwytem na mikrofon. Przewód antenowy o impedancji 50 </w:t>
            </w:r>
            <w:r w:rsidRPr="00F05CE9">
              <w:rPr>
                <w:rFonts w:asciiTheme="majorHAnsi" w:hAnsiTheme="majorHAnsi"/>
                <w:sz w:val="20"/>
                <w:szCs w:val="20"/>
              </w:rPr>
              <w:sym w:font="Symbol" w:char="F057"/>
            </w:r>
            <w:r w:rsidRPr="00F05CE9">
              <w:rPr>
                <w:rFonts w:asciiTheme="majorHAnsi" w:hAnsiTheme="majorHAnsi"/>
                <w:sz w:val="20"/>
                <w:szCs w:val="20"/>
              </w:rPr>
              <w:t xml:space="preserve"> zakończony wtykiem antenowym. Długość uzależniona od miejsca montażu anteny i lokalizacji r</w:t>
            </w:r>
            <w:r>
              <w:rPr>
                <w:rFonts w:asciiTheme="majorHAnsi" w:hAnsiTheme="majorHAnsi"/>
                <w:sz w:val="20"/>
                <w:szCs w:val="20"/>
              </w:rPr>
              <w:t>adiotelefonu w </w:t>
            </w:r>
            <w:r w:rsidRPr="00F05CE9">
              <w:rPr>
                <w:rFonts w:asciiTheme="majorHAnsi" w:hAnsiTheme="majorHAnsi"/>
                <w:sz w:val="20"/>
                <w:szCs w:val="20"/>
              </w:rPr>
              <w:t>kabinie kierowcy. Antena zamontowana w miejscu łatwo dostępnym do celów serwisowych, odległość od innych anten minimum 0.5 m. Należy zastosować anteny radiowe o długości nie większej niż 60 cm. Radiotelefon dostarcza i montuje Zamawiający.</w:t>
            </w:r>
          </w:p>
          <w:p w14:paraId="26CEFA95" w14:textId="05115C9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4.7.11.</w:t>
            </w:r>
            <w:r w:rsidRPr="00F05CE9">
              <w:rPr>
                <w:rFonts w:asciiTheme="majorHAnsi" w:hAnsiTheme="majorHAnsi"/>
                <w:sz w:val="20"/>
                <w:szCs w:val="20"/>
              </w:rPr>
              <w:tab/>
              <w:t>Fotel kierowcy podgrzewany</w:t>
            </w:r>
            <w:r>
              <w:rPr>
                <w:rFonts w:asciiTheme="majorHAnsi" w:hAnsiTheme="majorHAnsi"/>
                <w:sz w:val="20"/>
                <w:szCs w:val="20"/>
              </w:rPr>
              <w:t xml:space="preserve"> </w:t>
            </w:r>
            <w:r w:rsidR="00FE78D4">
              <w:rPr>
                <w:rFonts w:asciiTheme="majorHAnsi" w:hAnsiTheme="majorHAnsi"/>
                <w:sz w:val="20"/>
                <w:szCs w:val="20"/>
              </w:rPr>
              <w:br/>
            </w:r>
            <w:r>
              <w:rPr>
                <w:rFonts w:asciiTheme="majorHAnsi" w:hAnsiTheme="majorHAnsi"/>
                <w:sz w:val="20"/>
                <w:szCs w:val="20"/>
              </w:rPr>
              <w:t xml:space="preserve">z zawieszeniem pneumatycznym i pełną regulacją bezstopniową, w </w:t>
            </w:r>
            <w:r w:rsidRPr="00F05CE9">
              <w:rPr>
                <w:rFonts w:asciiTheme="majorHAnsi" w:hAnsiTheme="majorHAnsi"/>
                <w:sz w:val="20"/>
                <w:szCs w:val="20"/>
              </w:rPr>
              <w:t xml:space="preserve">zależności od indywidualnych potrzeb kierowcy z funkcją pneumatycznego dopasowania do kształtu pleców oraz </w:t>
            </w:r>
            <w:r w:rsidR="00FE78D4">
              <w:rPr>
                <w:rFonts w:asciiTheme="majorHAnsi" w:hAnsiTheme="majorHAnsi"/>
                <w:sz w:val="20"/>
                <w:szCs w:val="20"/>
              </w:rPr>
              <w:br/>
            </w:r>
            <w:r w:rsidRPr="00F05CE9">
              <w:rPr>
                <w:rFonts w:asciiTheme="majorHAnsi" w:hAnsiTheme="majorHAnsi"/>
                <w:sz w:val="20"/>
                <w:szCs w:val="20"/>
              </w:rPr>
              <w:t>z podłokietnikami, zagłówkiem oraz pokrowcem, który można zdjąć w celu usunięcia zanieczyszcz</w:t>
            </w:r>
            <w:r>
              <w:rPr>
                <w:rFonts w:asciiTheme="majorHAnsi" w:hAnsiTheme="majorHAnsi"/>
                <w:sz w:val="20"/>
                <w:szCs w:val="20"/>
              </w:rPr>
              <w:t>eń. Tkanina tapicerska fotela i </w:t>
            </w:r>
            <w:r w:rsidRPr="00F05CE9">
              <w:rPr>
                <w:rFonts w:asciiTheme="majorHAnsi" w:hAnsiTheme="majorHAnsi"/>
                <w:sz w:val="20"/>
                <w:szCs w:val="20"/>
              </w:rPr>
              <w:t xml:space="preserve">pokrowca </w:t>
            </w:r>
            <w:r w:rsidR="00FE78D4">
              <w:rPr>
                <w:rFonts w:asciiTheme="majorHAnsi" w:hAnsiTheme="majorHAnsi"/>
                <w:sz w:val="20"/>
                <w:szCs w:val="20"/>
              </w:rPr>
              <w:br/>
            </w:r>
            <w:r w:rsidRPr="00F05CE9">
              <w:rPr>
                <w:rFonts w:asciiTheme="majorHAnsi" w:hAnsiTheme="majorHAnsi"/>
                <w:sz w:val="20"/>
                <w:szCs w:val="20"/>
              </w:rPr>
              <w:t>w kolorze ciemnym.</w:t>
            </w:r>
          </w:p>
          <w:p w14:paraId="6D6FE777" w14:textId="667E831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4.7.12.</w:t>
            </w:r>
            <w:r w:rsidRPr="00F05CE9">
              <w:rPr>
                <w:rFonts w:asciiTheme="majorHAnsi" w:hAnsiTheme="majorHAnsi"/>
                <w:sz w:val="20"/>
                <w:szCs w:val="20"/>
              </w:rPr>
              <w:tab/>
              <w:t>Radioodtwarzacz samocho</w:t>
            </w:r>
            <w:r>
              <w:rPr>
                <w:rFonts w:asciiTheme="majorHAnsi" w:hAnsiTheme="majorHAnsi"/>
                <w:sz w:val="20"/>
                <w:szCs w:val="20"/>
              </w:rPr>
              <w:t>dowy wraz z anteną zewnętrzną i </w:t>
            </w:r>
            <w:r w:rsidRPr="00F05CE9">
              <w:rPr>
                <w:rFonts w:asciiTheme="majorHAnsi" w:hAnsiTheme="majorHAnsi"/>
                <w:sz w:val="20"/>
                <w:szCs w:val="20"/>
              </w:rPr>
              <w:t>nagłośnieniem w kabinie kierowcy.</w:t>
            </w:r>
          </w:p>
          <w:p w14:paraId="790FA90D" w14:textId="14E1CA5B"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4.7.13.</w:t>
            </w:r>
            <w:r w:rsidRPr="00F05CE9">
              <w:rPr>
                <w:rFonts w:asciiTheme="majorHAnsi" w:hAnsiTheme="majorHAnsi"/>
                <w:sz w:val="20"/>
                <w:szCs w:val="20"/>
              </w:rPr>
              <w:tab/>
              <w:t>Wentylacja kabiny kierowcy z</w:t>
            </w:r>
            <w:r>
              <w:rPr>
                <w:rFonts w:asciiTheme="majorHAnsi" w:hAnsiTheme="majorHAnsi"/>
                <w:sz w:val="20"/>
                <w:szCs w:val="20"/>
              </w:rPr>
              <w:t>a pomocą okna przesuwnego z </w:t>
            </w:r>
            <w:r w:rsidRPr="00F05CE9">
              <w:rPr>
                <w:rFonts w:asciiTheme="majorHAnsi" w:hAnsiTheme="majorHAnsi"/>
                <w:sz w:val="20"/>
                <w:szCs w:val="20"/>
              </w:rPr>
              <w:t>lewej strony stanowiska kierowcy.</w:t>
            </w:r>
          </w:p>
          <w:p w14:paraId="68D55C6B" w14:textId="74E8F17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4.7.14.</w:t>
            </w:r>
            <w:r w:rsidRPr="00F05CE9">
              <w:rPr>
                <w:rFonts w:asciiTheme="majorHAnsi" w:hAnsiTheme="majorHAnsi"/>
                <w:sz w:val="20"/>
                <w:szCs w:val="20"/>
              </w:rPr>
              <w:tab/>
              <w:t xml:space="preserve">Szyba boczna lewa w kabinie kierowcy ogrzewana elektrycznie lub podwójna </w:t>
            </w:r>
            <w:r w:rsidR="00FE78D4">
              <w:rPr>
                <w:rFonts w:asciiTheme="majorHAnsi" w:hAnsiTheme="majorHAnsi"/>
                <w:sz w:val="20"/>
                <w:szCs w:val="20"/>
              </w:rPr>
              <w:br/>
            </w:r>
            <w:r w:rsidRPr="00F05CE9">
              <w:rPr>
                <w:rFonts w:asciiTheme="majorHAnsi" w:hAnsiTheme="majorHAnsi"/>
                <w:sz w:val="20"/>
                <w:szCs w:val="20"/>
              </w:rPr>
              <w:t>z nadmuchem ciepłego powietrza.</w:t>
            </w:r>
          </w:p>
          <w:p w14:paraId="7ACCE736" w14:textId="27840141" w:rsidR="009E7154" w:rsidRPr="00F05CE9" w:rsidRDefault="009E7154" w:rsidP="000C67C0">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4.7.15.</w:t>
            </w:r>
            <w:r w:rsidRPr="00F05CE9">
              <w:rPr>
                <w:rFonts w:asciiTheme="majorHAnsi" w:hAnsiTheme="majorHAnsi"/>
                <w:sz w:val="20"/>
                <w:szCs w:val="20"/>
              </w:rPr>
              <w:tab/>
              <w:t xml:space="preserve">Oświetlenie w kabinie ogólne </w:t>
            </w:r>
            <w:r w:rsidR="00FE78D4">
              <w:rPr>
                <w:rFonts w:asciiTheme="majorHAnsi" w:hAnsiTheme="majorHAnsi"/>
                <w:sz w:val="20"/>
                <w:szCs w:val="20"/>
              </w:rPr>
              <w:br/>
            </w:r>
            <w:r w:rsidRPr="00F05CE9">
              <w:rPr>
                <w:rFonts w:asciiTheme="majorHAnsi" w:hAnsiTheme="majorHAnsi"/>
                <w:sz w:val="20"/>
                <w:szCs w:val="20"/>
              </w:rPr>
              <w:t xml:space="preserve">i punktowe </w:t>
            </w:r>
            <w:r>
              <w:rPr>
                <w:rFonts w:asciiTheme="majorHAnsi" w:hAnsiTheme="majorHAnsi"/>
                <w:sz w:val="20"/>
                <w:szCs w:val="20"/>
              </w:rPr>
              <w:t xml:space="preserve">wykonane </w:t>
            </w:r>
            <w:r w:rsidR="00FE78D4">
              <w:rPr>
                <w:rFonts w:asciiTheme="majorHAnsi" w:hAnsiTheme="majorHAnsi"/>
                <w:sz w:val="20"/>
                <w:szCs w:val="20"/>
              </w:rPr>
              <w:br/>
            </w:r>
            <w:r>
              <w:rPr>
                <w:rFonts w:asciiTheme="majorHAnsi" w:hAnsiTheme="majorHAnsi"/>
                <w:sz w:val="20"/>
                <w:szCs w:val="20"/>
              </w:rPr>
              <w:t>w technologii LED.</w:t>
            </w:r>
          </w:p>
        </w:tc>
        <w:tc>
          <w:tcPr>
            <w:tcW w:w="3111" w:type="dxa"/>
          </w:tcPr>
          <w:p w14:paraId="4579AF5B" w14:textId="77777777" w:rsidR="009E7154" w:rsidRPr="00F05CE9" w:rsidRDefault="009E7154" w:rsidP="000C67C0">
            <w:pPr>
              <w:spacing w:after="0" w:line="360" w:lineRule="auto"/>
              <w:ind w:left="705" w:hanging="705"/>
              <w:jc w:val="both"/>
              <w:rPr>
                <w:rFonts w:asciiTheme="majorHAnsi" w:hAnsiTheme="majorHAnsi"/>
                <w:sz w:val="20"/>
                <w:szCs w:val="20"/>
              </w:rPr>
            </w:pPr>
          </w:p>
        </w:tc>
      </w:tr>
      <w:tr w:rsidR="009E7154" w14:paraId="6B7E3CF4" w14:textId="37C417AB" w:rsidTr="00895755">
        <w:tc>
          <w:tcPr>
            <w:tcW w:w="592" w:type="dxa"/>
          </w:tcPr>
          <w:p w14:paraId="49AE3EBB" w14:textId="7B7EFED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4.8.</w:t>
            </w:r>
          </w:p>
        </w:tc>
        <w:tc>
          <w:tcPr>
            <w:tcW w:w="1676" w:type="dxa"/>
          </w:tcPr>
          <w:p w14:paraId="3CA95F2E" w14:textId="4B12449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ogrzewania i chłodzenia.</w:t>
            </w:r>
          </w:p>
        </w:tc>
        <w:tc>
          <w:tcPr>
            <w:tcW w:w="3686" w:type="dxa"/>
          </w:tcPr>
          <w:p w14:paraId="12C04F1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4.8.1.</w:t>
            </w:r>
            <w:r w:rsidRPr="00F05CE9">
              <w:rPr>
                <w:rFonts w:asciiTheme="majorHAnsi" w:hAnsiTheme="majorHAnsi"/>
                <w:sz w:val="20"/>
                <w:szCs w:val="20"/>
              </w:rPr>
              <w:tab/>
              <w:t>Wentylacja naturalna przez okna:</w:t>
            </w:r>
          </w:p>
          <w:p w14:paraId="76A5ED41" w14:textId="3FDFF2E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wentylacja naturalna przez przesuwane w poziomie </w:t>
            </w:r>
            <w:r w:rsidR="00FE78D4">
              <w:rPr>
                <w:rFonts w:asciiTheme="majorHAnsi" w:hAnsiTheme="majorHAnsi"/>
                <w:sz w:val="20"/>
                <w:szCs w:val="20"/>
              </w:rPr>
              <w:br/>
            </w:r>
            <w:r w:rsidRPr="00F05CE9">
              <w:rPr>
                <w:rFonts w:asciiTheme="majorHAnsi" w:hAnsiTheme="majorHAnsi"/>
                <w:sz w:val="20"/>
                <w:szCs w:val="20"/>
              </w:rPr>
              <w:t>w górnej części okna boczne obejmujące minimum 30 % wysokości okna (minimum 5 sztuk okien przesuwnych rozmieszczonych równomiernie na całej długości autobusu, po prawej i lewej stronie);</w:t>
            </w:r>
          </w:p>
          <w:p w14:paraId="568BCBA6" w14:textId="05FF4D82"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część przesuwna musi być wyposażona w rygiel, który będzie blokował moż</w:t>
            </w:r>
            <w:r>
              <w:rPr>
                <w:rFonts w:asciiTheme="majorHAnsi" w:hAnsiTheme="majorHAnsi"/>
                <w:sz w:val="20"/>
                <w:szCs w:val="20"/>
              </w:rPr>
              <w:t>liwość otwarcia okna zamykany i </w:t>
            </w:r>
            <w:r w:rsidRPr="00F05CE9">
              <w:rPr>
                <w:rFonts w:asciiTheme="majorHAnsi" w:hAnsiTheme="majorHAnsi"/>
                <w:sz w:val="20"/>
                <w:szCs w:val="20"/>
              </w:rPr>
              <w:t>otwierany kluczem typu kwadrat wewnętrzny 8mm.</w:t>
            </w:r>
          </w:p>
          <w:p w14:paraId="4C109504" w14:textId="77777777"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4.8.2.</w:t>
            </w:r>
            <w:r w:rsidRPr="00F05CE9">
              <w:rPr>
                <w:rFonts w:asciiTheme="majorHAnsi" w:hAnsiTheme="majorHAnsi"/>
                <w:sz w:val="20"/>
                <w:szCs w:val="20"/>
              </w:rPr>
              <w:tab/>
              <w:t>Autobusy mają posiadać naturalną i wymuszoną wentylację przestrzeni pasażerskiej. Układ wentylacji wraz z układem ogrzewania musi przeciwdziałać roszeniu na suficie i szybach bocznych.</w:t>
            </w:r>
          </w:p>
          <w:p w14:paraId="3331A20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4.8.3.</w:t>
            </w:r>
            <w:r w:rsidRPr="00F05CE9">
              <w:rPr>
                <w:rFonts w:asciiTheme="majorHAnsi" w:hAnsiTheme="majorHAnsi"/>
                <w:sz w:val="20"/>
                <w:szCs w:val="20"/>
              </w:rPr>
              <w:tab/>
              <w:t>Klimatyzacja o mocy sprężarki minimum 22kW:</w:t>
            </w:r>
          </w:p>
          <w:p w14:paraId="1220DB41" w14:textId="0CFC233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autobus wyposażony </w:t>
            </w:r>
            <w:r w:rsidR="00FE78D4">
              <w:rPr>
                <w:rFonts w:asciiTheme="majorHAnsi" w:hAnsiTheme="majorHAnsi"/>
                <w:sz w:val="20"/>
                <w:szCs w:val="20"/>
              </w:rPr>
              <w:br/>
            </w:r>
            <w:r w:rsidRPr="00F05CE9">
              <w:rPr>
                <w:rFonts w:asciiTheme="majorHAnsi" w:hAnsiTheme="majorHAnsi"/>
                <w:sz w:val="20"/>
                <w:szCs w:val="20"/>
              </w:rPr>
              <w:t xml:space="preserve">w urządzenie klimatyzacyjne przestrzeni pasażerskiej oraz kabiny kierowcy, wyposażone w funkcję niezależnego sterowania i regulacji temperatury dla kabiny kierowcy oraz przestrzeni pasażerskiej </w:t>
            </w:r>
            <w:r w:rsidR="00FE78D4">
              <w:rPr>
                <w:rFonts w:asciiTheme="majorHAnsi" w:hAnsiTheme="majorHAnsi"/>
                <w:sz w:val="20"/>
                <w:szCs w:val="20"/>
              </w:rPr>
              <w:br/>
            </w:r>
            <w:r w:rsidRPr="00F05CE9">
              <w:rPr>
                <w:rFonts w:asciiTheme="majorHAnsi" w:hAnsiTheme="majorHAnsi"/>
                <w:sz w:val="20"/>
                <w:szCs w:val="20"/>
              </w:rPr>
              <w:t>z interfejsem diagnostyczno-serwisowym;</w:t>
            </w:r>
          </w:p>
          <w:p w14:paraId="11880CC1" w14:textId="62BF21A1"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urządzenie musi </w:t>
            </w:r>
            <w:r>
              <w:rPr>
                <w:rFonts w:asciiTheme="majorHAnsi" w:hAnsiTheme="majorHAnsi"/>
                <w:sz w:val="20"/>
                <w:szCs w:val="20"/>
              </w:rPr>
              <w:t>realizować funkcje chłodzenia i </w:t>
            </w:r>
            <w:r w:rsidRPr="00F05CE9">
              <w:rPr>
                <w:rFonts w:asciiTheme="majorHAnsi" w:hAnsiTheme="majorHAnsi"/>
                <w:sz w:val="20"/>
                <w:szCs w:val="20"/>
              </w:rPr>
              <w:t>ogrzewania przestrzeni pasażerskiej automatycznie we współpracy z układem ogrzewania autobusu;</w:t>
            </w:r>
          </w:p>
          <w:p w14:paraId="2B5E0E2C"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c) nadmuch powietrza realizowany wieloma otworami rozmieszczonymi możliwie równomiernie w przestrzeni pasażerskiej, w sposób umożliwiający wymianę powietrza i nie kierujący powietrza bezpośrednio na głowy pasażerów;</w:t>
            </w:r>
          </w:p>
          <w:p w14:paraId="52528174"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d) układ klimatyzacji wyposażony w wymienne wkłady filtrów;</w:t>
            </w:r>
          </w:p>
          <w:p w14:paraId="423D2651" w14:textId="7D256A70"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e) skraplacz i pa</w:t>
            </w:r>
            <w:r>
              <w:rPr>
                <w:rFonts w:asciiTheme="majorHAnsi" w:hAnsiTheme="majorHAnsi"/>
                <w:sz w:val="20"/>
                <w:szCs w:val="20"/>
              </w:rPr>
              <w:t>rownik klimatyzatora wykonany z </w:t>
            </w:r>
            <w:r w:rsidRPr="00F05CE9">
              <w:rPr>
                <w:rFonts w:asciiTheme="majorHAnsi" w:hAnsiTheme="majorHAnsi"/>
                <w:sz w:val="20"/>
                <w:szCs w:val="20"/>
              </w:rPr>
              <w:t>wykorzystaniem rurek miedzianych</w:t>
            </w:r>
            <w:r>
              <w:rPr>
                <w:rFonts w:asciiTheme="majorHAnsi" w:hAnsiTheme="majorHAnsi"/>
                <w:sz w:val="20"/>
                <w:szCs w:val="20"/>
              </w:rPr>
              <w:t xml:space="preserve"> lub aluminiowych</w:t>
            </w:r>
            <w:r w:rsidRPr="00F05CE9">
              <w:rPr>
                <w:rFonts w:asciiTheme="majorHAnsi" w:hAnsiTheme="majorHAnsi"/>
                <w:sz w:val="20"/>
                <w:szCs w:val="20"/>
              </w:rPr>
              <w:t>;</w:t>
            </w:r>
          </w:p>
          <w:p w14:paraId="3EF3CFD6" w14:textId="3BD43CBB"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f) złącza serwisowe do uzupełniania i o</w:t>
            </w:r>
            <w:r>
              <w:rPr>
                <w:rFonts w:asciiTheme="majorHAnsi" w:hAnsiTheme="majorHAnsi"/>
                <w:sz w:val="20"/>
                <w:szCs w:val="20"/>
              </w:rPr>
              <w:t>próżniania czynnika chłodzącego</w:t>
            </w:r>
            <w:r w:rsidRPr="00F05CE9">
              <w:rPr>
                <w:rFonts w:asciiTheme="majorHAnsi" w:hAnsiTheme="majorHAnsi"/>
                <w:sz w:val="20"/>
                <w:szCs w:val="20"/>
              </w:rPr>
              <w:t xml:space="preserve"> zlokalizowane w miejscu łatwo dostępnym;</w:t>
            </w:r>
          </w:p>
          <w:p w14:paraId="2A79197D" w14:textId="23436898" w:rsidR="009E7154" w:rsidRPr="00F05CE9" w:rsidRDefault="009E7154" w:rsidP="00050601">
            <w:pPr>
              <w:spacing w:line="360" w:lineRule="auto"/>
              <w:ind w:left="708"/>
              <w:jc w:val="both"/>
              <w:rPr>
                <w:rFonts w:asciiTheme="majorHAnsi" w:hAnsiTheme="majorHAnsi"/>
                <w:sz w:val="20"/>
                <w:szCs w:val="20"/>
              </w:rPr>
            </w:pPr>
            <w:r w:rsidRPr="00F05CE9">
              <w:rPr>
                <w:rFonts w:asciiTheme="majorHAnsi" w:hAnsiTheme="majorHAnsi"/>
                <w:sz w:val="20"/>
                <w:szCs w:val="20"/>
              </w:rPr>
              <w:t>g) autobus powinien po</w:t>
            </w:r>
            <w:r>
              <w:rPr>
                <w:rFonts w:asciiTheme="majorHAnsi" w:hAnsiTheme="majorHAnsi"/>
                <w:sz w:val="20"/>
                <w:szCs w:val="20"/>
              </w:rPr>
              <w:t>siadać możliwość uruchomienia i </w:t>
            </w:r>
            <w:r w:rsidRPr="00F05CE9">
              <w:rPr>
                <w:rFonts w:asciiTheme="majorHAnsi" w:hAnsiTheme="majorHAnsi"/>
                <w:sz w:val="20"/>
                <w:szCs w:val="20"/>
              </w:rPr>
              <w:t>zasilania klimatyzacji autobusu podczas ładowania magazynu energii na stanowisku do ładowania autobusu.</w:t>
            </w:r>
          </w:p>
          <w:p w14:paraId="02D39499"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4.8.4.</w:t>
            </w:r>
            <w:r w:rsidRPr="00F05CE9">
              <w:rPr>
                <w:rFonts w:asciiTheme="majorHAnsi" w:hAnsiTheme="majorHAnsi"/>
                <w:sz w:val="20"/>
                <w:szCs w:val="20"/>
              </w:rPr>
              <w:tab/>
              <w:t xml:space="preserve">Ogrzewanie wnętrza autobusu sterowane automatycznie przez zastosowanie elektronicznego regulatora temperatury realizowane przez grzejniki konwektorowe oraz nagrzewnice </w:t>
            </w:r>
          </w:p>
          <w:p w14:paraId="09F8704D" w14:textId="6872834C"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z wentylatorami, w których nośnikiem energii cieplnej jest ekologiczny płyn niskokrzepnący. Podgrzewanie płynu następuje w bojlerze elektrycznym </w:t>
            </w:r>
            <w:r>
              <w:rPr>
                <w:rFonts w:asciiTheme="majorHAnsi" w:hAnsiTheme="majorHAnsi"/>
                <w:sz w:val="20"/>
                <w:szCs w:val="20"/>
              </w:rPr>
              <w:t xml:space="preserve">lub magistrali ogrzewania </w:t>
            </w:r>
            <w:r w:rsidRPr="00F05CE9">
              <w:rPr>
                <w:rFonts w:asciiTheme="majorHAnsi" w:hAnsiTheme="majorHAnsi"/>
                <w:sz w:val="20"/>
                <w:szCs w:val="20"/>
              </w:rPr>
              <w:t>a następnie rozprowadzenie obiegiem wymuszonym do:</w:t>
            </w:r>
          </w:p>
          <w:p w14:paraId="1AF8EEBA" w14:textId="6C104756"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nagrzewnic z wentylatorami umieszczonych w przestrzeni pasażerskiej (minimum trzy sztuki) oraz dwie nagrzewnice umieszczone w kabinie kierowcy w tym jedna sterowana niezależnie o 2 stopniach prędkości wentylatora skierowana na nogi kierowcy;</w:t>
            </w:r>
          </w:p>
          <w:p w14:paraId="5AEB1B3E" w14:textId="5459D0B1" w:rsidR="009E7154" w:rsidRPr="00F05CE9" w:rsidRDefault="009E7154" w:rsidP="00050601">
            <w:pPr>
              <w:spacing w:line="360" w:lineRule="auto"/>
              <w:ind w:left="705"/>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grzejników k</w:t>
            </w:r>
            <w:r>
              <w:rPr>
                <w:rFonts w:asciiTheme="majorHAnsi" w:hAnsiTheme="majorHAnsi"/>
                <w:sz w:val="20"/>
                <w:szCs w:val="20"/>
              </w:rPr>
              <w:t>onwektorowych rozmieszczonych w </w:t>
            </w:r>
            <w:r w:rsidRPr="00F05CE9">
              <w:rPr>
                <w:rFonts w:asciiTheme="majorHAnsi" w:hAnsiTheme="majorHAnsi"/>
                <w:sz w:val="20"/>
                <w:szCs w:val="20"/>
              </w:rPr>
              <w:t>przestrzeni pasażerskiej oraz kabinie kierowcy.</w:t>
            </w:r>
          </w:p>
          <w:p w14:paraId="088107A2" w14:textId="77777777"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4.8.5.</w:t>
            </w:r>
            <w:r w:rsidRPr="00F05CE9">
              <w:rPr>
                <w:rFonts w:asciiTheme="majorHAnsi" w:hAnsiTheme="majorHAnsi"/>
                <w:sz w:val="20"/>
                <w:szCs w:val="20"/>
              </w:rPr>
              <w:tab/>
              <w:t>Nagrzewnice z wentylatorami umieszczone w przestrzeni pasażerskiej powinny:</w:t>
            </w:r>
          </w:p>
          <w:p w14:paraId="590E9570"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być zamontowane w sposób zabezpieczający pasażerów przed przypadkowym zranieniem lub </w:t>
            </w:r>
            <w:r>
              <w:rPr>
                <w:rFonts w:asciiTheme="majorHAnsi" w:hAnsiTheme="majorHAnsi"/>
                <w:sz w:val="20"/>
                <w:szCs w:val="20"/>
              </w:rPr>
              <w:t> </w:t>
            </w:r>
            <w:r w:rsidRPr="00F05CE9">
              <w:rPr>
                <w:rFonts w:asciiTheme="majorHAnsi" w:hAnsiTheme="majorHAnsi"/>
                <w:sz w:val="20"/>
                <w:szCs w:val="20"/>
              </w:rPr>
              <w:t>kontuzją;</w:t>
            </w:r>
          </w:p>
          <w:p w14:paraId="60E63446"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być zamontowane w taki sposób, aby wylot ciepłego powietrza był skierowany </w:t>
            </w:r>
            <w:r>
              <w:rPr>
                <w:rFonts w:asciiTheme="majorHAnsi" w:hAnsiTheme="majorHAnsi"/>
                <w:sz w:val="20"/>
                <w:szCs w:val="20"/>
              </w:rPr>
              <w:t>w przestrzeń przy drzwiach;</w:t>
            </w:r>
          </w:p>
          <w:p w14:paraId="3598D3F5"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c) zapewniać łatwy dostęp do wykonania w nich czynności serwisowych;</w:t>
            </w:r>
          </w:p>
          <w:p w14:paraId="7268D49B" w14:textId="6999ADCF" w:rsidR="009E7154" w:rsidRPr="00F05CE9" w:rsidRDefault="009E7154" w:rsidP="004E49A1">
            <w:pPr>
              <w:spacing w:line="360" w:lineRule="auto"/>
              <w:ind w:left="708"/>
              <w:jc w:val="both"/>
              <w:rPr>
                <w:rFonts w:asciiTheme="majorHAnsi" w:hAnsiTheme="majorHAnsi"/>
                <w:sz w:val="20"/>
                <w:szCs w:val="20"/>
              </w:rPr>
            </w:pPr>
            <w:r w:rsidRPr="00F05CE9">
              <w:rPr>
                <w:rFonts w:asciiTheme="majorHAnsi" w:hAnsiTheme="majorHAnsi"/>
                <w:sz w:val="20"/>
                <w:szCs w:val="20"/>
              </w:rPr>
              <w:t>d) posiadać obudowy oraz elementy jej mocowan</w:t>
            </w:r>
            <w:r>
              <w:rPr>
                <w:rFonts w:asciiTheme="majorHAnsi" w:hAnsiTheme="majorHAnsi"/>
                <w:sz w:val="20"/>
                <w:szCs w:val="20"/>
              </w:rPr>
              <w:t>ia zabezpieczone przed korozją</w:t>
            </w:r>
            <w:r w:rsidRPr="00F05CE9">
              <w:rPr>
                <w:rFonts w:asciiTheme="majorHAnsi" w:hAnsiTheme="majorHAnsi"/>
                <w:sz w:val="20"/>
                <w:szCs w:val="20"/>
              </w:rPr>
              <w:t>.</w:t>
            </w:r>
          </w:p>
          <w:p w14:paraId="3AB144A8"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4.8.6.</w:t>
            </w:r>
            <w:r w:rsidRPr="00F05CE9">
              <w:rPr>
                <w:rFonts w:asciiTheme="majorHAnsi" w:hAnsiTheme="majorHAnsi"/>
                <w:sz w:val="20"/>
                <w:szCs w:val="20"/>
              </w:rPr>
              <w:tab/>
              <w:t>Układ ogrzewania kabiny kierowcy musi zapewniać ogrzewanie i osuszanie przedniej szyby przez symetrycznie rozmieszczone kanały wylotu powietrza. Prędkość obrotowa silników dmuchaw regulowana min. 3-stopniowo lub bezstopniowo.</w:t>
            </w:r>
          </w:p>
          <w:p w14:paraId="3DA3AEB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4.8.7.</w:t>
            </w:r>
            <w:r w:rsidRPr="00F05CE9">
              <w:rPr>
                <w:rFonts w:asciiTheme="majorHAnsi" w:hAnsiTheme="majorHAnsi"/>
                <w:sz w:val="20"/>
                <w:szCs w:val="20"/>
              </w:rPr>
              <w:tab/>
              <w:t>Układ ogrzewania wnętrza autobusu musi przesyłać dane dotyczące zużycia energii elektrycznej na potrzeby ogrzewania do komputera Systemu Informacji Pasażerskiej. Zamawiający dopuszcza wysyłanie tych danych za pośrednictwem szyny CAN.</w:t>
            </w:r>
          </w:p>
          <w:p w14:paraId="48B539FB" w14:textId="14A803B3" w:rsidR="009E7154" w:rsidRPr="00F05CE9" w:rsidRDefault="009E7154" w:rsidP="004E49A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4.8.8.</w:t>
            </w:r>
            <w:r w:rsidRPr="00F05CE9">
              <w:rPr>
                <w:rFonts w:asciiTheme="majorHAnsi" w:hAnsiTheme="majorHAnsi"/>
                <w:sz w:val="20"/>
                <w:szCs w:val="20"/>
              </w:rPr>
              <w:tab/>
              <w:t>Ogrzewanie dodatkowe o mocy minimum 22kW realizowane przez agregat grzewczy zasilany olejem napędowym. Ogrzewanie dodatkowe realizuje funkcje ogrzewania wnętrza autobusu przy wykorzystaniu elementów systemu opisanego w pkt. 4.8.4, 4.8.5 oraz 4.8.6 i działające automatycznie przy określanej na poziomie oprogramowania serwisowego temperaturze z możliwością uruchomienia ręcznego. Agregat grzewczy musi przesyłać dane w postaci sygnału czujnika płomienia do komputera Systemu Informacji Pasażerskiej. Zamawiający dopuszcza możliwość przesyłania danych w oparciu o szynę CAN. Pojemność zbiornika na olej napędowy do zasilania agregatu grzewczego min. 40l.</w:t>
            </w:r>
            <w:r>
              <w:rPr>
                <w:rFonts w:asciiTheme="majorHAnsi" w:hAnsiTheme="majorHAnsi"/>
                <w:sz w:val="20"/>
                <w:szCs w:val="20"/>
              </w:rPr>
              <w:t xml:space="preserve"> </w:t>
            </w:r>
            <w:r w:rsidRPr="00F05CE9">
              <w:rPr>
                <w:rFonts w:asciiTheme="majorHAnsi" w:hAnsiTheme="majorHAnsi"/>
                <w:sz w:val="20"/>
                <w:szCs w:val="20"/>
              </w:rPr>
              <w:t>Wlew do zbiornika dodatkowego ogrzewania pod niezależną pokrywą umieszczony na</w:t>
            </w:r>
            <w:r>
              <w:rPr>
                <w:rFonts w:asciiTheme="majorHAnsi" w:hAnsiTheme="majorHAnsi"/>
                <w:sz w:val="20"/>
                <w:szCs w:val="20"/>
              </w:rPr>
              <w:t xml:space="preserve"> </w:t>
            </w:r>
            <w:r w:rsidRPr="00CF682E">
              <w:rPr>
                <w:rFonts w:asciiTheme="majorHAnsi" w:hAnsiTheme="majorHAnsi"/>
                <w:sz w:val="20"/>
                <w:szCs w:val="20"/>
              </w:rPr>
              <w:t>zewnętrznej,</w:t>
            </w:r>
            <w:r w:rsidRPr="00F05CE9">
              <w:rPr>
                <w:rFonts w:asciiTheme="majorHAnsi" w:hAnsiTheme="majorHAnsi"/>
                <w:sz w:val="20"/>
                <w:szCs w:val="20"/>
              </w:rPr>
              <w:t xml:space="preserve"> prawej stronie pojazdu.</w:t>
            </w:r>
          </w:p>
        </w:tc>
        <w:tc>
          <w:tcPr>
            <w:tcW w:w="3111" w:type="dxa"/>
          </w:tcPr>
          <w:p w14:paraId="61F0B71F" w14:textId="77777777" w:rsidR="009E7154" w:rsidRDefault="009E7154">
            <w:pPr>
              <w:spacing w:after="0" w:line="240" w:lineRule="auto"/>
              <w:rPr>
                <w:rFonts w:asciiTheme="majorHAnsi" w:hAnsiTheme="majorHAnsi"/>
                <w:sz w:val="20"/>
                <w:szCs w:val="20"/>
              </w:rPr>
            </w:pPr>
          </w:p>
          <w:p w14:paraId="78CCC00D" w14:textId="77777777" w:rsidR="009E7154" w:rsidRPr="00F05CE9" w:rsidRDefault="009E7154" w:rsidP="004E49A1">
            <w:pPr>
              <w:spacing w:after="0" w:line="360" w:lineRule="auto"/>
              <w:ind w:left="705" w:hanging="705"/>
              <w:jc w:val="both"/>
              <w:rPr>
                <w:rFonts w:asciiTheme="majorHAnsi" w:hAnsiTheme="majorHAnsi"/>
                <w:sz w:val="20"/>
                <w:szCs w:val="20"/>
              </w:rPr>
            </w:pPr>
          </w:p>
        </w:tc>
      </w:tr>
      <w:tr w:rsidR="00050601" w14:paraId="5ECE548D" w14:textId="77777777" w:rsidTr="00652B1F">
        <w:tc>
          <w:tcPr>
            <w:tcW w:w="592" w:type="dxa"/>
            <w:shd w:val="clear" w:color="auto" w:fill="D9D9D9" w:themeFill="background1" w:themeFillShade="D9"/>
          </w:tcPr>
          <w:p w14:paraId="656FE74A" w14:textId="4D957C3E" w:rsidR="00050601" w:rsidRPr="00050601" w:rsidRDefault="00050601" w:rsidP="00720B8C">
            <w:pPr>
              <w:spacing w:before="240" w:line="360" w:lineRule="auto"/>
              <w:rPr>
                <w:rFonts w:asciiTheme="majorHAnsi" w:hAnsiTheme="majorHAnsi"/>
                <w:b/>
                <w:sz w:val="20"/>
                <w:szCs w:val="20"/>
              </w:rPr>
            </w:pPr>
            <w:r w:rsidRPr="00050601">
              <w:rPr>
                <w:rFonts w:asciiTheme="majorHAnsi" w:hAnsiTheme="majorHAnsi"/>
                <w:b/>
                <w:sz w:val="20"/>
                <w:szCs w:val="20"/>
              </w:rPr>
              <w:t>5.</w:t>
            </w:r>
          </w:p>
        </w:tc>
        <w:tc>
          <w:tcPr>
            <w:tcW w:w="8473" w:type="dxa"/>
            <w:gridSpan w:val="3"/>
            <w:shd w:val="clear" w:color="auto" w:fill="D9D9D9" w:themeFill="background1" w:themeFillShade="D9"/>
            <w:vAlign w:val="center"/>
          </w:tcPr>
          <w:p w14:paraId="21629A83" w14:textId="5E15509E" w:rsidR="00050601" w:rsidRPr="00F05CE9" w:rsidRDefault="00050601" w:rsidP="00050601">
            <w:pPr>
              <w:spacing w:after="0" w:line="360" w:lineRule="auto"/>
              <w:jc w:val="both"/>
              <w:rPr>
                <w:rFonts w:asciiTheme="majorHAnsi" w:hAnsiTheme="majorHAnsi"/>
                <w:sz w:val="20"/>
                <w:szCs w:val="20"/>
              </w:rPr>
            </w:pPr>
            <w:r w:rsidRPr="00050601">
              <w:rPr>
                <w:rFonts w:asciiTheme="majorHAnsi" w:hAnsiTheme="majorHAnsi"/>
                <w:b/>
                <w:sz w:val="20"/>
                <w:szCs w:val="20"/>
              </w:rPr>
              <w:t>Układ elektryczny.</w:t>
            </w:r>
          </w:p>
        </w:tc>
      </w:tr>
      <w:tr w:rsidR="009E7154" w14:paraId="514FD6F5" w14:textId="53C65D05" w:rsidTr="00895755">
        <w:tc>
          <w:tcPr>
            <w:tcW w:w="592" w:type="dxa"/>
          </w:tcPr>
          <w:p w14:paraId="310B98FF" w14:textId="0FE2C3AF"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5.1.</w:t>
            </w:r>
          </w:p>
        </w:tc>
        <w:tc>
          <w:tcPr>
            <w:tcW w:w="1676" w:type="dxa"/>
          </w:tcPr>
          <w:p w14:paraId="24F946E7" w14:textId="4A08DB69"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Specyfikacja ogólna układu elektrycznego.</w:t>
            </w:r>
          </w:p>
        </w:tc>
        <w:tc>
          <w:tcPr>
            <w:tcW w:w="3686" w:type="dxa"/>
          </w:tcPr>
          <w:p w14:paraId="2B932568" w14:textId="34C119A8"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w:t>
            </w:r>
            <w:r w:rsidRPr="00F05CE9">
              <w:rPr>
                <w:rFonts w:asciiTheme="majorHAnsi" w:hAnsiTheme="majorHAnsi"/>
                <w:sz w:val="20"/>
                <w:szCs w:val="20"/>
              </w:rPr>
              <w:tab/>
              <w:t>Kompletacja zespołó</w:t>
            </w:r>
            <w:r>
              <w:rPr>
                <w:rFonts w:asciiTheme="majorHAnsi" w:hAnsiTheme="majorHAnsi"/>
                <w:sz w:val="20"/>
                <w:szCs w:val="20"/>
              </w:rPr>
              <w:t>w i podzespołów układu zgodna z </w:t>
            </w:r>
            <w:r w:rsidRPr="00F05CE9">
              <w:rPr>
                <w:rFonts w:asciiTheme="majorHAnsi" w:hAnsiTheme="majorHAnsi"/>
                <w:sz w:val="20"/>
                <w:szCs w:val="20"/>
              </w:rPr>
              <w:t>dostarczonym aktualnym schematem instalacji elektrycznej - dedykowane po numerze VIN pojazdu, z uwzględnieniem wszystkich podzesp</w:t>
            </w:r>
            <w:r>
              <w:rPr>
                <w:rFonts w:asciiTheme="majorHAnsi" w:hAnsiTheme="majorHAnsi"/>
                <w:sz w:val="20"/>
                <w:szCs w:val="20"/>
              </w:rPr>
              <w:t>ołów i zespołów zamontowanych w </w:t>
            </w:r>
            <w:r w:rsidRPr="00F05CE9">
              <w:rPr>
                <w:rFonts w:asciiTheme="majorHAnsi" w:hAnsiTheme="majorHAnsi"/>
                <w:sz w:val="20"/>
                <w:szCs w:val="20"/>
              </w:rPr>
              <w:t>pojeździe.</w:t>
            </w:r>
          </w:p>
          <w:p w14:paraId="470EC20D"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5.1.2.</w:t>
            </w:r>
            <w:r w:rsidRPr="00F05CE9">
              <w:rPr>
                <w:rFonts w:asciiTheme="majorHAnsi" w:hAnsiTheme="majorHAnsi"/>
                <w:sz w:val="20"/>
                <w:szCs w:val="20"/>
              </w:rPr>
              <w:tab/>
              <w:t>Zastosowany system identyfikacji przewodów, końcówek, złączy itp. jednoznaczny, identyczny dla całej dostawy, zgodny z opisem w dostarczonym schemacie instalacji elektrycznej.</w:t>
            </w:r>
          </w:p>
          <w:p w14:paraId="1C373A33" w14:textId="7C883F0A"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5.1.3.</w:t>
            </w:r>
            <w:r w:rsidRPr="00F05CE9">
              <w:rPr>
                <w:rFonts w:asciiTheme="majorHAnsi" w:hAnsiTheme="majorHAnsi"/>
                <w:sz w:val="20"/>
                <w:szCs w:val="20"/>
              </w:rPr>
              <w:tab/>
              <w:t>Układ elektryczny oparty na szeregowej magistrali komunikacyjnej CAN z wykorzystaniem modułów sterujących (multiplekser</w:t>
            </w:r>
            <w:r>
              <w:rPr>
                <w:rFonts w:asciiTheme="majorHAnsi" w:hAnsiTheme="majorHAnsi"/>
                <w:sz w:val="20"/>
                <w:szCs w:val="20"/>
              </w:rPr>
              <w:t>y), możliwy do zdiagnozowania i </w:t>
            </w:r>
            <w:r w:rsidRPr="00F05CE9">
              <w:rPr>
                <w:rFonts w:asciiTheme="majorHAnsi" w:hAnsiTheme="majorHAnsi"/>
                <w:sz w:val="20"/>
                <w:szCs w:val="20"/>
              </w:rPr>
              <w:t>zaprogramowania (aktualizacja) za pomocą odpowiedniego systemu diagnostycznego dostarczonego przez Wykonawcę. Przekazywanie informacji o czasie pracy</w:t>
            </w:r>
            <w:r>
              <w:rPr>
                <w:rFonts w:asciiTheme="majorHAnsi" w:hAnsiTheme="majorHAnsi"/>
                <w:sz w:val="20"/>
                <w:szCs w:val="20"/>
              </w:rPr>
              <w:t xml:space="preserve"> klimatyzacji i </w:t>
            </w:r>
            <w:r w:rsidRPr="00F05CE9">
              <w:rPr>
                <w:rFonts w:asciiTheme="majorHAnsi" w:hAnsiTheme="majorHAnsi"/>
                <w:sz w:val="20"/>
                <w:szCs w:val="20"/>
              </w:rPr>
              <w:t>ogrzewania do magistrali CAN, zgodna z dostarczonym aktualnym schematem instalacji elektrycznej z</w:t>
            </w:r>
            <w:r>
              <w:rPr>
                <w:rFonts w:asciiTheme="majorHAnsi" w:hAnsiTheme="majorHAnsi"/>
                <w:sz w:val="20"/>
                <w:szCs w:val="20"/>
              </w:rPr>
              <w:t> </w:t>
            </w:r>
            <w:r w:rsidRPr="00F05CE9">
              <w:rPr>
                <w:rFonts w:asciiTheme="majorHAnsi" w:hAnsiTheme="majorHAnsi"/>
                <w:sz w:val="20"/>
                <w:szCs w:val="20"/>
              </w:rPr>
              <w:t>uwzględnieniem wszystkich podzespołów zamontowanych w pojeździe.</w:t>
            </w:r>
          </w:p>
          <w:p w14:paraId="389258E9" w14:textId="2D57566A" w:rsidR="009E7154" w:rsidRDefault="009E7154" w:rsidP="004E49A1">
            <w:pPr>
              <w:spacing w:line="360" w:lineRule="auto"/>
              <w:ind w:left="705" w:hanging="705"/>
              <w:jc w:val="both"/>
              <w:rPr>
                <w:rFonts w:asciiTheme="majorHAnsi" w:hAnsiTheme="majorHAnsi"/>
                <w:sz w:val="20"/>
                <w:szCs w:val="20"/>
              </w:rPr>
            </w:pPr>
            <w:r w:rsidRPr="004E49A1">
              <w:rPr>
                <w:rFonts w:asciiTheme="majorHAnsi" w:hAnsiTheme="majorHAnsi"/>
                <w:sz w:val="20"/>
                <w:szCs w:val="20"/>
              </w:rPr>
              <w:t>5.1.4.</w:t>
            </w:r>
            <w:r w:rsidRPr="004E49A1">
              <w:rPr>
                <w:rFonts w:asciiTheme="majorHAnsi" w:hAnsiTheme="majorHAnsi"/>
                <w:sz w:val="20"/>
                <w:szCs w:val="20"/>
              </w:rPr>
              <w:tab/>
              <w:t>Układ szczelny, złącza elektryczne i wiązki przewodów zabezpieczone przed wilgocią.</w:t>
            </w:r>
          </w:p>
          <w:p w14:paraId="5AE26AF4" w14:textId="48367247"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5.1.5.</w:t>
            </w:r>
            <w:r w:rsidRPr="00F05CE9">
              <w:rPr>
                <w:rFonts w:asciiTheme="majorHAnsi" w:hAnsiTheme="majorHAnsi"/>
                <w:sz w:val="20"/>
                <w:szCs w:val="20"/>
              </w:rPr>
              <w:tab/>
              <w:t>Tablica elektrotechniczna umieszczona w przestrzeni pasażerskiej za kabiną kierowcy lub w części sufitowej. Dopuszcza się umieszczenie pod klapą montażową z lewej strony obok kabiny kierowcy. Tablica wyposażona w opis funkcyjny bezpieczników i przekaźników. Zamawiający dopuszcza użycie wyłącznie bezpieczników automatycznych.</w:t>
            </w:r>
          </w:p>
          <w:p w14:paraId="7050E8C0" w14:textId="26C2CCFF"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5.1.6.</w:t>
            </w:r>
            <w:r w:rsidRPr="00F05CE9">
              <w:rPr>
                <w:rFonts w:asciiTheme="majorHAnsi" w:hAnsiTheme="majorHAnsi"/>
                <w:sz w:val="20"/>
                <w:szCs w:val="20"/>
              </w:rPr>
              <w:tab/>
              <w:t>Deska rozdzielcza w kabinie kierowcy ergonomiczna, wyposażona w drogomierz i prędkościomierz.</w:t>
            </w:r>
          </w:p>
          <w:p w14:paraId="6AFE12D2"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5.1.7.</w:t>
            </w:r>
            <w:r w:rsidRPr="00F05CE9">
              <w:rPr>
                <w:rFonts w:asciiTheme="majorHAnsi" w:hAnsiTheme="majorHAnsi"/>
                <w:sz w:val="20"/>
                <w:szCs w:val="20"/>
              </w:rPr>
              <w:tab/>
              <w:t>Konstrukcja mocowania reflektorów przednich umożliwia szybką wymianę źródła światła bez konieczności korzystania ze stanowiska naprawczego (kanał, podnośnik).</w:t>
            </w:r>
          </w:p>
          <w:p w14:paraId="3024F2E8" w14:textId="5013D67D"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5.1.8.</w:t>
            </w:r>
            <w:r w:rsidRPr="00F05CE9">
              <w:rPr>
                <w:rFonts w:asciiTheme="majorHAnsi" w:hAnsiTheme="majorHAnsi"/>
                <w:sz w:val="20"/>
                <w:szCs w:val="20"/>
              </w:rPr>
              <w:tab/>
              <w:t>Homologowane światła do jazdy dziennej oraz światła pozycyjne i oświetleni</w:t>
            </w:r>
            <w:r>
              <w:rPr>
                <w:rFonts w:asciiTheme="majorHAnsi" w:hAnsiTheme="majorHAnsi"/>
                <w:sz w:val="20"/>
                <w:szCs w:val="20"/>
              </w:rPr>
              <w:t>e deski rozdzielczej wykonane w </w:t>
            </w:r>
            <w:r w:rsidRPr="00F05CE9">
              <w:rPr>
                <w:rFonts w:asciiTheme="majorHAnsi" w:hAnsiTheme="majorHAnsi"/>
                <w:sz w:val="20"/>
                <w:szCs w:val="20"/>
              </w:rPr>
              <w:t>technologii LED.</w:t>
            </w:r>
          </w:p>
          <w:p w14:paraId="1487886C" w14:textId="543E8FEC"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5.1.9.</w:t>
            </w:r>
            <w:r w:rsidRPr="00F05CE9">
              <w:rPr>
                <w:rFonts w:asciiTheme="majorHAnsi" w:hAnsiTheme="majorHAnsi"/>
                <w:sz w:val="20"/>
                <w:szCs w:val="20"/>
              </w:rPr>
              <w:tab/>
              <w:t>Wyposażony w dodatkowe św</w:t>
            </w:r>
            <w:r>
              <w:rPr>
                <w:rFonts w:asciiTheme="majorHAnsi" w:hAnsiTheme="majorHAnsi"/>
                <w:sz w:val="20"/>
                <w:szCs w:val="20"/>
              </w:rPr>
              <w:t>iatło „STOP” kategorii S3 lub w </w:t>
            </w:r>
            <w:r w:rsidRPr="00F05CE9">
              <w:rPr>
                <w:rFonts w:asciiTheme="majorHAnsi" w:hAnsiTheme="majorHAnsi"/>
                <w:sz w:val="20"/>
                <w:szCs w:val="20"/>
              </w:rPr>
              <w:t>dwa dodatkowe światła „STOP” górne, kategorii S1 lub S2.</w:t>
            </w:r>
          </w:p>
          <w:p w14:paraId="2E895E6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5.1.10.</w:t>
            </w:r>
            <w:r w:rsidRPr="00F05CE9">
              <w:rPr>
                <w:rFonts w:asciiTheme="majorHAnsi" w:hAnsiTheme="majorHAnsi"/>
                <w:sz w:val="20"/>
                <w:szCs w:val="20"/>
              </w:rPr>
              <w:tab/>
              <w:t>Wyposażony w dwa dodatkowe światła kierunkowskazów, tylne g</w:t>
            </w:r>
            <w:r>
              <w:rPr>
                <w:rFonts w:asciiTheme="majorHAnsi" w:hAnsiTheme="majorHAnsi"/>
                <w:sz w:val="20"/>
                <w:szCs w:val="20"/>
              </w:rPr>
              <w:t>órne pracujące synchronicznie z </w:t>
            </w:r>
            <w:r w:rsidRPr="00F05CE9">
              <w:rPr>
                <w:rFonts w:asciiTheme="majorHAnsi" w:hAnsiTheme="majorHAnsi"/>
                <w:sz w:val="20"/>
                <w:szCs w:val="20"/>
              </w:rPr>
              <w:t>dolnymi.</w:t>
            </w:r>
          </w:p>
          <w:p w14:paraId="66F7F7C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5.1.11.</w:t>
            </w:r>
            <w:r w:rsidRPr="00F05CE9">
              <w:rPr>
                <w:rFonts w:asciiTheme="majorHAnsi" w:hAnsiTheme="majorHAnsi"/>
                <w:sz w:val="20"/>
                <w:szCs w:val="20"/>
              </w:rPr>
              <w:tab/>
              <w:t>Oświetlenie wnętrza pojazdu (przedział pasażerski) wykonane w technologii LED nie powodujące oślepiania kierowcy (także poprzez lusterka wewnętrzne). Lampy oświetlenia przedniej części wnętrza autobusu posiadające możliwość niezależnego wyłączenia lub zmniejszenia jasności strumienia światła.</w:t>
            </w:r>
          </w:p>
          <w:p w14:paraId="69AF05F2" w14:textId="3617297F" w:rsidR="009E7154" w:rsidRDefault="009E7154" w:rsidP="00050601">
            <w:pPr>
              <w:ind w:left="705" w:hanging="705"/>
              <w:jc w:val="both"/>
              <w:rPr>
                <w:rFonts w:ascii="Cambria" w:hAnsi="Cambria"/>
                <w:sz w:val="20"/>
                <w:szCs w:val="20"/>
              </w:rPr>
            </w:pPr>
            <w:r w:rsidRPr="004E49A1">
              <w:rPr>
                <w:rFonts w:ascii="Cambria" w:hAnsi="Cambria"/>
                <w:sz w:val="20"/>
                <w:szCs w:val="20"/>
              </w:rPr>
              <w:t>5.1.12.</w:t>
            </w:r>
            <w:r w:rsidRPr="004E49A1">
              <w:rPr>
                <w:rFonts w:ascii="Cambria" w:hAnsi="Cambria"/>
                <w:sz w:val="20"/>
                <w:szCs w:val="20"/>
              </w:rPr>
              <w:tab/>
              <w:t>Oświetlenie zewnętrzne autobusu wykonane przy wykorzystaniu technologii LED.</w:t>
            </w:r>
          </w:p>
          <w:p w14:paraId="00A2467D" w14:textId="29CC7B03" w:rsidR="009E7154" w:rsidRPr="007B4921" w:rsidRDefault="009E7154" w:rsidP="00050601">
            <w:pPr>
              <w:ind w:left="705" w:hanging="705"/>
              <w:jc w:val="both"/>
              <w:rPr>
                <w:rFonts w:ascii="Cambria" w:hAnsi="Cambria"/>
                <w:sz w:val="20"/>
                <w:szCs w:val="20"/>
              </w:rPr>
            </w:pPr>
            <w:r w:rsidRPr="007B4921">
              <w:rPr>
                <w:rFonts w:ascii="Cambria" w:hAnsi="Cambria"/>
                <w:sz w:val="20"/>
                <w:szCs w:val="20"/>
              </w:rPr>
              <w:t>5.1.13.</w:t>
            </w:r>
            <w:r w:rsidRPr="007B4921">
              <w:rPr>
                <w:rFonts w:ascii="Cambria" w:hAnsi="Cambria"/>
                <w:sz w:val="20"/>
                <w:szCs w:val="20"/>
              </w:rPr>
              <w:tab/>
              <w:t xml:space="preserve">Oświetlenie obszaru drzwi wykonane w technologii LED. Lampa drzwi pierwszych </w:t>
            </w:r>
            <w:r w:rsidRPr="00CF682E">
              <w:rPr>
                <w:rFonts w:ascii="Cambria" w:hAnsi="Cambria"/>
                <w:sz w:val="20"/>
                <w:szCs w:val="20"/>
              </w:rPr>
              <w:t>umieszczona</w:t>
            </w:r>
            <w:r w:rsidRPr="007B4921">
              <w:rPr>
                <w:rFonts w:ascii="Cambria" w:hAnsi="Cambria"/>
                <w:sz w:val="20"/>
                <w:szCs w:val="20"/>
              </w:rPr>
              <w:t xml:space="preserve"> w zagłębieniu lub posiadająca odpowiednią osłonę nie powodująca oślepiania kierowcy bezpośrednio lub przez lusterka wewnętrzne.</w:t>
            </w:r>
          </w:p>
          <w:p w14:paraId="6C76C954"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5.1.14.</w:t>
            </w:r>
            <w:r w:rsidRPr="00F05CE9">
              <w:rPr>
                <w:rFonts w:asciiTheme="majorHAnsi" w:hAnsiTheme="majorHAnsi"/>
                <w:sz w:val="20"/>
                <w:szCs w:val="20"/>
              </w:rPr>
              <w:tab/>
              <w:t>Akumulatory zasilające systemy elektryczne na pokładzie autobusu w ilości 2 szt. o napięciu 12V każdy i pojemności dostosowanej do potrzeb zasilania pokładowych układów elektrycznych.</w:t>
            </w:r>
          </w:p>
          <w:p w14:paraId="241683E5" w14:textId="7338E732"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5.1.15.</w:t>
            </w:r>
            <w:r w:rsidRPr="00F05CE9">
              <w:rPr>
                <w:rFonts w:asciiTheme="majorHAnsi" w:hAnsiTheme="majorHAnsi"/>
                <w:sz w:val="20"/>
                <w:szCs w:val="20"/>
              </w:rPr>
              <w:tab/>
              <w:t>Wyposażony w wyłącznik główny instalacji elektrycznej obsługującej systemy elektryczne na pokładzie autobusu oraz gniazdo ładowania akumulatorów służących do zasilania tej instalacji o napięciu 2</w:t>
            </w:r>
            <w:r>
              <w:rPr>
                <w:rFonts w:asciiTheme="majorHAnsi" w:hAnsiTheme="majorHAnsi"/>
                <w:sz w:val="20"/>
                <w:szCs w:val="20"/>
              </w:rPr>
              <w:t>4V wraz z kompletnym gniazdem w </w:t>
            </w:r>
            <w:r w:rsidRPr="00F05CE9">
              <w:rPr>
                <w:rFonts w:asciiTheme="majorHAnsi" w:hAnsiTheme="majorHAnsi"/>
                <w:sz w:val="20"/>
                <w:szCs w:val="20"/>
              </w:rPr>
              <w:t xml:space="preserve">standardzie NATO umieszczonym w </w:t>
            </w:r>
            <w:r>
              <w:rPr>
                <w:rFonts w:asciiTheme="majorHAnsi" w:hAnsiTheme="majorHAnsi"/>
                <w:sz w:val="20"/>
                <w:szCs w:val="20"/>
              </w:rPr>
              <w:t xml:space="preserve">komorze akumulatorów, </w:t>
            </w:r>
            <w:r w:rsidRPr="007863DD">
              <w:rPr>
                <w:rFonts w:asciiTheme="majorHAnsi" w:hAnsiTheme="majorHAnsi"/>
                <w:sz w:val="20"/>
                <w:szCs w:val="20"/>
              </w:rPr>
              <w:t>o których mowa w pkt. 5.1.14.</w:t>
            </w:r>
            <w:r>
              <w:rPr>
                <w:rFonts w:asciiTheme="majorHAnsi" w:hAnsiTheme="majorHAnsi"/>
                <w:sz w:val="20"/>
                <w:szCs w:val="20"/>
              </w:rPr>
              <w:t xml:space="preserve"> </w:t>
            </w:r>
            <w:r w:rsidRPr="00F05CE9">
              <w:rPr>
                <w:rFonts w:asciiTheme="majorHAnsi" w:hAnsiTheme="majorHAnsi"/>
                <w:sz w:val="20"/>
                <w:szCs w:val="20"/>
              </w:rPr>
              <w:t>umożliwiające wykonanie złącza kablowego z zewnętrznego źródła prądu.</w:t>
            </w:r>
          </w:p>
          <w:p w14:paraId="0ECEA842" w14:textId="6919731E"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5.1.16.</w:t>
            </w:r>
            <w:r w:rsidRPr="00F05CE9">
              <w:rPr>
                <w:rFonts w:asciiTheme="majorHAnsi" w:hAnsiTheme="majorHAnsi"/>
                <w:sz w:val="20"/>
                <w:szCs w:val="20"/>
              </w:rPr>
              <w:tab/>
              <w:t>Umieszczone wewnątrz pojazdu w przestrzeni pasażerskiej minimum 3 sztuki podwójnych ładowarek z gniazdem USB typu A o napięciu 5V oznaczo</w:t>
            </w:r>
            <w:r>
              <w:rPr>
                <w:rFonts w:asciiTheme="majorHAnsi" w:hAnsiTheme="majorHAnsi"/>
                <w:sz w:val="20"/>
                <w:szCs w:val="20"/>
              </w:rPr>
              <w:t>ne piktogramem z podświetleniem i </w:t>
            </w:r>
            <w:r w:rsidRPr="00F05CE9">
              <w:rPr>
                <w:rFonts w:asciiTheme="majorHAnsi" w:hAnsiTheme="majorHAnsi"/>
                <w:sz w:val="20"/>
                <w:szCs w:val="20"/>
              </w:rPr>
              <w:t>zatyczką osłaniającą gniazdo.</w:t>
            </w:r>
          </w:p>
          <w:p w14:paraId="30086798" w14:textId="716B20F8" w:rsidR="009E7154" w:rsidRDefault="009E7154" w:rsidP="004E49A1">
            <w:pPr>
              <w:spacing w:line="360" w:lineRule="auto"/>
              <w:ind w:left="743" w:hanging="743"/>
              <w:jc w:val="both"/>
              <w:rPr>
                <w:rFonts w:asciiTheme="majorHAnsi" w:hAnsiTheme="majorHAnsi"/>
                <w:sz w:val="20"/>
                <w:szCs w:val="20"/>
              </w:rPr>
            </w:pPr>
            <w:r w:rsidRPr="004E49A1">
              <w:rPr>
                <w:rFonts w:asciiTheme="majorHAnsi" w:hAnsiTheme="majorHAnsi"/>
                <w:sz w:val="20"/>
                <w:szCs w:val="20"/>
              </w:rPr>
              <w:t>5.1.17.</w:t>
            </w:r>
            <w:r w:rsidRPr="004E49A1">
              <w:rPr>
                <w:rFonts w:asciiTheme="majorHAnsi" w:hAnsiTheme="majorHAnsi"/>
                <w:sz w:val="20"/>
                <w:szCs w:val="20"/>
              </w:rPr>
              <w:tab/>
              <w:t>Św</w:t>
            </w:r>
            <w:r>
              <w:rPr>
                <w:rFonts w:asciiTheme="majorHAnsi" w:hAnsiTheme="majorHAnsi"/>
                <w:sz w:val="20"/>
                <w:szCs w:val="20"/>
              </w:rPr>
              <w:t xml:space="preserve">iatła dzienne nie mogą się </w:t>
            </w:r>
            <w:r w:rsidRPr="007863DD">
              <w:rPr>
                <w:rFonts w:asciiTheme="majorHAnsi" w:hAnsiTheme="majorHAnsi"/>
                <w:sz w:val="20"/>
                <w:szCs w:val="20"/>
              </w:rPr>
              <w:t>świecić jednocześnie</w:t>
            </w:r>
            <w:r>
              <w:rPr>
                <w:rFonts w:asciiTheme="majorHAnsi" w:hAnsiTheme="majorHAnsi"/>
                <w:sz w:val="20"/>
                <w:szCs w:val="20"/>
              </w:rPr>
              <w:t xml:space="preserve"> </w:t>
            </w:r>
            <w:r w:rsidRPr="004E49A1">
              <w:rPr>
                <w:rFonts w:asciiTheme="majorHAnsi" w:hAnsiTheme="majorHAnsi"/>
                <w:sz w:val="20"/>
                <w:szCs w:val="20"/>
              </w:rPr>
              <w:t>ze</w:t>
            </w:r>
            <w:r>
              <w:rPr>
                <w:rFonts w:asciiTheme="majorHAnsi" w:hAnsiTheme="majorHAnsi"/>
                <w:sz w:val="20"/>
                <w:szCs w:val="20"/>
              </w:rPr>
              <w:t xml:space="preserve"> światłami mijania</w:t>
            </w:r>
            <w:r w:rsidRPr="004E49A1">
              <w:rPr>
                <w:rFonts w:asciiTheme="majorHAnsi" w:hAnsiTheme="majorHAnsi"/>
                <w:sz w:val="20"/>
                <w:szCs w:val="20"/>
              </w:rPr>
              <w:t>.</w:t>
            </w:r>
          </w:p>
          <w:p w14:paraId="0A21E4B6" w14:textId="0410884C"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5.1.18.</w:t>
            </w:r>
            <w:r w:rsidRPr="00F05CE9">
              <w:rPr>
                <w:rFonts w:asciiTheme="majorHAnsi" w:hAnsiTheme="majorHAnsi"/>
                <w:sz w:val="20"/>
                <w:szCs w:val="20"/>
              </w:rPr>
              <w:tab/>
              <w:t>Światła pr</w:t>
            </w:r>
            <w:r>
              <w:rPr>
                <w:rFonts w:asciiTheme="majorHAnsi" w:hAnsiTheme="majorHAnsi"/>
                <w:sz w:val="20"/>
                <w:szCs w:val="20"/>
              </w:rPr>
              <w:t>zeciwmgielne przednie.</w:t>
            </w:r>
          </w:p>
        </w:tc>
        <w:tc>
          <w:tcPr>
            <w:tcW w:w="3111" w:type="dxa"/>
          </w:tcPr>
          <w:p w14:paraId="7BEB71A3" w14:textId="77777777" w:rsidR="009E7154" w:rsidRPr="00F05CE9" w:rsidRDefault="009E7154" w:rsidP="00050601">
            <w:pPr>
              <w:spacing w:after="0" w:line="360" w:lineRule="auto"/>
              <w:jc w:val="both"/>
              <w:rPr>
                <w:rFonts w:asciiTheme="majorHAnsi" w:hAnsiTheme="majorHAnsi"/>
                <w:sz w:val="20"/>
                <w:szCs w:val="20"/>
              </w:rPr>
            </w:pPr>
          </w:p>
        </w:tc>
      </w:tr>
      <w:tr w:rsidR="009E7154" w14:paraId="49D5407C" w14:textId="3947AC02" w:rsidTr="00895755">
        <w:tc>
          <w:tcPr>
            <w:tcW w:w="592" w:type="dxa"/>
          </w:tcPr>
          <w:p w14:paraId="392A815D" w14:textId="6AE49EF2"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5.2.</w:t>
            </w:r>
          </w:p>
        </w:tc>
        <w:tc>
          <w:tcPr>
            <w:tcW w:w="1676" w:type="dxa"/>
          </w:tcPr>
          <w:p w14:paraId="2EB1AABF" w14:textId="7CE916F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Informacji Pasażerskiej (SIP).</w:t>
            </w:r>
          </w:p>
        </w:tc>
        <w:tc>
          <w:tcPr>
            <w:tcW w:w="3686" w:type="dxa"/>
          </w:tcPr>
          <w:p w14:paraId="2B21AC78" w14:textId="5D931161"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w:t>
            </w:r>
            <w:r w:rsidRPr="00F05CE9">
              <w:rPr>
                <w:rFonts w:asciiTheme="majorHAnsi" w:hAnsiTheme="majorHAnsi"/>
                <w:sz w:val="20"/>
                <w:szCs w:val="20"/>
              </w:rPr>
              <w:tab/>
              <w:t xml:space="preserve">Wykonawca dostarczy i zamontuje wraz z instalacją zasilającą oraz transmisyjną tablice informacji pasażerskiej </w:t>
            </w:r>
            <w:r>
              <w:rPr>
                <w:rFonts w:asciiTheme="majorHAnsi" w:hAnsiTheme="majorHAnsi"/>
                <w:sz w:val="20"/>
                <w:szCs w:val="20"/>
              </w:rPr>
              <w:t>współpracujące</w:t>
            </w:r>
            <w:r w:rsidRPr="00F05CE9">
              <w:rPr>
                <w:rFonts w:asciiTheme="majorHAnsi" w:hAnsiTheme="majorHAnsi"/>
                <w:sz w:val="20"/>
                <w:szCs w:val="20"/>
              </w:rPr>
              <w:t xml:space="preserve"> z systemem</w:t>
            </w:r>
            <w:r>
              <w:rPr>
                <w:rFonts w:asciiTheme="majorHAnsi" w:hAnsiTheme="majorHAnsi"/>
                <w:sz w:val="20"/>
                <w:szCs w:val="20"/>
              </w:rPr>
              <w:t xml:space="preserve"> informacji pasażerskiej (SIP) i </w:t>
            </w:r>
            <w:r w:rsidRPr="00F05CE9">
              <w:rPr>
                <w:rFonts w:asciiTheme="majorHAnsi" w:hAnsiTheme="majorHAnsi"/>
                <w:sz w:val="20"/>
                <w:szCs w:val="20"/>
              </w:rPr>
              <w:t>istniejącym u Zamawiającego Centrum Nadzoru Ruchu (CNR) firmy R&amp;G Mielec. Zamawiający nie dopuszcza stosowania urządzeń pośrednich.</w:t>
            </w:r>
          </w:p>
          <w:p w14:paraId="45E23110" w14:textId="77777777" w:rsidR="009E7154" w:rsidRPr="00F05CE9" w:rsidRDefault="009E7154" w:rsidP="00050601">
            <w:pPr>
              <w:spacing w:before="240" w:after="0" w:line="360" w:lineRule="auto"/>
              <w:jc w:val="both"/>
              <w:rPr>
                <w:rFonts w:asciiTheme="majorHAnsi" w:hAnsiTheme="majorHAnsi"/>
                <w:sz w:val="20"/>
                <w:szCs w:val="20"/>
              </w:rPr>
            </w:pPr>
            <w:r w:rsidRPr="00F05CE9">
              <w:rPr>
                <w:rFonts w:asciiTheme="majorHAnsi" w:hAnsiTheme="majorHAnsi"/>
                <w:sz w:val="20"/>
                <w:szCs w:val="20"/>
              </w:rPr>
              <w:t>5.2.2.</w:t>
            </w:r>
            <w:r w:rsidRPr="00F05CE9">
              <w:rPr>
                <w:rFonts w:asciiTheme="majorHAnsi" w:hAnsiTheme="majorHAnsi"/>
                <w:sz w:val="20"/>
                <w:szCs w:val="20"/>
              </w:rPr>
              <w:tab/>
              <w:t>Wymiary minimalne tablic oraz kolor:</w:t>
            </w:r>
          </w:p>
          <w:p w14:paraId="118118DE"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a) czołowa: 1750x295x45 mm z diodami w kolorze białym,</w:t>
            </w:r>
          </w:p>
          <w:p w14:paraId="20A3BF43"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b) boczna: 900x225x45 mm z diodami w kolorze białym,</w:t>
            </w:r>
          </w:p>
          <w:p w14:paraId="102E5861" w14:textId="77777777" w:rsidR="009E7154" w:rsidRDefault="009E7154" w:rsidP="004E49A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tylna numerowa: 430x320x45 z diodami w kolorze białym,</w:t>
            </w:r>
          </w:p>
          <w:p w14:paraId="5AD103E9" w14:textId="269F7A06"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d) tablica wewnętrzna: 115x70x30 m</w:t>
            </w:r>
            <w:r>
              <w:rPr>
                <w:rFonts w:asciiTheme="majorHAnsi" w:hAnsiTheme="majorHAnsi"/>
                <w:sz w:val="20"/>
                <w:szCs w:val="20"/>
              </w:rPr>
              <w:t>m z diodami w kolorze czerwonym.</w:t>
            </w:r>
          </w:p>
          <w:p w14:paraId="1F8FF530" w14:textId="0F02CE5E"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5.2.3.</w:t>
            </w:r>
            <w:r w:rsidRPr="00F05CE9">
              <w:rPr>
                <w:rFonts w:asciiTheme="majorHAnsi" w:hAnsiTheme="majorHAnsi"/>
                <w:sz w:val="20"/>
                <w:szCs w:val="20"/>
              </w:rPr>
              <w:tab/>
              <w:t>Wykonawca dostarczy i zamontuje moduł komunikacyjny (router), działający w standardzie LTE oraz WLAN 2,4 GHz,</w:t>
            </w:r>
            <w:r>
              <w:rPr>
                <w:rFonts w:asciiTheme="majorHAnsi" w:hAnsiTheme="majorHAnsi"/>
                <w:sz w:val="20"/>
                <w:szCs w:val="20"/>
              </w:rPr>
              <w:t xml:space="preserve"> współpracujący</w:t>
            </w:r>
            <w:r w:rsidRPr="00F05CE9">
              <w:rPr>
                <w:rFonts w:asciiTheme="majorHAnsi" w:hAnsiTheme="majorHAnsi"/>
                <w:sz w:val="20"/>
                <w:szCs w:val="20"/>
              </w:rPr>
              <w:t xml:space="preserve"> z całością infrastruktury SIP dający możliwość konfiguracji transmisji video do Centrum Nadzoru Ruchu działającego u Zamawiającego firmy R&amp;G Mielec</w:t>
            </w:r>
            <w:r w:rsidRPr="00F05CE9">
              <w:rPr>
                <w:rFonts w:asciiTheme="majorHAnsi" w:hAnsiTheme="majorHAnsi"/>
                <w:sz w:val="20"/>
                <w:szCs w:val="20"/>
                <w:vertAlign w:val="superscript"/>
              </w:rPr>
              <w:t>*</w:t>
            </w:r>
            <w:r w:rsidRPr="00F05CE9">
              <w:rPr>
                <w:rFonts w:asciiTheme="majorHAnsi" w:hAnsiTheme="majorHAnsi"/>
                <w:sz w:val="20"/>
                <w:szCs w:val="20"/>
              </w:rPr>
              <w:t>. Karty SIM do modułów komunikacyjnych dostarczy Zamawiający.</w:t>
            </w:r>
          </w:p>
          <w:p w14:paraId="70BDE95B" w14:textId="77777777" w:rsidR="009E7154" w:rsidRPr="00F05CE9" w:rsidRDefault="009E7154" w:rsidP="004A21C3">
            <w:pPr>
              <w:spacing w:line="360" w:lineRule="auto"/>
              <w:ind w:left="743" w:hanging="743"/>
              <w:jc w:val="both"/>
              <w:rPr>
                <w:rFonts w:asciiTheme="majorHAnsi" w:hAnsiTheme="majorHAnsi"/>
                <w:sz w:val="20"/>
                <w:szCs w:val="20"/>
              </w:rPr>
            </w:pPr>
            <w:r w:rsidRPr="00F05CE9">
              <w:rPr>
                <w:rFonts w:asciiTheme="majorHAnsi" w:hAnsiTheme="majorHAnsi"/>
                <w:sz w:val="20"/>
                <w:szCs w:val="20"/>
              </w:rPr>
              <w:t>5.2.4.</w:t>
            </w:r>
            <w:r w:rsidRPr="00F05CE9">
              <w:rPr>
                <w:rFonts w:asciiTheme="majorHAnsi" w:hAnsiTheme="majorHAnsi"/>
                <w:sz w:val="20"/>
                <w:szCs w:val="20"/>
              </w:rPr>
              <w:tab/>
              <w:t>Wykonawca dostarczy i zamontuje wielofunkcyjne, zewnętrzne anteny dachowe obsługujące funkcje łączności GSM/GPS/WLAN wraz z podłączeniem do modułu, o którym mowa w pkt. 5.2.3 (wtyk GPS Wykonawca podłączy do modułu GPS, o którym mowa w pkt. 5.2.12 lit. d).</w:t>
            </w:r>
          </w:p>
          <w:p w14:paraId="40AE4DBB"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5.2.5.</w:t>
            </w:r>
            <w:r w:rsidRPr="00F05CE9">
              <w:rPr>
                <w:rFonts w:asciiTheme="majorHAnsi" w:hAnsiTheme="majorHAnsi"/>
                <w:sz w:val="20"/>
                <w:szCs w:val="20"/>
              </w:rPr>
              <w:tab/>
              <w:t>Wykonawca dostarczy i zamontuje wraz z instalacją zasilającą i ETH tablicę z wyświetlaczem TFT LCD:</w:t>
            </w:r>
          </w:p>
          <w:p w14:paraId="79E8DA91"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a) przekątna wyświetlacza: 22”;</w:t>
            </w:r>
          </w:p>
          <w:p w14:paraId="71B18F32" w14:textId="77777777" w:rsidR="009E7154" w:rsidRDefault="009E7154" w:rsidP="004E49A1">
            <w:pPr>
              <w:spacing w:after="0" w:line="360" w:lineRule="auto"/>
              <w:ind w:firstLine="705"/>
              <w:jc w:val="both"/>
              <w:rPr>
                <w:rFonts w:asciiTheme="majorHAnsi" w:hAnsiTheme="majorHAnsi"/>
                <w:sz w:val="20"/>
                <w:szCs w:val="20"/>
              </w:rPr>
            </w:pPr>
            <w:r w:rsidRPr="00F05CE9">
              <w:rPr>
                <w:rFonts w:asciiTheme="majorHAnsi" w:hAnsiTheme="majorHAnsi"/>
                <w:sz w:val="20"/>
                <w:szCs w:val="20"/>
              </w:rPr>
              <w:t>b) rozdzielczość w</w:t>
            </w:r>
            <w:r>
              <w:rPr>
                <w:rFonts w:asciiTheme="majorHAnsi" w:hAnsiTheme="majorHAnsi"/>
                <w:sz w:val="20"/>
                <w:szCs w:val="20"/>
              </w:rPr>
              <w:t>yświetlacza: 1920x1080 pikseli;</w:t>
            </w:r>
          </w:p>
          <w:p w14:paraId="6604DBDC" w14:textId="43CF5F02"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c) podświetlenie matrycy typu LED o luminacji 250 cd/m</w:t>
            </w:r>
            <w:r w:rsidRPr="00F05CE9">
              <w:rPr>
                <w:rFonts w:asciiTheme="majorHAnsi" w:hAnsiTheme="majorHAnsi"/>
                <w:sz w:val="20"/>
                <w:szCs w:val="20"/>
                <w:vertAlign w:val="superscript"/>
              </w:rPr>
              <w:t>2</w:t>
            </w:r>
            <w:r w:rsidRPr="00F05CE9">
              <w:rPr>
                <w:rFonts w:asciiTheme="majorHAnsi" w:hAnsiTheme="majorHAnsi"/>
                <w:sz w:val="20"/>
                <w:szCs w:val="20"/>
              </w:rPr>
              <w:t xml:space="preserve"> regulowana automatycznie;</w:t>
            </w:r>
          </w:p>
          <w:p w14:paraId="63736C26"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d) sterowanie: komputer sterujący typu MSTR;</w:t>
            </w:r>
          </w:p>
          <w:p w14:paraId="5E08D6DA"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e) zakres temperatur pracy od -25</w:t>
            </w:r>
            <w:r w:rsidRPr="00F05CE9">
              <w:rPr>
                <w:rFonts w:asciiTheme="majorHAnsi" w:hAnsiTheme="majorHAnsi"/>
                <w:sz w:val="20"/>
                <w:szCs w:val="20"/>
                <w:vertAlign w:val="superscript"/>
              </w:rPr>
              <w:t>o</w:t>
            </w:r>
            <w:r w:rsidRPr="00F05CE9">
              <w:rPr>
                <w:rFonts w:asciiTheme="majorHAnsi" w:hAnsiTheme="majorHAnsi"/>
                <w:sz w:val="20"/>
                <w:szCs w:val="20"/>
              </w:rPr>
              <w:t>C do +50</w:t>
            </w:r>
            <w:r w:rsidRPr="00F05CE9">
              <w:rPr>
                <w:rFonts w:asciiTheme="majorHAnsi" w:hAnsiTheme="majorHAnsi"/>
                <w:sz w:val="20"/>
                <w:szCs w:val="20"/>
                <w:vertAlign w:val="superscript"/>
              </w:rPr>
              <w:t>o</w:t>
            </w:r>
            <w:r w:rsidRPr="00F05CE9">
              <w:rPr>
                <w:rFonts w:asciiTheme="majorHAnsi" w:hAnsiTheme="majorHAnsi"/>
                <w:sz w:val="20"/>
                <w:szCs w:val="20"/>
              </w:rPr>
              <w:t>C.</w:t>
            </w:r>
          </w:p>
          <w:p w14:paraId="14275C5D" w14:textId="76F3659A" w:rsidR="009E7154"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t>5.2.6.</w:t>
            </w:r>
            <w:r w:rsidRPr="00F05CE9">
              <w:rPr>
                <w:rFonts w:asciiTheme="majorHAnsi" w:hAnsiTheme="majorHAnsi"/>
                <w:sz w:val="20"/>
                <w:szCs w:val="20"/>
              </w:rPr>
              <w:tab/>
              <w:t>Uchwyt do montażu tabl</w:t>
            </w:r>
            <w:r>
              <w:rPr>
                <w:rFonts w:asciiTheme="majorHAnsi" w:hAnsiTheme="majorHAnsi"/>
                <w:sz w:val="20"/>
                <w:szCs w:val="20"/>
              </w:rPr>
              <w:t>icy TFT LCD wraz z maskownicą w </w:t>
            </w:r>
            <w:r w:rsidRPr="00F05CE9">
              <w:rPr>
                <w:rFonts w:asciiTheme="majorHAnsi" w:hAnsiTheme="majorHAnsi"/>
                <w:sz w:val="20"/>
                <w:szCs w:val="20"/>
              </w:rPr>
              <w:t xml:space="preserve">kolorze komponującym się z całością wnętrza pojazdu. Miejsce montażu uchwytu do uzgodnienia z Zamawiającym </w:t>
            </w:r>
            <w:r>
              <w:rPr>
                <w:rFonts w:asciiTheme="majorHAnsi" w:hAnsiTheme="majorHAnsi"/>
                <w:sz w:val="20"/>
                <w:szCs w:val="20"/>
              </w:rPr>
              <w:br/>
            </w:r>
            <w:r w:rsidRPr="00F05CE9">
              <w:rPr>
                <w:rFonts w:asciiTheme="majorHAnsi" w:hAnsiTheme="majorHAnsi"/>
                <w:sz w:val="20"/>
                <w:szCs w:val="20"/>
              </w:rPr>
              <w:t>po podpisaniu umowy.</w:t>
            </w:r>
          </w:p>
          <w:p w14:paraId="6ED4A2FB" w14:textId="77777777" w:rsidR="009E7154" w:rsidRPr="00F05CE9"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t>5.2.7.</w:t>
            </w:r>
            <w:r w:rsidRPr="00F05CE9">
              <w:rPr>
                <w:rFonts w:asciiTheme="majorHAnsi" w:hAnsiTheme="majorHAnsi"/>
                <w:sz w:val="20"/>
                <w:szCs w:val="20"/>
              </w:rPr>
              <w:tab/>
              <w:t xml:space="preserve">Mikrofon do wygłaszania przez kierowcę komunikatów poprzez system nagłośnienia </w:t>
            </w:r>
          </w:p>
          <w:p w14:paraId="6E7D774F"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w przedziale pasażerskim.</w:t>
            </w:r>
          </w:p>
          <w:p w14:paraId="5E5702EA" w14:textId="77777777" w:rsidR="009E7154" w:rsidRPr="00F05CE9" w:rsidRDefault="009E7154" w:rsidP="00050601">
            <w:pPr>
              <w:spacing w:line="360" w:lineRule="auto"/>
              <w:jc w:val="both"/>
              <w:rPr>
                <w:rFonts w:asciiTheme="majorHAnsi" w:hAnsiTheme="majorHAnsi"/>
                <w:sz w:val="20"/>
                <w:szCs w:val="20"/>
              </w:rPr>
            </w:pPr>
            <w:r w:rsidRPr="00F05CE9">
              <w:rPr>
                <w:rFonts w:asciiTheme="majorHAnsi" w:hAnsiTheme="majorHAnsi"/>
                <w:sz w:val="20"/>
                <w:szCs w:val="20"/>
              </w:rPr>
              <w:t>5.2.8.</w:t>
            </w:r>
            <w:r w:rsidRPr="00F05CE9">
              <w:rPr>
                <w:rFonts w:asciiTheme="majorHAnsi" w:hAnsiTheme="majorHAnsi"/>
                <w:sz w:val="20"/>
                <w:szCs w:val="20"/>
              </w:rPr>
              <w:tab/>
              <w:t>Nagłośnienie na zewnątrz pojazdu i wewnątrz pojazdu.</w:t>
            </w:r>
          </w:p>
          <w:p w14:paraId="4B17B688" w14:textId="40DBA697" w:rsidR="009E7154"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5.2.9.</w:t>
            </w:r>
            <w:r w:rsidRPr="00F05CE9">
              <w:rPr>
                <w:rFonts w:asciiTheme="majorHAnsi" w:hAnsiTheme="majorHAnsi"/>
                <w:sz w:val="20"/>
                <w:szCs w:val="20"/>
              </w:rPr>
              <w:tab/>
              <w:t>Na etapie produkcji pojaz</w:t>
            </w:r>
            <w:r>
              <w:rPr>
                <w:rFonts w:asciiTheme="majorHAnsi" w:hAnsiTheme="majorHAnsi"/>
                <w:sz w:val="20"/>
                <w:szCs w:val="20"/>
              </w:rPr>
              <w:t>dów Wykonawca uzgodni z </w:t>
            </w:r>
            <w:r w:rsidRPr="00F05CE9">
              <w:rPr>
                <w:rFonts w:asciiTheme="majorHAnsi" w:hAnsiTheme="majorHAnsi"/>
                <w:sz w:val="20"/>
                <w:szCs w:val="20"/>
              </w:rPr>
              <w:t>Zamawiającym miejsce montażu kasowników i komputera Systemu Informacji Pasażerskiej SRG-6000P oraz uzgodni miejsce montażu pozostałych elementów infrastruktury SIP.</w:t>
            </w:r>
          </w:p>
          <w:p w14:paraId="67C24BFB" w14:textId="598CE715"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5.2.10.</w:t>
            </w:r>
            <w:r w:rsidRPr="00F05CE9">
              <w:rPr>
                <w:rFonts w:asciiTheme="majorHAnsi" w:hAnsiTheme="majorHAnsi"/>
                <w:sz w:val="20"/>
                <w:szCs w:val="20"/>
              </w:rPr>
              <w:tab/>
              <w:t>Wykonawca dostarczy i zamontuje k</w:t>
            </w:r>
            <w:r>
              <w:rPr>
                <w:rFonts w:asciiTheme="majorHAnsi" w:hAnsiTheme="majorHAnsi"/>
                <w:sz w:val="20"/>
                <w:szCs w:val="20"/>
              </w:rPr>
              <w:t>asownik dwufunkcyjny o </w:t>
            </w:r>
            <w:r w:rsidRPr="00F05CE9">
              <w:rPr>
                <w:rFonts w:asciiTheme="majorHAnsi" w:hAnsiTheme="majorHAnsi"/>
                <w:sz w:val="20"/>
                <w:szCs w:val="20"/>
              </w:rPr>
              <w:t>parametrach:</w:t>
            </w:r>
          </w:p>
          <w:p w14:paraId="6DDBBDF0" w14:textId="7255F0A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kasownik dwufunkcyjny (kasownik biletów na kartach elektronicznych i biletów papierowych) </w:t>
            </w:r>
            <w:r>
              <w:rPr>
                <w:rFonts w:asciiTheme="majorHAnsi" w:hAnsiTheme="majorHAnsi"/>
                <w:sz w:val="20"/>
                <w:szCs w:val="20"/>
              </w:rPr>
              <w:t>współpracujący z </w:t>
            </w:r>
            <w:r w:rsidRPr="00F05CE9">
              <w:rPr>
                <w:rFonts w:asciiTheme="majorHAnsi" w:hAnsiTheme="majorHAnsi"/>
                <w:sz w:val="20"/>
                <w:szCs w:val="20"/>
              </w:rPr>
              <w:t xml:space="preserve">Systemem Informacji Pasażerskiej działającym </w:t>
            </w:r>
            <w:r w:rsidR="00FE78D4">
              <w:rPr>
                <w:rFonts w:asciiTheme="majorHAnsi" w:hAnsiTheme="majorHAnsi"/>
                <w:sz w:val="20"/>
                <w:szCs w:val="20"/>
              </w:rPr>
              <w:br/>
            </w:r>
            <w:r w:rsidRPr="00F05CE9">
              <w:rPr>
                <w:rFonts w:asciiTheme="majorHAnsi" w:hAnsiTheme="majorHAnsi"/>
                <w:sz w:val="20"/>
                <w:szCs w:val="20"/>
              </w:rPr>
              <w:t xml:space="preserve">w pojazdach Zamawiającego </w:t>
            </w:r>
            <w:r w:rsidR="00FE78D4">
              <w:rPr>
                <w:rFonts w:asciiTheme="majorHAnsi" w:hAnsiTheme="majorHAnsi"/>
                <w:sz w:val="20"/>
                <w:szCs w:val="20"/>
              </w:rPr>
              <w:br/>
            </w:r>
            <w:r w:rsidRPr="00F05CE9">
              <w:rPr>
                <w:rFonts w:asciiTheme="majorHAnsi" w:hAnsiTheme="majorHAnsi"/>
                <w:sz w:val="20"/>
                <w:szCs w:val="20"/>
              </w:rPr>
              <w:t>i z systemem biletowym Tarnowskiej Karty Miejskiej funkcjonującym w mieście Tarnowie oraz musi współpracować z posiadanym</w:t>
            </w:r>
            <w:r>
              <w:rPr>
                <w:rFonts w:asciiTheme="majorHAnsi" w:hAnsiTheme="majorHAnsi"/>
                <w:sz w:val="20"/>
                <w:szCs w:val="20"/>
              </w:rPr>
              <w:t xml:space="preserve"> i z </w:t>
            </w:r>
            <w:r w:rsidRPr="00F05CE9">
              <w:rPr>
                <w:rFonts w:asciiTheme="majorHAnsi" w:hAnsiTheme="majorHAnsi"/>
                <w:sz w:val="20"/>
                <w:szCs w:val="20"/>
              </w:rPr>
              <w:t>dostarczonym przez zamawiającego  komputerem pokładowym SRG- 6000P, musi być urządzeniem dedykowanym do pracy w środkach transportu publicznego;</w:t>
            </w:r>
          </w:p>
          <w:p w14:paraId="22129BD2" w14:textId="1AFBC520"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musi być urządzeniem mogącym dokonywać</w:t>
            </w:r>
            <w:r>
              <w:rPr>
                <w:rFonts w:asciiTheme="majorHAnsi" w:hAnsiTheme="majorHAnsi"/>
                <w:sz w:val="20"/>
                <w:szCs w:val="20"/>
              </w:rPr>
              <w:t xml:space="preserve"> zapisu i </w:t>
            </w:r>
            <w:r w:rsidRPr="00F05CE9">
              <w:rPr>
                <w:rFonts w:asciiTheme="majorHAnsi" w:hAnsiTheme="majorHAnsi"/>
                <w:sz w:val="20"/>
                <w:szCs w:val="20"/>
              </w:rPr>
              <w:t xml:space="preserve">odczytu kart zbliżeniowych zgodnych </w:t>
            </w:r>
            <w:r>
              <w:rPr>
                <w:rFonts w:asciiTheme="majorHAnsi" w:hAnsiTheme="majorHAnsi"/>
                <w:sz w:val="20"/>
                <w:szCs w:val="20"/>
              </w:rPr>
              <w:br/>
            </w:r>
            <w:r w:rsidRPr="00F05CE9">
              <w:rPr>
                <w:rFonts w:asciiTheme="majorHAnsi" w:hAnsiTheme="majorHAnsi"/>
                <w:sz w:val="20"/>
                <w:szCs w:val="20"/>
              </w:rPr>
              <w:t>z normą ISO/IEC 14443 typ A part 1-4</w:t>
            </w:r>
            <w:r>
              <w:rPr>
                <w:rFonts w:asciiTheme="majorHAnsi" w:hAnsiTheme="majorHAnsi"/>
                <w:sz w:val="20"/>
                <w:szCs w:val="20"/>
              </w:rPr>
              <w:t xml:space="preserve"> lub równoważne</w:t>
            </w:r>
            <w:r w:rsidRPr="00F05CE9">
              <w:rPr>
                <w:rFonts w:asciiTheme="majorHAnsi" w:hAnsiTheme="majorHAnsi"/>
                <w:sz w:val="20"/>
                <w:szCs w:val="20"/>
              </w:rPr>
              <w:t>. Kasownik ma umożliwić odczyt, zapis i przetwarzanie danych dotyczących biletów zapisanych na istniejącej w Tarnowie karcie bezkontaktowej;</w:t>
            </w:r>
          </w:p>
          <w:p w14:paraId="3EF0960A"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musi posiadać otwarty system operacyjny;</w:t>
            </w:r>
          </w:p>
          <w:p w14:paraId="2EB8D3CD" w14:textId="71308923"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d) musi realizować pełną w</w:t>
            </w:r>
            <w:r>
              <w:rPr>
                <w:rFonts w:asciiTheme="majorHAnsi" w:hAnsiTheme="majorHAnsi"/>
                <w:sz w:val="20"/>
                <w:szCs w:val="20"/>
              </w:rPr>
              <w:t>ymianę potrzebnych informacji z </w:t>
            </w:r>
            <w:r w:rsidRPr="00F05CE9">
              <w:rPr>
                <w:rFonts w:asciiTheme="majorHAnsi" w:hAnsiTheme="majorHAnsi"/>
                <w:sz w:val="20"/>
                <w:szCs w:val="20"/>
              </w:rPr>
              <w:t xml:space="preserve">istniejącym </w:t>
            </w:r>
            <w:r w:rsidR="00FE78D4">
              <w:rPr>
                <w:rFonts w:asciiTheme="majorHAnsi" w:hAnsiTheme="majorHAnsi"/>
                <w:sz w:val="20"/>
                <w:szCs w:val="20"/>
              </w:rPr>
              <w:br/>
            </w:r>
            <w:r w:rsidRPr="00F05CE9">
              <w:rPr>
                <w:rFonts w:asciiTheme="majorHAnsi" w:hAnsiTheme="majorHAnsi"/>
                <w:sz w:val="20"/>
                <w:szCs w:val="20"/>
              </w:rPr>
              <w:t xml:space="preserve">w pojazdach Zamawiającego komputerem pokładowym, </w:t>
            </w:r>
            <w:r w:rsidR="00FE78D4">
              <w:rPr>
                <w:rFonts w:asciiTheme="majorHAnsi" w:hAnsiTheme="majorHAnsi"/>
                <w:sz w:val="20"/>
                <w:szCs w:val="20"/>
              </w:rPr>
              <w:br/>
            </w:r>
            <w:r w:rsidRPr="00F05CE9">
              <w:rPr>
                <w:rFonts w:asciiTheme="majorHAnsi" w:hAnsiTheme="majorHAnsi"/>
                <w:sz w:val="20"/>
                <w:szCs w:val="20"/>
              </w:rPr>
              <w:t>w tym listą zastrzeżonych kart elektronicznych;</w:t>
            </w:r>
          </w:p>
          <w:p w14:paraId="00D6CB3D" w14:textId="1ACE3CD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e) musi posiadać zwartą, wandaloodporną obudowę (wymagana jest obudowa metalowa z odlewu ciśnieniowego);</w:t>
            </w:r>
          </w:p>
          <w:p w14:paraId="62C4AE67" w14:textId="3905FEA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f</w:t>
            </w:r>
            <w:r w:rsidRPr="00F05CE9">
              <w:rPr>
                <w:rFonts w:asciiTheme="majorHAnsi" w:hAnsiTheme="majorHAnsi"/>
                <w:sz w:val="20"/>
                <w:szCs w:val="20"/>
              </w:rPr>
              <w:t xml:space="preserve">) musi posiadać wbudowany, podświetlany kolorowy wyświetlacz dotykowy LCD </w:t>
            </w:r>
            <w:r>
              <w:rPr>
                <w:rFonts w:asciiTheme="majorHAnsi" w:hAnsiTheme="majorHAnsi"/>
                <w:sz w:val="20"/>
                <w:szCs w:val="20"/>
              </w:rPr>
              <w:t>o przekątnej min. 7” i </w:t>
            </w:r>
            <w:r w:rsidRPr="00F05CE9">
              <w:rPr>
                <w:rFonts w:asciiTheme="majorHAnsi" w:hAnsiTheme="majorHAnsi"/>
                <w:sz w:val="20"/>
                <w:szCs w:val="20"/>
              </w:rPr>
              <w:t>rozdzielczości min. 800 na 480 pikseli, na którym wyświetlane będą informacje dla pasażera o ilości punktów zapisanych na karcie bezkontaktowej. Ze względu na środowisko pracy kasownika i pożądaną odporność na uszkodzenie Zamawiający wymaga zastosowanie ekranu LCD zabezpieczone min. 3 milimetrową szybą hartowaną lub innym tego typu trwałym rozwiązaniem, podświetlenie ekranu w technologii  LED;</w:t>
            </w:r>
          </w:p>
          <w:p w14:paraId="2E638913"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g</w:t>
            </w:r>
            <w:r w:rsidRPr="00F05CE9">
              <w:rPr>
                <w:rFonts w:asciiTheme="majorHAnsi" w:hAnsiTheme="majorHAnsi"/>
                <w:sz w:val="20"/>
                <w:szCs w:val="20"/>
              </w:rPr>
              <w:t>) musi pracować bezawaryjnie w zakresie temperatur od -25 do +50</w:t>
            </w:r>
            <w:r w:rsidRPr="00F05CE9">
              <w:rPr>
                <w:rFonts w:asciiTheme="majorHAnsi" w:hAnsiTheme="majorHAnsi"/>
                <w:sz w:val="20"/>
                <w:szCs w:val="20"/>
                <w:vertAlign w:val="superscript"/>
              </w:rPr>
              <w:t>o</w:t>
            </w:r>
            <w:r w:rsidRPr="00F05CE9">
              <w:rPr>
                <w:rFonts w:asciiTheme="majorHAnsi" w:hAnsiTheme="majorHAnsi"/>
                <w:sz w:val="20"/>
                <w:szCs w:val="20"/>
              </w:rPr>
              <w:t>C w warunkach panujących w pojeździe komunikacji zbiorowej;</w:t>
            </w:r>
          </w:p>
          <w:p w14:paraId="3B8E67B5"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h</w:t>
            </w:r>
            <w:r w:rsidRPr="00F05CE9">
              <w:rPr>
                <w:rFonts w:asciiTheme="majorHAnsi" w:hAnsiTheme="majorHAnsi"/>
                <w:sz w:val="20"/>
                <w:szCs w:val="20"/>
              </w:rPr>
              <w:t>) musi posiadać wymiary obudowy wynoszące maksymalnie 390 x190 x160 mm (wymiar maksymalne obudowy samego kasownika bez systemu mocowania do słupka lub poręczy);</w:t>
            </w:r>
          </w:p>
          <w:p w14:paraId="612D615F"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i</w:t>
            </w:r>
            <w:r w:rsidRPr="00F05CE9">
              <w:rPr>
                <w:rFonts w:asciiTheme="majorHAnsi" w:hAnsiTheme="majorHAnsi"/>
                <w:sz w:val="20"/>
                <w:szCs w:val="20"/>
              </w:rPr>
              <w:t>) musi weryfikować rodzaj biletu zapisanego na karcie bezkontaktowej;</w:t>
            </w:r>
          </w:p>
          <w:p w14:paraId="24FD527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j</w:t>
            </w:r>
            <w:r w:rsidRPr="00F05CE9">
              <w:rPr>
                <w:rFonts w:asciiTheme="majorHAnsi" w:hAnsiTheme="majorHAnsi"/>
                <w:sz w:val="20"/>
                <w:szCs w:val="20"/>
              </w:rPr>
              <w:t>) musi umożliwiać informowanie pasażera o czasie i bieżącej dacie oraz blokadzie kasownika poprzez przedstawienie informacji na wyświetlaczu LCD;</w:t>
            </w:r>
          </w:p>
          <w:p w14:paraId="2550F6EC"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k</w:t>
            </w:r>
            <w:r w:rsidRPr="00F05CE9">
              <w:rPr>
                <w:rFonts w:asciiTheme="majorHAnsi" w:hAnsiTheme="majorHAnsi"/>
                <w:sz w:val="20"/>
                <w:szCs w:val="20"/>
              </w:rPr>
              <w:t>) być wyposażony w minimum 3 przyciskową dotykowa klawiaturę wirtualną na ekranie LCD dostępną dla pasażera od frontu kasownika, dla wyboru taryfy kasowania oraz do sprawdzenia ważności kontraktu na karcie bezkontaktowej, wszystkie programowane przyciski muszą być zdefiniowane na ekranie dotykowym;</w:t>
            </w:r>
          </w:p>
          <w:p w14:paraId="3BD869ED" w14:textId="45B3CE4B"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l</w:t>
            </w:r>
            <w:r w:rsidRPr="00F05CE9">
              <w:rPr>
                <w:rFonts w:asciiTheme="majorHAnsi" w:hAnsiTheme="majorHAnsi"/>
                <w:sz w:val="20"/>
                <w:szCs w:val="20"/>
              </w:rPr>
              <w:t>) ekran dotykowy kasownika musi być zrealizowany przez wandaloodporne rozwiązanie w technologii pojemnościowej lub podczerwonej. Zamawiający nie dopuszcza ekranu dotykowego w technologii rezystancyjnej;</w:t>
            </w:r>
          </w:p>
          <w:p w14:paraId="786478BE"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m</w:t>
            </w:r>
            <w:r w:rsidRPr="00F05CE9">
              <w:rPr>
                <w:rFonts w:asciiTheme="majorHAnsi" w:hAnsiTheme="majorHAnsi"/>
                <w:sz w:val="20"/>
                <w:szCs w:val="20"/>
              </w:rPr>
              <w:t>) musi generować podczas operacji kasowania sygnały akustyczne i opcjonalnie zapowiedzi głosowe, odpowiednie do statusu kasowania;</w:t>
            </w:r>
          </w:p>
          <w:p w14:paraId="41791473" w14:textId="1DFDF40E"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n</w:t>
            </w:r>
            <w:r w:rsidRPr="00F05CE9">
              <w:rPr>
                <w:rFonts w:asciiTheme="majorHAnsi" w:hAnsiTheme="majorHAnsi"/>
                <w:sz w:val="20"/>
                <w:szCs w:val="20"/>
              </w:rPr>
              <w:t>) musi generować informację na wyświetlaczu LCD oraz sygnał dźwiękowy podczas operacji z użyciem karty zablokowanej lub znajdującej się na „czarnej liście”;</w:t>
            </w:r>
          </w:p>
          <w:p w14:paraId="5D124A5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o</w:t>
            </w:r>
            <w:r w:rsidRPr="00F05CE9">
              <w:rPr>
                <w:rFonts w:asciiTheme="majorHAnsi" w:hAnsiTheme="majorHAnsi"/>
                <w:sz w:val="20"/>
                <w:szCs w:val="20"/>
              </w:rPr>
              <w:t>) musi umożliwiać informowanie posiadacza karty o stanie konta po wciśnięciu odpowiedniego przycisku;</w:t>
            </w:r>
          </w:p>
          <w:p w14:paraId="082C2E3D" w14:textId="0CBEB42A"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p</w:t>
            </w:r>
            <w:r w:rsidRPr="00F05CE9">
              <w:rPr>
                <w:rFonts w:asciiTheme="majorHAnsi" w:hAnsiTheme="majorHAnsi"/>
                <w:sz w:val="20"/>
                <w:szCs w:val="20"/>
              </w:rPr>
              <w:t xml:space="preserve">) musi obsługiwać minimum 4 sloty do kart pamięci (istniejących w systemie biletowym </w:t>
            </w:r>
            <w:r w:rsidR="00FE78D4">
              <w:rPr>
                <w:rFonts w:asciiTheme="majorHAnsi" w:hAnsiTheme="majorHAnsi"/>
                <w:sz w:val="20"/>
                <w:szCs w:val="20"/>
              </w:rPr>
              <w:t xml:space="preserve"> </w:t>
            </w:r>
            <w:r w:rsidRPr="00F05CE9">
              <w:rPr>
                <w:rFonts w:asciiTheme="majorHAnsi" w:hAnsiTheme="majorHAnsi"/>
                <w:sz w:val="20"/>
                <w:szCs w:val="20"/>
              </w:rPr>
              <w:t>w mieście Tarnowie). Kartę pamięci do kasowników dostarczy Zamawiający;</w:t>
            </w:r>
          </w:p>
          <w:p w14:paraId="21F68253"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q</w:t>
            </w:r>
            <w:r w:rsidRPr="00F05CE9">
              <w:rPr>
                <w:rFonts w:asciiTheme="majorHAnsi" w:hAnsiTheme="majorHAnsi"/>
                <w:sz w:val="20"/>
                <w:szCs w:val="20"/>
              </w:rPr>
              <w:t>) musi odczytywać karty bezkontaktowe z odległości rzędu 5 cm;</w:t>
            </w:r>
          </w:p>
          <w:p w14:paraId="08F26B6B"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r</w:t>
            </w:r>
            <w:r w:rsidRPr="00F05CE9">
              <w:rPr>
                <w:rFonts w:asciiTheme="majorHAnsi" w:hAnsiTheme="majorHAnsi"/>
                <w:sz w:val="20"/>
                <w:szCs w:val="20"/>
              </w:rPr>
              <w:t>) musi posiadać zaimplementowane mechanizmy obsługi istniejącego w mieście Tarnowie bezstykowego biletu elektronicznego terminowego i na zasadzie „elektronicznej portmonetki”;</w:t>
            </w:r>
          </w:p>
          <w:p w14:paraId="0DFB092B" w14:textId="0B126D8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s</w:t>
            </w:r>
            <w:r w:rsidRPr="00F05CE9">
              <w:rPr>
                <w:rFonts w:asciiTheme="majorHAnsi" w:hAnsiTheme="majorHAnsi"/>
                <w:sz w:val="20"/>
                <w:szCs w:val="20"/>
              </w:rPr>
              <w:t>) musi umożliwiać pobranie jednorazowej opłaty za przejazd środkami trans</w:t>
            </w:r>
            <w:r>
              <w:rPr>
                <w:rFonts w:asciiTheme="majorHAnsi" w:hAnsiTheme="majorHAnsi"/>
                <w:sz w:val="20"/>
                <w:szCs w:val="20"/>
              </w:rPr>
              <w:t>portu zbiorowego z karty bezkontaktowej w </w:t>
            </w:r>
            <w:r w:rsidRPr="00F05CE9">
              <w:rPr>
                <w:rFonts w:asciiTheme="majorHAnsi" w:hAnsiTheme="majorHAnsi"/>
                <w:sz w:val="20"/>
                <w:szCs w:val="20"/>
              </w:rPr>
              <w:t xml:space="preserve">dowolnej ilości (również za osobę towarzyszącą) z zapisem </w:t>
            </w:r>
            <w:r w:rsidR="00FE78D4">
              <w:rPr>
                <w:rFonts w:asciiTheme="majorHAnsi" w:hAnsiTheme="majorHAnsi"/>
                <w:sz w:val="20"/>
                <w:szCs w:val="20"/>
              </w:rPr>
              <w:br/>
            </w:r>
            <w:r w:rsidRPr="00F05CE9">
              <w:rPr>
                <w:rFonts w:asciiTheme="majorHAnsi" w:hAnsiTheme="majorHAnsi"/>
                <w:sz w:val="20"/>
                <w:szCs w:val="20"/>
              </w:rPr>
              <w:t xml:space="preserve">i rozróżnieniem w systemie wejścia i wyjścia pasażera </w:t>
            </w:r>
            <w:r>
              <w:rPr>
                <w:rFonts w:asciiTheme="majorHAnsi" w:hAnsiTheme="majorHAnsi"/>
                <w:sz w:val="20"/>
                <w:szCs w:val="20"/>
              </w:rPr>
              <w:t>do/z </w:t>
            </w:r>
            <w:r w:rsidRPr="00F05CE9">
              <w:rPr>
                <w:rFonts w:asciiTheme="majorHAnsi" w:hAnsiTheme="majorHAnsi"/>
                <w:sz w:val="20"/>
                <w:szCs w:val="20"/>
              </w:rPr>
              <w:t>pojazdu;</w:t>
            </w:r>
          </w:p>
          <w:p w14:paraId="729B7D0D" w14:textId="5D00855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t</w:t>
            </w:r>
            <w:r w:rsidRPr="00F05CE9">
              <w:rPr>
                <w:rFonts w:asciiTheme="majorHAnsi" w:hAnsiTheme="majorHAnsi"/>
                <w:sz w:val="20"/>
                <w:szCs w:val="20"/>
              </w:rPr>
              <w:t>) musi rejestrować prz</w:t>
            </w:r>
            <w:r>
              <w:rPr>
                <w:rFonts w:asciiTheme="majorHAnsi" w:hAnsiTheme="majorHAnsi"/>
                <w:sz w:val="20"/>
                <w:szCs w:val="20"/>
              </w:rPr>
              <w:t>ejazd na podstawie wdrożonego w </w:t>
            </w:r>
            <w:r w:rsidRPr="00F05CE9">
              <w:rPr>
                <w:rFonts w:asciiTheme="majorHAnsi" w:hAnsiTheme="majorHAnsi"/>
                <w:sz w:val="20"/>
                <w:szCs w:val="20"/>
              </w:rPr>
              <w:t>mieście Tarnowie biletu okresowego lub na kartę bezkontaktową bezpła</w:t>
            </w:r>
            <w:r>
              <w:rPr>
                <w:rFonts w:asciiTheme="majorHAnsi" w:hAnsiTheme="majorHAnsi"/>
                <w:sz w:val="20"/>
                <w:szCs w:val="20"/>
              </w:rPr>
              <w:t xml:space="preserve">tną </w:t>
            </w:r>
            <w:r w:rsidR="00FE78D4">
              <w:rPr>
                <w:rFonts w:asciiTheme="majorHAnsi" w:hAnsiTheme="majorHAnsi"/>
                <w:sz w:val="20"/>
                <w:szCs w:val="20"/>
              </w:rPr>
              <w:br/>
            </w:r>
            <w:r>
              <w:rPr>
                <w:rFonts w:asciiTheme="majorHAnsi" w:hAnsiTheme="majorHAnsi"/>
                <w:sz w:val="20"/>
                <w:szCs w:val="20"/>
              </w:rPr>
              <w:t>z zapisem i rozróżnieniem w </w:t>
            </w:r>
            <w:r w:rsidRPr="00F05CE9">
              <w:rPr>
                <w:rFonts w:asciiTheme="majorHAnsi" w:hAnsiTheme="majorHAnsi"/>
                <w:sz w:val="20"/>
                <w:szCs w:val="20"/>
              </w:rPr>
              <w:t>systemie wejścia i wyjścia pasażera do/z pojazdu;</w:t>
            </w:r>
          </w:p>
          <w:p w14:paraId="52195209"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u</w:t>
            </w:r>
            <w:r w:rsidRPr="00F05CE9">
              <w:rPr>
                <w:rFonts w:asciiTheme="majorHAnsi" w:hAnsiTheme="majorHAnsi"/>
                <w:sz w:val="20"/>
                <w:szCs w:val="20"/>
              </w:rPr>
              <w:t>) musi umożliwiać zwrot pobranej części opłaty jednorazowej za przejazd przy wyjściu;</w:t>
            </w:r>
          </w:p>
          <w:p w14:paraId="306CF5EB" w14:textId="14B6F9D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v</w:t>
            </w:r>
            <w:r w:rsidRPr="00F05CE9">
              <w:rPr>
                <w:rFonts w:asciiTheme="majorHAnsi" w:hAnsiTheme="majorHAnsi"/>
                <w:sz w:val="20"/>
                <w:szCs w:val="20"/>
              </w:rPr>
              <w:t>) musi rejestrować i bezzwłocznie przekazywać do pamięci dostarczonego przez Zamawiającego komputera pokładowego dane związane z transakcjami, w tym co najmniej: numer karty, datę i godzinę transakcji, dane transakcji, nr przystanku;</w:t>
            </w:r>
          </w:p>
          <w:p w14:paraId="5F22F942" w14:textId="41DE2D3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w</w:t>
            </w:r>
            <w:r w:rsidRPr="00F05CE9">
              <w:rPr>
                <w:rFonts w:asciiTheme="majorHAnsi" w:hAnsiTheme="majorHAnsi"/>
                <w:sz w:val="20"/>
                <w:szCs w:val="20"/>
              </w:rPr>
              <w:t>) musi mieć możliwość przyjęcia polecenia zablokowania/odblokowania kasownika przez kierowcę z poziomu dostarczonego przez Zamawiającego komputera pokładowego i poprzez kartę kontrolera biletowego (po zbliżeniu do kasownika karty kontrolera z odpowiednimi up</w:t>
            </w:r>
            <w:r>
              <w:rPr>
                <w:rFonts w:asciiTheme="majorHAnsi" w:hAnsiTheme="majorHAnsi"/>
                <w:sz w:val="20"/>
                <w:szCs w:val="20"/>
              </w:rPr>
              <w:t xml:space="preserve">rawnieniami). W obu przypadkach </w:t>
            </w:r>
            <w:r w:rsidRPr="00F05CE9">
              <w:rPr>
                <w:rFonts w:asciiTheme="majorHAnsi" w:hAnsiTheme="majorHAnsi"/>
                <w:sz w:val="20"/>
                <w:szCs w:val="20"/>
              </w:rPr>
              <w:t>blokowane</w:t>
            </w:r>
            <w:r>
              <w:rPr>
                <w:rFonts w:asciiTheme="majorHAnsi" w:hAnsiTheme="majorHAnsi"/>
                <w:sz w:val="20"/>
                <w:szCs w:val="20"/>
              </w:rPr>
              <w:t xml:space="preserve"> /</w:t>
            </w:r>
            <w:r w:rsidRPr="00F05CE9">
              <w:rPr>
                <w:rFonts w:asciiTheme="majorHAnsi" w:hAnsiTheme="majorHAnsi"/>
                <w:sz w:val="20"/>
                <w:szCs w:val="20"/>
              </w:rPr>
              <w:t>odblokowywane powinny być od razu wszystkie kasowniki funkcjonujące w autobusach Zamawiającego. Blokada kasownika sygnalizowana jest na ekranie komputera pokładowego w postaci piktogramu;</w:t>
            </w:r>
          </w:p>
          <w:p w14:paraId="5BC13E5A"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x</w:t>
            </w:r>
            <w:r w:rsidRPr="00F05CE9">
              <w:rPr>
                <w:rFonts w:asciiTheme="majorHAnsi" w:hAnsiTheme="majorHAnsi"/>
                <w:sz w:val="20"/>
                <w:szCs w:val="20"/>
              </w:rPr>
              <w:t>) musi umożliwić komputerowi pokładowemu dostarczonego  przez Zamawiającego diagnostykę komunikacji - sygnalizować jej brak oraz sygnalizować uszkodzenie modułu biletu papierowego;</w:t>
            </w:r>
          </w:p>
          <w:p w14:paraId="1F81F9AF" w14:textId="0179FF9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y</w:t>
            </w:r>
            <w:r w:rsidRPr="00F05CE9">
              <w:rPr>
                <w:rFonts w:asciiTheme="majorHAnsi" w:hAnsiTheme="majorHAnsi"/>
                <w:sz w:val="20"/>
                <w:szCs w:val="20"/>
              </w:rPr>
              <w:t>) musi zapisać na kar</w:t>
            </w:r>
            <w:r>
              <w:rPr>
                <w:rFonts w:asciiTheme="majorHAnsi" w:hAnsiTheme="majorHAnsi"/>
                <w:sz w:val="20"/>
                <w:szCs w:val="20"/>
              </w:rPr>
              <w:t>cie bezkontaktowej informację o </w:t>
            </w:r>
            <w:r w:rsidRPr="00F05CE9">
              <w:rPr>
                <w:rFonts w:asciiTheme="majorHAnsi" w:hAnsiTheme="majorHAnsi"/>
                <w:sz w:val="20"/>
                <w:szCs w:val="20"/>
              </w:rPr>
              <w:t>transakcji kasowania w taki sposób, aby umożliwić identyfikację poprawności re</w:t>
            </w:r>
            <w:r>
              <w:rPr>
                <w:rFonts w:asciiTheme="majorHAnsi" w:hAnsiTheme="majorHAnsi"/>
                <w:sz w:val="20"/>
                <w:szCs w:val="20"/>
              </w:rPr>
              <w:t>jestracji lub kasowania karty w </w:t>
            </w:r>
            <w:r w:rsidRPr="00F05CE9">
              <w:rPr>
                <w:rFonts w:asciiTheme="majorHAnsi" w:hAnsiTheme="majorHAnsi"/>
                <w:sz w:val="20"/>
                <w:szCs w:val="20"/>
              </w:rPr>
              <w:t>pojeździe na danym kursie w czytniku kontrolera w sposób automatyczny;</w:t>
            </w:r>
          </w:p>
          <w:p w14:paraId="58547322"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z</w:t>
            </w:r>
            <w:r w:rsidRPr="00F05CE9">
              <w:rPr>
                <w:rFonts w:asciiTheme="majorHAnsi" w:hAnsiTheme="majorHAnsi"/>
                <w:sz w:val="20"/>
                <w:szCs w:val="20"/>
              </w:rPr>
              <w:t>) musi umożliwiać odczyt i przeniesienie danych na kartę funkcyjną kontrolera (dane kursowe);</w:t>
            </w:r>
          </w:p>
          <w:p w14:paraId="3AD1C0E9" w14:textId="3707BDC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aa</w:t>
            </w:r>
            <w:r w:rsidRPr="00F05CE9">
              <w:rPr>
                <w:rFonts w:asciiTheme="majorHAnsi" w:hAnsiTheme="majorHAnsi"/>
                <w:sz w:val="20"/>
                <w:szCs w:val="20"/>
              </w:rPr>
              <w:t>) musi pobierać wszystkie konieczne dane do realizacji funkcjonalności i rej</w:t>
            </w:r>
            <w:r>
              <w:rPr>
                <w:rFonts w:asciiTheme="majorHAnsi" w:hAnsiTheme="majorHAnsi"/>
                <w:sz w:val="20"/>
                <w:szCs w:val="20"/>
              </w:rPr>
              <w:t>estracji karty bezkontaktowej z </w:t>
            </w:r>
            <w:r w:rsidRPr="00F05CE9">
              <w:rPr>
                <w:rFonts w:asciiTheme="majorHAnsi" w:hAnsiTheme="majorHAnsi"/>
                <w:sz w:val="20"/>
                <w:szCs w:val="20"/>
              </w:rPr>
              <w:t>dostarczonego przez   Zamawiającego komputera pokładowego;</w:t>
            </w:r>
          </w:p>
          <w:p w14:paraId="1BE27128"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bb</w:t>
            </w:r>
            <w:r w:rsidRPr="00F05CE9">
              <w:rPr>
                <w:rFonts w:asciiTheme="majorHAnsi" w:hAnsiTheme="majorHAnsi"/>
                <w:sz w:val="20"/>
                <w:szCs w:val="20"/>
              </w:rPr>
              <w:t>) kasownik opcjonalnie musi umożliwiać zapisanie na karcie bezkontaktowej punktów bądź biletu okresowego zakupionego przez Internet (doładowania internetowe);</w:t>
            </w:r>
          </w:p>
          <w:p w14:paraId="591BBC15" w14:textId="479070E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cc</w:t>
            </w:r>
            <w:r w:rsidRPr="00F05CE9">
              <w:rPr>
                <w:rFonts w:asciiTheme="majorHAnsi" w:hAnsiTheme="majorHAnsi"/>
                <w:sz w:val="20"/>
                <w:szCs w:val="20"/>
              </w:rPr>
              <w:t>) kasownik musi posiadać dedykowaną kieszeń, przeznaczoną do umie</w:t>
            </w:r>
            <w:r>
              <w:rPr>
                <w:rFonts w:asciiTheme="majorHAnsi" w:hAnsiTheme="majorHAnsi"/>
                <w:sz w:val="20"/>
                <w:szCs w:val="20"/>
              </w:rPr>
              <w:t>szczenia w niej doładowywanej w </w:t>
            </w:r>
            <w:r w:rsidRPr="00F05CE9">
              <w:rPr>
                <w:rFonts w:asciiTheme="majorHAnsi" w:hAnsiTheme="majorHAnsi"/>
                <w:sz w:val="20"/>
                <w:szCs w:val="20"/>
              </w:rPr>
              <w:t>kasowniku karty bezkontaktowej na czas realizacji transakcji doładowania karty</w:t>
            </w:r>
            <w:r>
              <w:rPr>
                <w:rFonts w:asciiTheme="majorHAnsi" w:hAnsiTheme="majorHAnsi"/>
                <w:sz w:val="20"/>
                <w:szCs w:val="20"/>
              </w:rPr>
              <w:t>. Kieszeń musi być wyposażona w </w:t>
            </w:r>
            <w:r w:rsidRPr="00F05CE9">
              <w:rPr>
                <w:rFonts w:asciiTheme="majorHAnsi" w:hAnsiTheme="majorHAnsi"/>
                <w:sz w:val="20"/>
                <w:szCs w:val="20"/>
              </w:rPr>
              <w:t>optyczny czujnik obecności karty;</w:t>
            </w:r>
          </w:p>
          <w:p w14:paraId="180B6672" w14:textId="5D3D8400"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dd</w:t>
            </w:r>
            <w:r w:rsidRPr="00F05CE9">
              <w:rPr>
                <w:rFonts w:asciiTheme="majorHAnsi" w:hAnsiTheme="majorHAnsi"/>
                <w:sz w:val="20"/>
                <w:szCs w:val="20"/>
              </w:rPr>
              <w:t>) obudowa kasownika malowana proszkowo w kolorze uzgodnionym z Zamawiającym. Część informacyjną naniesioną na ekranie LCD i obudowie, informującą o przeznaczeniu pól, przycisków i o operac</w:t>
            </w:r>
            <w:r>
              <w:rPr>
                <w:rFonts w:asciiTheme="majorHAnsi" w:hAnsiTheme="majorHAnsi"/>
                <w:sz w:val="20"/>
                <w:szCs w:val="20"/>
              </w:rPr>
              <w:t>jach koniecznych do wykonania w </w:t>
            </w:r>
            <w:r w:rsidRPr="00F05CE9">
              <w:rPr>
                <w:rFonts w:asciiTheme="majorHAnsi" w:hAnsiTheme="majorHAnsi"/>
                <w:sz w:val="20"/>
                <w:szCs w:val="20"/>
              </w:rPr>
              <w:t>trakcie korzystania z biletu elektronicznego;</w:t>
            </w:r>
          </w:p>
          <w:p w14:paraId="46F74EBB" w14:textId="1BFDE60B" w:rsidR="009E7154"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ee</w:t>
            </w:r>
            <w:r w:rsidRPr="00F05CE9">
              <w:rPr>
                <w:rFonts w:asciiTheme="majorHAnsi" w:hAnsiTheme="majorHAnsi"/>
                <w:sz w:val="20"/>
                <w:szCs w:val="20"/>
              </w:rPr>
              <w:t xml:space="preserve">) kasownik musi posiadać interfejsy komunikacyjne min.: RS-485 i LAN/Ethernet </w:t>
            </w:r>
            <w:r>
              <w:rPr>
                <w:rFonts w:asciiTheme="majorHAnsi" w:hAnsiTheme="majorHAnsi"/>
                <w:sz w:val="20"/>
                <w:szCs w:val="20"/>
              </w:rPr>
              <w:t>10/100   Mb/s;</w:t>
            </w:r>
          </w:p>
          <w:p w14:paraId="18943DF1" w14:textId="1A53805F" w:rsidR="009E7154" w:rsidRPr="00F05CE9" w:rsidRDefault="009E7154" w:rsidP="00100385">
            <w:pPr>
              <w:spacing w:line="360" w:lineRule="auto"/>
              <w:ind w:left="708"/>
              <w:jc w:val="both"/>
              <w:rPr>
                <w:rFonts w:asciiTheme="majorHAnsi" w:hAnsiTheme="majorHAnsi"/>
                <w:sz w:val="20"/>
                <w:szCs w:val="20"/>
              </w:rPr>
            </w:pPr>
            <w:r>
              <w:rPr>
                <w:rFonts w:asciiTheme="majorHAnsi" w:hAnsiTheme="majorHAnsi"/>
                <w:sz w:val="20"/>
                <w:szCs w:val="20"/>
              </w:rPr>
              <w:t>ff</w:t>
            </w:r>
            <w:r w:rsidRPr="00F05CE9">
              <w:rPr>
                <w:rFonts w:asciiTheme="majorHAnsi" w:hAnsiTheme="majorHAnsi"/>
                <w:sz w:val="20"/>
                <w:szCs w:val="20"/>
              </w:rPr>
              <w:t>) kasownik musi podjąć obsługę kart lub realizować kasowanie biletów dopiero p</w:t>
            </w:r>
            <w:r>
              <w:rPr>
                <w:rFonts w:asciiTheme="majorHAnsi" w:hAnsiTheme="majorHAnsi"/>
                <w:sz w:val="20"/>
                <w:szCs w:val="20"/>
              </w:rPr>
              <w:t>o aktywacji transmisji danych i </w:t>
            </w:r>
            <w:r w:rsidRPr="00F05CE9">
              <w:rPr>
                <w:rFonts w:asciiTheme="majorHAnsi" w:hAnsiTheme="majorHAnsi"/>
                <w:sz w:val="20"/>
                <w:szCs w:val="20"/>
              </w:rPr>
              <w:t>plików taryfowych z komputera Systemu Informacji Pasażerskiej;</w:t>
            </w:r>
          </w:p>
          <w:p w14:paraId="0A191082"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5.2.11.</w:t>
            </w:r>
            <w:r w:rsidRPr="00F05CE9">
              <w:rPr>
                <w:rFonts w:asciiTheme="majorHAnsi" w:hAnsiTheme="majorHAnsi"/>
                <w:sz w:val="20"/>
                <w:szCs w:val="20"/>
              </w:rPr>
              <w:tab/>
              <w:t>Kasownik dwufunkcyjny, w części obsługującej skasowania biletów papierowych musi spełniać następujące wymagania:</w:t>
            </w:r>
          </w:p>
          <w:p w14:paraId="7E9B096A"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musi umożliwiać wydruk co najmniej 16 znaków (wszystkie litery i cyfry, znaki specjalne). Wszystkie znaki do nadruku muszą być przekazywane przez zainstalowany w autobusach Zamawiającego komputer pokładowy. wysokość drukowanych znaków – min. 3mm;</w:t>
            </w:r>
          </w:p>
          <w:p w14:paraId="1CC51E92"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b) musi posiadać możliwość konfiguracji znaków i nazw własnych linii, ustawianych na </w:t>
            </w:r>
            <w:r>
              <w:rPr>
                <w:rFonts w:asciiTheme="majorHAnsi" w:hAnsiTheme="majorHAnsi"/>
                <w:sz w:val="20"/>
                <w:szCs w:val="20"/>
              </w:rPr>
              <w:t> </w:t>
            </w:r>
            <w:r w:rsidRPr="00F05CE9">
              <w:rPr>
                <w:rFonts w:asciiTheme="majorHAnsi" w:hAnsiTheme="majorHAnsi"/>
                <w:sz w:val="20"/>
                <w:szCs w:val="20"/>
              </w:rPr>
              <w:t>drukowanych biletach papierowych z poziomu komputera pokładowego;</w:t>
            </w:r>
          </w:p>
          <w:p w14:paraId="513292A4" w14:textId="6513251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c) musi posiadać sygnal</w:t>
            </w:r>
            <w:r>
              <w:rPr>
                <w:rFonts w:asciiTheme="majorHAnsi" w:hAnsiTheme="majorHAnsi"/>
                <w:sz w:val="20"/>
                <w:szCs w:val="20"/>
              </w:rPr>
              <w:t>izację poprawności skasowania i </w:t>
            </w:r>
            <w:r w:rsidRPr="00F05CE9">
              <w:rPr>
                <w:rFonts w:asciiTheme="majorHAnsi" w:hAnsiTheme="majorHAnsi"/>
                <w:sz w:val="20"/>
                <w:szCs w:val="20"/>
              </w:rPr>
              <w:t xml:space="preserve">umożliwiać informowanie pasażera </w:t>
            </w:r>
            <w:r>
              <w:rPr>
                <w:rFonts w:asciiTheme="majorHAnsi" w:hAnsiTheme="majorHAnsi"/>
                <w:sz w:val="20"/>
                <w:szCs w:val="20"/>
              </w:rPr>
              <w:t>o </w:t>
            </w:r>
            <w:r w:rsidRPr="00F05CE9">
              <w:rPr>
                <w:rFonts w:asciiTheme="majorHAnsi" w:hAnsiTheme="majorHAnsi"/>
                <w:sz w:val="20"/>
                <w:szCs w:val="20"/>
              </w:rPr>
              <w:t>fakcie zablokowania kasownika;</w:t>
            </w:r>
          </w:p>
          <w:p w14:paraId="1C3081FC"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musi umożliwiać trwałe zniszczenie materiału biletu poprzez zniszczenie materiału biletu - minimum przekłucie;</w:t>
            </w:r>
          </w:p>
          <w:p w14:paraId="0BF76350"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e) musi posiadać wlot do wprowadzania biletów o szerokości 35 (+/- 2 mm);</w:t>
            </w:r>
          </w:p>
          <w:p w14:paraId="2CA9A17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f) musi posiadać taśmę barwiącą montowaną wewnątrz kasownika w sposób umożliwiający łatwą jej wymianę;</w:t>
            </w:r>
          </w:p>
          <w:p w14:paraId="02A45549"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g) musi umożliwiać bezzwłoczne raportowanie ilości skasowanych biletów do dostarczonego przez Zamawiającego komputera pokładowego z podziałem na przystanki.</w:t>
            </w:r>
          </w:p>
          <w:p w14:paraId="75687914" w14:textId="62375B4B"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5.2.12.</w:t>
            </w:r>
            <w:r w:rsidRPr="00F05CE9">
              <w:rPr>
                <w:rFonts w:asciiTheme="majorHAnsi" w:hAnsiTheme="majorHAnsi"/>
                <w:sz w:val="20"/>
                <w:szCs w:val="20"/>
              </w:rPr>
              <w:tab/>
              <w:t xml:space="preserve">Wykonawca wykona instalację zasilającą i transmisji danych oraz zamontuje i podłączy we </w:t>
            </w:r>
            <w:r>
              <w:rPr>
                <w:rFonts w:asciiTheme="majorHAnsi" w:hAnsiTheme="majorHAnsi"/>
                <w:sz w:val="20"/>
                <w:szCs w:val="20"/>
              </w:rPr>
              <w:t> </w:t>
            </w:r>
            <w:r w:rsidRPr="00F05CE9">
              <w:rPr>
                <w:rFonts w:asciiTheme="majorHAnsi" w:hAnsiTheme="majorHAnsi"/>
                <w:sz w:val="20"/>
                <w:szCs w:val="20"/>
              </w:rPr>
              <w:t>wła</w:t>
            </w:r>
            <w:r>
              <w:rPr>
                <w:rFonts w:asciiTheme="majorHAnsi" w:hAnsiTheme="majorHAnsi"/>
                <w:sz w:val="20"/>
                <w:szCs w:val="20"/>
              </w:rPr>
              <w:t>ściwy sposób powierzone przez Z</w:t>
            </w:r>
            <w:r w:rsidRPr="00F05CE9">
              <w:rPr>
                <w:rFonts w:asciiTheme="majorHAnsi" w:hAnsiTheme="majorHAnsi"/>
                <w:sz w:val="20"/>
                <w:szCs w:val="20"/>
              </w:rPr>
              <w:t>amawiającego następujące urządzenia:</w:t>
            </w:r>
          </w:p>
          <w:p w14:paraId="43F9F0E0" w14:textId="78086EBC"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moduł komunikacyjny CAN przekazujący parametry eksploatacyjne z magistrali CAN pojazdu do systemu informacji pasażerskiej firmy R&amp;G Mielec;</w:t>
            </w:r>
          </w:p>
          <w:p w14:paraId="669A8E79" w14:textId="0E2F692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b) moduł odpowiadający za łączność z systemem informacji fonicznej dla osób niedowidzących i niewidzących współpracujący z SIP;</w:t>
            </w:r>
          </w:p>
          <w:p w14:paraId="5258B4A3"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c) moduł zabezpieczający przed przepięciami całości infrastruktury SIP;</w:t>
            </w:r>
          </w:p>
          <w:p w14:paraId="3016B4A5" w14:textId="768D2678"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moduł GPS pozwalający na bieżącą lokalizację po</w:t>
            </w:r>
            <w:r>
              <w:rPr>
                <w:rFonts w:asciiTheme="majorHAnsi" w:hAnsiTheme="majorHAnsi"/>
                <w:sz w:val="20"/>
                <w:szCs w:val="20"/>
              </w:rPr>
              <w:t>jazdu i </w:t>
            </w:r>
            <w:r w:rsidRPr="00F05CE9">
              <w:rPr>
                <w:rFonts w:asciiTheme="majorHAnsi" w:hAnsiTheme="majorHAnsi"/>
                <w:sz w:val="20"/>
                <w:szCs w:val="20"/>
              </w:rPr>
              <w:t xml:space="preserve">przekazywanie aktualnej pozycji do wizualizacji na mapie Centrum Nadzoru Ruchu firmy R&amp;G Mielec funkcjonującego </w:t>
            </w:r>
            <w:r>
              <w:rPr>
                <w:rFonts w:asciiTheme="majorHAnsi" w:hAnsiTheme="majorHAnsi"/>
                <w:sz w:val="20"/>
                <w:szCs w:val="20"/>
              </w:rPr>
              <w:t> </w:t>
            </w:r>
            <w:r w:rsidRPr="00F05CE9">
              <w:rPr>
                <w:rFonts w:asciiTheme="majorHAnsi" w:hAnsiTheme="majorHAnsi"/>
                <w:sz w:val="20"/>
                <w:szCs w:val="20"/>
              </w:rPr>
              <w:t xml:space="preserve">u </w:t>
            </w:r>
            <w:r>
              <w:rPr>
                <w:rFonts w:asciiTheme="majorHAnsi" w:hAnsiTheme="majorHAnsi"/>
                <w:sz w:val="20"/>
                <w:szCs w:val="20"/>
              </w:rPr>
              <w:t> </w:t>
            </w:r>
            <w:r w:rsidRPr="00F05CE9">
              <w:rPr>
                <w:rFonts w:asciiTheme="majorHAnsi" w:hAnsiTheme="majorHAnsi"/>
                <w:sz w:val="20"/>
                <w:szCs w:val="20"/>
              </w:rPr>
              <w:t>Zamawiającego;</w:t>
            </w:r>
          </w:p>
          <w:p w14:paraId="721CF934" w14:textId="2DEC7D6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e) moduł rejestrujący dane t</w:t>
            </w:r>
            <w:r>
              <w:rPr>
                <w:rFonts w:asciiTheme="majorHAnsi" w:hAnsiTheme="majorHAnsi"/>
                <w:sz w:val="20"/>
                <w:szCs w:val="20"/>
              </w:rPr>
              <w:t>echniczne pojazdu dostarczone w </w:t>
            </w:r>
            <w:r w:rsidRPr="00F05CE9">
              <w:rPr>
                <w:rFonts w:asciiTheme="majorHAnsi" w:hAnsiTheme="majorHAnsi"/>
                <w:sz w:val="20"/>
                <w:szCs w:val="20"/>
              </w:rPr>
              <w:t xml:space="preserve">formie innej niż dane dostarczane </w:t>
            </w:r>
            <w:r>
              <w:rPr>
                <w:rFonts w:asciiTheme="majorHAnsi" w:hAnsiTheme="majorHAnsi"/>
                <w:sz w:val="20"/>
                <w:szCs w:val="20"/>
              </w:rPr>
              <w:br/>
            </w:r>
            <w:r w:rsidRPr="00F05CE9">
              <w:rPr>
                <w:rFonts w:asciiTheme="majorHAnsi" w:hAnsiTheme="majorHAnsi"/>
                <w:sz w:val="20"/>
                <w:szCs w:val="20"/>
              </w:rPr>
              <w:t>w oparciu o protokół szyny CAN;</w:t>
            </w:r>
          </w:p>
          <w:p w14:paraId="5C9122DF"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f) moduł pozwalający na wygłaszanie komunikatów fonicznych przez system nagłośnienia audio wewnątrz przestrzeni pasażerskiej oraz na zewnątrz pojazdu;</w:t>
            </w:r>
          </w:p>
          <w:p w14:paraId="46F39CE7" w14:textId="65E39EB3"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g) zespół montażowy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dostarczonych modułów;</w:t>
            </w:r>
          </w:p>
          <w:p w14:paraId="16B9CA5E" w14:textId="77777777" w:rsidR="00FE78D4"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h) switch 8 portowy w ilości 2 </w:t>
            </w:r>
            <w:r w:rsidR="00FE78D4">
              <w:rPr>
                <w:rFonts w:asciiTheme="majorHAnsi" w:hAnsiTheme="majorHAnsi"/>
                <w:sz w:val="20"/>
                <w:szCs w:val="20"/>
              </w:rPr>
              <w:t xml:space="preserve">      </w:t>
            </w:r>
          </w:p>
          <w:p w14:paraId="0AD7263C" w14:textId="33CE91BD"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szt.</w:t>
            </w:r>
          </w:p>
          <w:p w14:paraId="7AE276E1" w14:textId="4D9D510B"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i) komputer sterujący SRG- </w:t>
            </w:r>
            <w:r w:rsidR="00FE78D4">
              <w:rPr>
                <w:rFonts w:asciiTheme="majorHAnsi" w:hAnsiTheme="majorHAnsi"/>
                <w:sz w:val="20"/>
                <w:szCs w:val="20"/>
              </w:rPr>
              <w:t xml:space="preserve">  </w:t>
            </w:r>
            <w:r w:rsidR="00FE78D4">
              <w:rPr>
                <w:rFonts w:asciiTheme="majorHAnsi" w:hAnsiTheme="majorHAnsi"/>
                <w:sz w:val="20"/>
                <w:szCs w:val="20"/>
              </w:rPr>
              <w:br/>
              <w:t xml:space="preserve">               </w:t>
            </w:r>
            <w:r w:rsidRPr="00F05CE9">
              <w:rPr>
                <w:rFonts w:asciiTheme="majorHAnsi" w:hAnsiTheme="majorHAnsi"/>
                <w:sz w:val="20"/>
                <w:szCs w:val="20"/>
              </w:rPr>
              <w:t>6000P;</w:t>
            </w:r>
          </w:p>
          <w:p w14:paraId="5CF78096" w14:textId="5C8F8796"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j) moduł BFG – sterownik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świateł;</w:t>
            </w:r>
          </w:p>
          <w:p w14:paraId="1E0CD53C"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k) kasownik KRG-11;</w:t>
            </w:r>
          </w:p>
          <w:p w14:paraId="6D5D10FF" w14:textId="77777777" w:rsidR="009E7154" w:rsidRDefault="009E7154" w:rsidP="00050601">
            <w:pPr>
              <w:spacing w:line="360" w:lineRule="auto"/>
              <w:ind w:firstLine="705"/>
              <w:jc w:val="both"/>
              <w:rPr>
                <w:rFonts w:asciiTheme="majorHAnsi" w:hAnsiTheme="majorHAnsi"/>
                <w:sz w:val="20"/>
                <w:szCs w:val="20"/>
              </w:rPr>
            </w:pPr>
            <w:r w:rsidRPr="00F05CE9">
              <w:rPr>
                <w:rFonts w:asciiTheme="majorHAnsi" w:hAnsiTheme="majorHAnsi"/>
                <w:sz w:val="20"/>
                <w:szCs w:val="20"/>
              </w:rPr>
              <w:t>l) system zliczania pasażerów.</w:t>
            </w:r>
          </w:p>
          <w:p w14:paraId="00B63034" w14:textId="3DD866FD" w:rsidR="009E7154" w:rsidRPr="00F05CE9" w:rsidRDefault="009E7154" w:rsidP="00E31ADB">
            <w:pPr>
              <w:spacing w:line="360" w:lineRule="auto"/>
              <w:ind w:left="743"/>
              <w:jc w:val="both"/>
              <w:rPr>
                <w:rFonts w:asciiTheme="majorHAnsi" w:hAnsiTheme="majorHAnsi"/>
                <w:sz w:val="20"/>
                <w:szCs w:val="20"/>
              </w:rPr>
            </w:pPr>
            <w:r>
              <w:rPr>
                <w:rFonts w:asciiTheme="majorHAnsi" w:hAnsiTheme="majorHAnsi"/>
                <w:sz w:val="20"/>
                <w:szCs w:val="20"/>
              </w:rPr>
              <w:t xml:space="preserve">Termin dostarczenia powierzonych urządzeń Wykonawca uzgodni z Zamawiającym po podpisaniu umowy. </w:t>
            </w:r>
          </w:p>
          <w:p w14:paraId="4F52A118" w14:textId="017BC275" w:rsidR="009E7154" w:rsidRDefault="009E7154" w:rsidP="00AF212B">
            <w:pPr>
              <w:spacing w:line="360" w:lineRule="auto"/>
              <w:ind w:left="705" w:hanging="705"/>
              <w:jc w:val="both"/>
              <w:rPr>
                <w:rFonts w:asciiTheme="majorHAnsi" w:hAnsiTheme="majorHAnsi"/>
                <w:sz w:val="20"/>
                <w:szCs w:val="20"/>
              </w:rPr>
            </w:pPr>
            <w:r w:rsidRPr="00F05CE9">
              <w:rPr>
                <w:rFonts w:asciiTheme="majorHAnsi" w:hAnsiTheme="majorHAnsi"/>
                <w:sz w:val="20"/>
                <w:szCs w:val="20"/>
              </w:rPr>
              <w:t>5.2.13.</w:t>
            </w:r>
            <w:r w:rsidRPr="00F05CE9">
              <w:rPr>
                <w:rFonts w:asciiTheme="majorHAnsi" w:hAnsiTheme="majorHAnsi"/>
                <w:sz w:val="20"/>
                <w:szCs w:val="20"/>
              </w:rPr>
              <w:tab/>
            </w:r>
            <w:r>
              <w:rPr>
                <w:rFonts w:asciiTheme="majorHAnsi" w:hAnsiTheme="majorHAnsi"/>
                <w:sz w:val="20"/>
                <w:szCs w:val="20"/>
              </w:rPr>
              <w:t xml:space="preserve">Wykonawca dostarczy i zamontuje uchwyt mocujący komputer sterujący, o którym mowa w pkt. 5.2.12. lit. i) </w:t>
            </w:r>
          </w:p>
          <w:p w14:paraId="70F032AE" w14:textId="182258E4" w:rsidR="009E7154" w:rsidRPr="00F05CE9" w:rsidRDefault="009E7154" w:rsidP="00100385">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5.2.14. </w:t>
            </w:r>
            <w:r w:rsidRPr="00F05CE9">
              <w:rPr>
                <w:rFonts w:asciiTheme="majorHAnsi" w:hAnsiTheme="majorHAnsi"/>
                <w:sz w:val="20"/>
                <w:szCs w:val="20"/>
              </w:rPr>
              <w:t xml:space="preserve">Wszystkie protokoły łączności i transmisji danych realizowane przez komponenty zamontowane w pojazdach muszą być zgodne ze standardami łączności i transmisji danych </w:t>
            </w:r>
            <w:r>
              <w:rPr>
                <w:rFonts w:asciiTheme="majorHAnsi" w:hAnsiTheme="majorHAnsi"/>
                <w:sz w:val="20"/>
                <w:szCs w:val="20"/>
              </w:rPr>
              <w:t>z funkcjonującym u </w:t>
            </w:r>
            <w:r w:rsidRPr="00F05CE9">
              <w:rPr>
                <w:rFonts w:asciiTheme="majorHAnsi" w:hAnsiTheme="majorHAnsi"/>
                <w:sz w:val="20"/>
                <w:szCs w:val="20"/>
              </w:rPr>
              <w:t>Zamawiającego Systemem Informacji Pasażersk</w:t>
            </w:r>
            <w:r>
              <w:rPr>
                <w:rFonts w:asciiTheme="majorHAnsi" w:hAnsiTheme="majorHAnsi"/>
                <w:sz w:val="20"/>
                <w:szCs w:val="20"/>
              </w:rPr>
              <w:t>iej oraz Centrum Nadzoru Ruchu.</w:t>
            </w:r>
          </w:p>
        </w:tc>
        <w:tc>
          <w:tcPr>
            <w:tcW w:w="3111" w:type="dxa"/>
          </w:tcPr>
          <w:p w14:paraId="0D9EA5CA" w14:textId="77777777" w:rsidR="009E7154" w:rsidRPr="00F05CE9" w:rsidRDefault="009E7154" w:rsidP="00100385">
            <w:pPr>
              <w:spacing w:after="0" w:line="360" w:lineRule="auto"/>
              <w:ind w:left="705" w:hanging="705"/>
              <w:jc w:val="both"/>
              <w:rPr>
                <w:rFonts w:asciiTheme="majorHAnsi" w:hAnsiTheme="majorHAnsi"/>
                <w:sz w:val="20"/>
                <w:szCs w:val="20"/>
              </w:rPr>
            </w:pPr>
          </w:p>
        </w:tc>
      </w:tr>
      <w:tr w:rsidR="009E7154" w14:paraId="6E3DD009" w14:textId="1237FF0D" w:rsidTr="00895755">
        <w:tc>
          <w:tcPr>
            <w:tcW w:w="592" w:type="dxa"/>
          </w:tcPr>
          <w:p w14:paraId="5C07269A" w14:textId="20024DA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5.3.</w:t>
            </w:r>
          </w:p>
        </w:tc>
        <w:tc>
          <w:tcPr>
            <w:tcW w:w="1676" w:type="dxa"/>
          </w:tcPr>
          <w:p w14:paraId="1960C5D4" w14:textId="556DE8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nagłaśniający.</w:t>
            </w:r>
          </w:p>
        </w:tc>
        <w:tc>
          <w:tcPr>
            <w:tcW w:w="3686" w:type="dxa"/>
          </w:tcPr>
          <w:p w14:paraId="30920E5D" w14:textId="097914BA"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5.3.1.</w:t>
            </w:r>
            <w:r w:rsidRPr="00F05CE9">
              <w:rPr>
                <w:rFonts w:asciiTheme="majorHAnsi" w:hAnsiTheme="majorHAnsi"/>
                <w:sz w:val="20"/>
                <w:szCs w:val="20"/>
              </w:rPr>
              <w:tab/>
              <w:t>System głośników służący do komunikacji fonicznej współpracujących z Systemem Informacji Pasażerskiej firmy R&amp;G Mielec</w:t>
            </w:r>
            <w:r w:rsidR="000D3686">
              <w:rPr>
                <w:rFonts w:asciiTheme="majorHAnsi" w:hAnsiTheme="majorHAnsi"/>
                <w:sz w:val="20"/>
                <w:szCs w:val="20"/>
                <w:vertAlign w:val="superscript"/>
              </w:rPr>
              <w:t xml:space="preserve"> </w:t>
            </w:r>
            <w:r w:rsidRPr="00F05CE9">
              <w:rPr>
                <w:rFonts w:asciiTheme="majorHAnsi" w:hAnsiTheme="majorHAnsi"/>
                <w:sz w:val="20"/>
                <w:szCs w:val="20"/>
              </w:rPr>
              <w:t xml:space="preserve">w ilości minimum 3 szt. zlokalizowanych równomiernie w przestrzeni pasażerskiej oraz głośnik zewnętrzny z prawej strony pojazdu zlokalizowany </w:t>
            </w:r>
            <w:r>
              <w:rPr>
                <w:rFonts w:asciiTheme="majorHAnsi" w:hAnsiTheme="majorHAnsi"/>
                <w:sz w:val="20"/>
                <w:szCs w:val="20"/>
              </w:rPr>
              <w:br/>
            </w:r>
            <w:r w:rsidRPr="00F05CE9">
              <w:rPr>
                <w:rFonts w:asciiTheme="majorHAnsi" w:hAnsiTheme="majorHAnsi"/>
                <w:sz w:val="20"/>
                <w:szCs w:val="20"/>
              </w:rPr>
              <w:t>w okolic</w:t>
            </w:r>
            <w:r>
              <w:rPr>
                <w:rFonts w:asciiTheme="majorHAnsi" w:hAnsiTheme="majorHAnsi"/>
                <w:sz w:val="20"/>
                <w:szCs w:val="20"/>
              </w:rPr>
              <w:t>y pierwszych lub drugich drzwi.</w:t>
            </w:r>
          </w:p>
        </w:tc>
        <w:tc>
          <w:tcPr>
            <w:tcW w:w="3111" w:type="dxa"/>
          </w:tcPr>
          <w:p w14:paraId="09404DFF"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9E7154" w14:paraId="708A1966" w14:textId="7DB3A48B" w:rsidTr="00895755">
        <w:tc>
          <w:tcPr>
            <w:tcW w:w="592" w:type="dxa"/>
          </w:tcPr>
          <w:p w14:paraId="159E81DC" w14:textId="502F199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5.4.</w:t>
            </w:r>
          </w:p>
        </w:tc>
        <w:tc>
          <w:tcPr>
            <w:tcW w:w="1676" w:type="dxa"/>
          </w:tcPr>
          <w:p w14:paraId="7CE8931C" w14:textId="326512DA"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Dodatkowe wyposażenie elektryczne.</w:t>
            </w:r>
          </w:p>
        </w:tc>
        <w:tc>
          <w:tcPr>
            <w:tcW w:w="3686" w:type="dxa"/>
          </w:tcPr>
          <w:p w14:paraId="7AEDBDF3" w14:textId="35B7238E"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5.4.1.</w:t>
            </w:r>
            <w:r w:rsidRPr="00F05CE9">
              <w:rPr>
                <w:rFonts w:asciiTheme="majorHAnsi" w:hAnsiTheme="majorHAnsi"/>
                <w:sz w:val="20"/>
                <w:szCs w:val="20"/>
              </w:rPr>
              <w:tab/>
              <w:t>Kamera cofania typu dzień/noc umieszczona w tylnej części pojazdu umożliwiająca</w:t>
            </w:r>
            <w:r>
              <w:rPr>
                <w:rFonts w:asciiTheme="majorHAnsi" w:hAnsiTheme="majorHAnsi"/>
                <w:sz w:val="20"/>
                <w:szCs w:val="20"/>
              </w:rPr>
              <w:t xml:space="preserve"> obserwację drogi za pojazdem w </w:t>
            </w:r>
            <w:r w:rsidRPr="00F05CE9">
              <w:rPr>
                <w:rFonts w:asciiTheme="majorHAnsi" w:hAnsiTheme="majorHAnsi"/>
                <w:sz w:val="20"/>
                <w:szCs w:val="20"/>
              </w:rPr>
              <w:t>trakcie cofania na monitorze, którym mowa pkt. 5.4.2.</w:t>
            </w:r>
          </w:p>
          <w:p w14:paraId="0D9D044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5.4.2.</w:t>
            </w:r>
            <w:r w:rsidRPr="00F05CE9">
              <w:rPr>
                <w:rFonts w:asciiTheme="majorHAnsi" w:hAnsiTheme="majorHAnsi"/>
                <w:sz w:val="20"/>
                <w:szCs w:val="20"/>
              </w:rPr>
              <w:tab/>
              <w:t>Monitor kolorowy o przekątnej ekranu min. 7 cali umieszczony w kabinie kierowcy, wyświetlający obraz ze strefy drzwi w sposób  ciągły i przełączający się automatycznie po wybraniu biegu wstecznego na obraz z kamery cofania.</w:t>
            </w:r>
          </w:p>
          <w:p w14:paraId="5BB9A19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5.4.3.</w:t>
            </w:r>
            <w:r w:rsidRPr="00F05CE9">
              <w:rPr>
                <w:rFonts w:asciiTheme="majorHAnsi" w:hAnsiTheme="majorHAnsi"/>
                <w:sz w:val="20"/>
                <w:szCs w:val="20"/>
              </w:rPr>
              <w:tab/>
              <w:t>Monitor systemu podglądu drzwi musi być umieszczony możliwie blisko przycisków sterujących drzwiami, o których mowa w pkt. 4.4.11 lit. a) i c), w polu widzenia przycisków do obsługi otwierania/zamykania drzwi oraz wyświetlać równocześnie z podziałem pionowym obraz z dwóch kamer podglądu strefy drzwi opisanych w pkt 5.4.4 .</w:t>
            </w:r>
          </w:p>
          <w:p w14:paraId="7B79AFA4"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5.4.4</w:t>
            </w:r>
            <w:r w:rsidRPr="00F05CE9">
              <w:rPr>
                <w:rFonts w:asciiTheme="majorHAnsi" w:hAnsiTheme="majorHAnsi"/>
                <w:sz w:val="20"/>
                <w:szCs w:val="20"/>
              </w:rPr>
              <w:tab/>
              <w:t>Kamery systemu podglądu strefy drzwi muszą być umieszczone na suficie wewnątrz pojazdu w osi drzwi oraz skierowane w stronę drzwi.</w:t>
            </w:r>
          </w:p>
          <w:p w14:paraId="06541BD8" w14:textId="05B18348"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5.4.5.</w:t>
            </w:r>
            <w:r w:rsidRPr="00F05CE9">
              <w:rPr>
                <w:rFonts w:asciiTheme="majorHAnsi" w:hAnsiTheme="majorHAnsi"/>
                <w:sz w:val="20"/>
                <w:szCs w:val="20"/>
              </w:rPr>
              <w:tab/>
              <w:t>Kamery systemu podglądu strefy drzwi przekazują obraz do monitora, o którym mow</w:t>
            </w:r>
            <w:r>
              <w:rPr>
                <w:rFonts w:asciiTheme="majorHAnsi" w:hAnsiTheme="majorHAnsi"/>
                <w:sz w:val="20"/>
                <w:szCs w:val="20"/>
              </w:rPr>
              <w:t>a w pkt 5.4.2 w sposób ciągły i </w:t>
            </w:r>
            <w:r w:rsidRPr="00F05CE9">
              <w:rPr>
                <w:rFonts w:asciiTheme="majorHAnsi" w:hAnsiTheme="majorHAnsi"/>
                <w:sz w:val="20"/>
                <w:szCs w:val="20"/>
              </w:rPr>
              <w:t xml:space="preserve">naturalny w czasie rzeczywistym po włączeniu układu elektrycznego pojazdu do stanu odpowiadającemu włączeniu zapłonu (IGN) w pojeździe wyposażonym </w:t>
            </w:r>
          </w:p>
          <w:p w14:paraId="63BCEB4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w konwencjonalny silnik spalinowy.</w:t>
            </w:r>
          </w:p>
          <w:p w14:paraId="619B23BD" w14:textId="6E5345B7" w:rsidR="009E7154" w:rsidRPr="00F05CE9" w:rsidRDefault="009E7154" w:rsidP="006B6F8D">
            <w:pPr>
              <w:spacing w:before="240" w:after="0" w:line="360" w:lineRule="auto"/>
              <w:jc w:val="both"/>
              <w:rPr>
                <w:rFonts w:asciiTheme="majorHAnsi" w:hAnsiTheme="majorHAnsi"/>
                <w:sz w:val="20"/>
                <w:szCs w:val="20"/>
              </w:rPr>
            </w:pPr>
            <w:r w:rsidRPr="00F05CE9">
              <w:rPr>
                <w:rFonts w:asciiTheme="majorHAnsi" w:hAnsiTheme="majorHAnsi"/>
                <w:sz w:val="20"/>
                <w:szCs w:val="20"/>
              </w:rPr>
              <w:t>5.4.6.</w:t>
            </w:r>
            <w:r w:rsidRPr="00F05CE9">
              <w:rPr>
                <w:rFonts w:asciiTheme="majorHAnsi" w:hAnsiTheme="majorHAnsi"/>
                <w:sz w:val="20"/>
                <w:szCs w:val="20"/>
              </w:rPr>
              <w:tab/>
              <w:t>Urządzenie bezprz</w:t>
            </w:r>
            <w:r>
              <w:rPr>
                <w:rFonts w:asciiTheme="majorHAnsi" w:hAnsiTheme="majorHAnsi"/>
                <w:sz w:val="20"/>
                <w:szCs w:val="20"/>
              </w:rPr>
              <w:t xml:space="preserve">ewodowe </w:t>
            </w:r>
            <w:r w:rsidR="000D3686">
              <w:rPr>
                <w:rFonts w:asciiTheme="majorHAnsi" w:hAnsiTheme="majorHAnsi"/>
                <w:sz w:val="20"/>
                <w:szCs w:val="20"/>
              </w:rPr>
              <w:t xml:space="preserve"> </w:t>
            </w:r>
            <w:r w:rsidR="000D3686">
              <w:rPr>
                <w:rFonts w:asciiTheme="majorHAnsi" w:hAnsiTheme="majorHAnsi"/>
                <w:sz w:val="20"/>
                <w:szCs w:val="20"/>
              </w:rPr>
              <w:br/>
              <w:t xml:space="preserve">                </w:t>
            </w:r>
            <w:r>
              <w:rPr>
                <w:rFonts w:asciiTheme="majorHAnsi" w:hAnsiTheme="majorHAnsi"/>
                <w:sz w:val="20"/>
                <w:szCs w:val="20"/>
              </w:rPr>
              <w:t>(pilot) pełniące</w:t>
            </w:r>
            <w:r w:rsidRPr="00F05CE9">
              <w:rPr>
                <w:rFonts w:asciiTheme="majorHAnsi" w:hAnsiTheme="majorHAnsi"/>
                <w:sz w:val="20"/>
                <w:szCs w:val="20"/>
              </w:rPr>
              <w:t xml:space="preserve"> funkcje</w:t>
            </w:r>
          </w:p>
          <w:p w14:paraId="17B6E9CC" w14:textId="0C7B31C5"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zdalne</w:t>
            </w:r>
            <w:r>
              <w:rPr>
                <w:rFonts w:asciiTheme="majorHAnsi" w:hAnsiTheme="majorHAnsi"/>
                <w:sz w:val="20"/>
                <w:szCs w:val="20"/>
              </w:rPr>
              <w:t>go</w:t>
            </w:r>
            <w:r w:rsidRPr="00F05CE9">
              <w:rPr>
                <w:rFonts w:asciiTheme="majorHAnsi" w:hAnsiTheme="majorHAnsi"/>
                <w:sz w:val="20"/>
                <w:szCs w:val="20"/>
              </w:rPr>
              <w:t xml:space="preserve"> otwieranie i zamykanie jednego skrzydła pierwszych drzwi stanowią</w:t>
            </w:r>
            <w:r>
              <w:rPr>
                <w:rFonts w:asciiTheme="majorHAnsi" w:hAnsiTheme="majorHAnsi"/>
                <w:sz w:val="20"/>
                <w:szCs w:val="20"/>
              </w:rPr>
              <w:t>cego wejście do kabiny kierowcy.</w:t>
            </w:r>
          </w:p>
          <w:p w14:paraId="47ADC693" w14:textId="77777777" w:rsidR="009E7154" w:rsidRDefault="009E7154" w:rsidP="00050601">
            <w:pPr>
              <w:spacing w:after="0" w:line="360" w:lineRule="auto"/>
              <w:ind w:left="705" w:hanging="705"/>
              <w:jc w:val="both"/>
              <w:rPr>
                <w:rFonts w:asciiTheme="majorHAnsi" w:hAnsiTheme="majorHAnsi"/>
                <w:sz w:val="20"/>
                <w:szCs w:val="20"/>
              </w:rPr>
            </w:pPr>
          </w:p>
          <w:p w14:paraId="0160903D" w14:textId="3426E772"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5.4.7.</w:t>
            </w:r>
            <w:r w:rsidRPr="00F05CE9">
              <w:rPr>
                <w:rFonts w:asciiTheme="majorHAnsi" w:hAnsiTheme="majorHAnsi"/>
                <w:sz w:val="20"/>
                <w:szCs w:val="20"/>
              </w:rPr>
              <w:tab/>
              <w:t>Czujniki cofania umieszczone</w:t>
            </w:r>
            <w:r>
              <w:rPr>
                <w:rFonts w:asciiTheme="majorHAnsi" w:hAnsiTheme="majorHAnsi"/>
                <w:sz w:val="20"/>
                <w:szCs w:val="20"/>
              </w:rPr>
              <w:t xml:space="preserve"> w tylnej części pojazdu wraz z </w:t>
            </w:r>
            <w:r w:rsidRPr="00F05CE9">
              <w:rPr>
                <w:rFonts w:asciiTheme="majorHAnsi" w:hAnsiTheme="majorHAnsi"/>
                <w:sz w:val="20"/>
                <w:szCs w:val="20"/>
              </w:rPr>
              <w:t xml:space="preserve">urządzeniem sygnalizującym pojawienie się przeszkody za pojazdem. Częstotliwość sygnalizacji dźwiękowej uwzględniająca odległość autobusu od przeszkody. </w:t>
            </w:r>
          </w:p>
        </w:tc>
        <w:tc>
          <w:tcPr>
            <w:tcW w:w="3111" w:type="dxa"/>
          </w:tcPr>
          <w:p w14:paraId="6FBC54EA"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DC5061" w14:paraId="0EA06F49" w14:textId="14ED832C" w:rsidTr="003D18F5">
        <w:tc>
          <w:tcPr>
            <w:tcW w:w="592" w:type="dxa"/>
            <w:shd w:val="clear" w:color="auto" w:fill="D9D9D9" w:themeFill="background1" w:themeFillShade="D9"/>
          </w:tcPr>
          <w:p w14:paraId="468E194A" w14:textId="36B73DBA" w:rsidR="00DC5061" w:rsidRPr="00050601" w:rsidRDefault="00DC5061" w:rsidP="00720B8C">
            <w:pPr>
              <w:spacing w:after="0" w:line="360" w:lineRule="auto"/>
              <w:rPr>
                <w:rFonts w:asciiTheme="majorHAnsi" w:hAnsiTheme="majorHAnsi"/>
                <w:b/>
                <w:sz w:val="20"/>
                <w:szCs w:val="20"/>
              </w:rPr>
            </w:pPr>
            <w:r>
              <w:rPr>
                <w:rFonts w:asciiTheme="majorHAnsi" w:hAnsiTheme="majorHAnsi"/>
                <w:b/>
                <w:sz w:val="20"/>
                <w:szCs w:val="20"/>
              </w:rPr>
              <w:t>6.</w:t>
            </w:r>
          </w:p>
        </w:tc>
        <w:tc>
          <w:tcPr>
            <w:tcW w:w="8473" w:type="dxa"/>
            <w:gridSpan w:val="3"/>
            <w:shd w:val="clear" w:color="auto" w:fill="D9D9D9" w:themeFill="background1" w:themeFillShade="D9"/>
          </w:tcPr>
          <w:p w14:paraId="76CDFA36" w14:textId="202B7679" w:rsidR="00DC5061" w:rsidRPr="00F05CE9" w:rsidRDefault="00DC5061" w:rsidP="009E7154">
            <w:pPr>
              <w:spacing w:after="0" w:line="360" w:lineRule="auto"/>
              <w:jc w:val="both"/>
              <w:rPr>
                <w:rFonts w:asciiTheme="majorHAnsi" w:hAnsiTheme="majorHAnsi"/>
                <w:sz w:val="20"/>
                <w:szCs w:val="20"/>
              </w:rPr>
            </w:pPr>
            <w:r w:rsidRPr="00050601">
              <w:rPr>
                <w:rFonts w:asciiTheme="majorHAnsi" w:hAnsiTheme="majorHAnsi"/>
                <w:b/>
                <w:sz w:val="20"/>
                <w:szCs w:val="20"/>
              </w:rPr>
              <w:t>Pozostałe wyposażenie.</w:t>
            </w:r>
          </w:p>
        </w:tc>
      </w:tr>
      <w:tr w:rsidR="009E7154" w14:paraId="0EF43FAC" w14:textId="091BA1E3" w:rsidTr="00895755">
        <w:tc>
          <w:tcPr>
            <w:tcW w:w="592" w:type="dxa"/>
          </w:tcPr>
          <w:p w14:paraId="5D43A7C2" w14:textId="47DCD42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6.1.</w:t>
            </w:r>
          </w:p>
        </w:tc>
        <w:tc>
          <w:tcPr>
            <w:tcW w:w="1676" w:type="dxa"/>
          </w:tcPr>
          <w:p w14:paraId="0787ADCC" w14:textId="7A5A6BA1" w:rsidR="009E7154" w:rsidRPr="00F05CE9" w:rsidRDefault="009E7154" w:rsidP="006B6F8D">
            <w:pPr>
              <w:spacing w:line="360" w:lineRule="auto"/>
              <w:rPr>
                <w:rFonts w:asciiTheme="majorHAnsi" w:hAnsiTheme="majorHAnsi"/>
                <w:b/>
                <w:sz w:val="20"/>
                <w:szCs w:val="20"/>
              </w:rPr>
            </w:pPr>
            <w:r w:rsidRPr="00F05CE9">
              <w:rPr>
                <w:rFonts w:asciiTheme="majorHAnsi" w:hAnsiTheme="majorHAnsi"/>
                <w:b/>
                <w:sz w:val="20"/>
                <w:szCs w:val="20"/>
              </w:rPr>
              <w:t>System automatycznej detekcji i automatycznego gaszenia pożaru wybranych elementów autobusu.</w:t>
            </w:r>
          </w:p>
        </w:tc>
        <w:tc>
          <w:tcPr>
            <w:tcW w:w="3686" w:type="dxa"/>
          </w:tcPr>
          <w:p w14:paraId="0FF09175" w14:textId="77777777" w:rsidR="009E7154" w:rsidRPr="00F05CE9" w:rsidRDefault="009E7154" w:rsidP="00C36D7E">
            <w:pPr>
              <w:spacing w:after="0" w:line="360" w:lineRule="auto"/>
              <w:jc w:val="both"/>
              <w:rPr>
                <w:rFonts w:asciiTheme="majorHAnsi" w:hAnsiTheme="majorHAnsi"/>
                <w:sz w:val="20"/>
                <w:szCs w:val="20"/>
              </w:rPr>
            </w:pPr>
            <w:r w:rsidRPr="00F05CE9">
              <w:rPr>
                <w:rFonts w:asciiTheme="majorHAnsi" w:hAnsiTheme="majorHAnsi"/>
                <w:sz w:val="20"/>
                <w:szCs w:val="20"/>
              </w:rPr>
              <w:t>6.1.1.</w:t>
            </w:r>
            <w:r w:rsidRPr="00F05CE9">
              <w:rPr>
                <w:rFonts w:asciiTheme="majorHAnsi" w:hAnsiTheme="majorHAnsi"/>
                <w:sz w:val="20"/>
                <w:szCs w:val="20"/>
              </w:rPr>
              <w:tab/>
              <w:t>Systemem detekcji pożaru muszą być objęte co najmniej:</w:t>
            </w:r>
          </w:p>
          <w:p w14:paraId="1B08DC18"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6CF62173"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r w:rsidR="000D3686">
              <w:rPr>
                <w:rFonts w:asciiTheme="majorHAnsi" w:hAnsiTheme="majorHAnsi"/>
                <w:sz w:val="20"/>
                <w:szCs w:val="20"/>
              </w:rPr>
              <w:t xml:space="preserve">  </w:t>
            </w:r>
          </w:p>
          <w:p w14:paraId="3DF04D1A" w14:textId="396E2D24" w:rsidR="009E7154" w:rsidRPr="00F05CE9" w:rsidRDefault="000D3686" w:rsidP="00C36D7E">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pneumatycznego;</w:t>
            </w:r>
          </w:p>
          <w:p w14:paraId="46CAA3C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magazyn energii elektrycznej;</w:t>
            </w:r>
          </w:p>
          <w:p w14:paraId="7926CD25" w14:textId="5A388AFB"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d</w:t>
            </w:r>
            <w:r w:rsidRPr="00F05CE9">
              <w:rPr>
                <w:rFonts w:asciiTheme="majorHAnsi" w:hAnsiTheme="majorHAnsi"/>
                <w:sz w:val="20"/>
                <w:szCs w:val="20"/>
              </w:rPr>
              <w:t>) komora agregatu grzewczego.</w:t>
            </w:r>
          </w:p>
          <w:p w14:paraId="60990577"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6.1.2.</w:t>
            </w:r>
            <w:r w:rsidRPr="00F05CE9">
              <w:rPr>
                <w:rFonts w:asciiTheme="majorHAnsi" w:hAnsiTheme="majorHAnsi"/>
                <w:sz w:val="20"/>
                <w:szCs w:val="20"/>
              </w:rPr>
              <w:tab/>
              <w:t>Detekcja pożaru liniowa hydropneumatyczna, elektryczna lub pneumatyczna.</w:t>
            </w:r>
          </w:p>
          <w:p w14:paraId="69739E5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6.1.3.</w:t>
            </w:r>
            <w:r w:rsidRPr="00F05CE9">
              <w:rPr>
                <w:rFonts w:asciiTheme="majorHAnsi" w:hAnsiTheme="majorHAnsi"/>
                <w:sz w:val="20"/>
                <w:szCs w:val="20"/>
              </w:rPr>
              <w:tab/>
              <w:t>Sygnalizacja pożaru świetlna i akustyczna (głośny przerywany sygnał) w miejscu pracy kierowcy, informująca o wybuchu pożaru.</w:t>
            </w:r>
          </w:p>
          <w:p w14:paraId="138E4FF7" w14:textId="3122E368" w:rsidR="009E7154" w:rsidRPr="00F05CE9" w:rsidRDefault="009E7154" w:rsidP="00100385">
            <w:pPr>
              <w:spacing w:line="360" w:lineRule="auto"/>
              <w:ind w:left="743" w:hanging="709"/>
              <w:jc w:val="both"/>
              <w:rPr>
                <w:rFonts w:asciiTheme="majorHAnsi" w:hAnsiTheme="majorHAnsi"/>
                <w:sz w:val="20"/>
                <w:szCs w:val="20"/>
              </w:rPr>
            </w:pPr>
            <w:r w:rsidRPr="00F05CE9">
              <w:rPr>
                <w:rFonts w:asciiTheme="majorHAnsi" w:hAnsiTheme="majorHAnsi"/>
                <w:sz w:val="20"/>
                <w:szCs w:val="20"/>
              </w:rPr>
              <w:t>6.1.4.</w:t>
            </w:r>
            <w:r w:rsidRPr="00F05CE9">
              <w:rPr>
                <w:rFonts w:asciiTheme="majorHAnsi" w:hAnsiTheme="majorHAnsi"/>
                <w:sz w:val="20"/>
                <w:szCs w:val="20"/>
              </w:rPr>
              <w:tab/>
              <w:t>Układ detekcji musi działa</w:t>
            </w:r>
            <w:r>
              <w:rPr>
                <w:rFonts w:asciiTheme="majorHAnsi" w:hAnsiTheme="majorHAnsi"/>
                <w:sz w:val="20"/>
                <w:szCs w:val="20"/>
              </w:rPr>
              <w:t>ć niezależnie od zewnętrznych i </w:t>
            </w:r>
            <w:r w:rsidRPr="00F05CE9">
              <w:rPr>
                <w:rFonts w:asciiTheme="majorHAnsi" w:hAnsiTheme="majorHAnsi"/>
                <w:sz w:val="20"/>
                <w:szCs w:val="20"/>
              </w:rPr>
              <w:t>wewnętrznych źródeł zasilania.</w:t>
            </w:r>
          </w:p>
          <w:p w14:paraId="559E80D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6.1.5.</w:t>
            </w:r>
            <w:r w:rsidRPr="00F05CE9">
              <w:rPr>
                <w:rFonts w:asciiTheme="majorHAnsi" w:hAnsiTheme="majorHAnsi"/>
                <w:sz w:val="20"/>
                <w:szCs w:val="20"/>
              </w:rPr>
              <w:tab/>
              <w:t>System detekcji musi być wyposażony w automatyczny układ diagnostyczny z modułem informacji dla kierowcy informujący o poprawności działania systemu.</w:t>
            </w:r>
          </w:p>
          <w:p w14:paraId="613AFC77" w14:textId="2AE4D07E" w:rsidR="009E7154" w:rsidRPr="00F05CE9" w:rsidRDefault="009E7154" w:rsidP="002E23C6">
            <w:pPr>
              <w:spacing w:line="360" w:lineRule="auto"/>
              <w:ind w:left="705" w:hanging="705"/>
              <w:jc w:val="both"/>
              <w:rPr>
                <w:rFonts w:asciiTheme="majorHAnsi" w:hAnsiTheme="majorHAnsi"/>
                <w:sz w:val="20"/>
                <w:szCs w:val="20"/>
              </w:rPr>
            </w:pPr>
            <w:r w:rsidRPr="00F05CE9">
              <w:rPr>
                <w:rFonts w:asciiTheme="majorHAnsi" w:hAnsiTheme="majorHAnsi"/>
                <w:sz w:val="20"/>
                <w:szCs w:val="20"/>
              </w:rPr>
              <w:t>6.1.6.</w:t>
            </w:r>
            <w:r w:rsidRPr="00F05CE9">
              <w:rPr>
                <w:rFonts w:asciiTheme="majorHAnsi" w:hAnsiTheme="majorHAnsi"/>
                <w:sz w:val="20"/>
                <w:szCs w:val="20"/>
              </w:rPr>
              <w:tab/>
              <w:t>Jeżeli system detekcji pożaru wymaga okresowych czynności serwisowych koszty obsługi w okresie gwarancji całopojazdowej ponosi Wykonawca.</w:t>
            </w:r>
          </w:p>
          <w:p w14:paraId="2EF453DF" w14:textId="77777777" w:rsidR="009E7154" w:rsidRPr="00F05CE9" w:rsidRDefault="009E7154" w:rsidP="00100385">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6.1.7.</w:t>
            </w:r>
            <w:r w:rsidRPr="00F05CE9">
              <w:rPr>
                <w:rFonts w:asciiTheme="majorHAnsi" w:hAnsiTheme="majorHAnsi"/>
                <w:sz w:val="20"/>
                <w:szCs w:val="20"/>
              </w:rPr>
              <w:tab/>
              <w:t>Systemem automatycznego gaszenia pożaru muszą być objęte co najmniej:</w:t>
            </w:r>
          </w:p>
          <w:p w14:paraId="6E42686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28431E19"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p>
          <w:p w14:paraId="04AC21D2" w14:textId="52C69B5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66B33D87" w14:textId="703BE926"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c</w:t>
            </w:r>
            <w:r w:rsidRPr="00F05CE9">
              <w:rPr>
                <w:rFonts w:asciiTheme="majorHAnsi" w:hAnsiTheme="majorHAnsi"/>
                <w:sz w:val="20"/>
                <w:szCs w:val="20"/>
              </w:rPr>
              <w:t>) komora agregatu grzewczego.</w:t>
            </w:r>
          </w:p>
          <w:p w14:paraId="054C5EB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6.1.8.</w:t>
            </w:r>
            <w:r w:rsidRPr="00F05CE9">
              <w:rPr>
                <w:rFonts w:asciiTheme="majorHAnsi" w:hAnsiTheme="majorHAnsi"/>
                <w:sz w:val="20"/>
                <w:szCs w:val="20"/>
              </w:rPr>
              <w:tab/>
              <w:t>Przewód detekcji (wykrywania) pożaru nie może pełnić funkcji dostarczania/rozpylania środka gaśniczego).</w:t>
            </w:r>
          </w:p>
          <w:p w14:paraId="0A78296F" w14:textId="3DC779D9" w:rsidR="009E7154" w:rsidRPr="00F05CE9" w:rsidRDefault="009E7154" w:rsidP="00100385">
            <w:pPr>
              <w:spacing w:line="360" w:lineRule="auto"/>
              <w:ind w:left="705" w:hanging="705"/>
              <w:jc w:val="both"/>
              <w:rPr>
                <w:rFonts w:asciiTheme="majorHAnsi" w:hAnsiTheme="majorHAnsi"/>
                <w:sz w:val="20"/>
                <w:szCs w:val="20"/>
              </w:rPr>
            </w:pPr>
            <w:r w:rsidRPr="00F05CE9">
              <w:rPr>
                <w:rFonts w:asciiTheme="majorHAnsi" w:hAnsiTheme="majorHAnsi"/>
                <w:sz w:val="20"/>
                <w:szCs w:val="20"/>
              </w:rPr>
              <w:t>6.1.9.</w:t>
            </w:r>
            <w:r w:rsidRPr="00F05CE9">
              <w:rPr>
                <w:rFonts w:asciiTheme="majorHAnsi" w:hAnsiTheme="majorHAnsi"/>
                <w:sz w:val="20"/>
                <w:szCs w:val="20"/>
              </w:rPr>
              <w:tab/>
              <w:t>Sygnalizacja świe</w:t>
            </w:r>
            <w:r>
              <w:rPr>
                <w:rFonts w:asciiTheme="majorHAnsi" w:hAnsiTheme="majorHAnsi"/>
                <w:sz w:val="20"/>
                <w:szCs w:val="20"/>
              </w:rPr>
              <w:t>tlna i akustyczna informująca o </w:t>
            </w:r>
            <w:r w:rsidRPr="007863DD">
              <w:rPr>
                <w:rFonts w:asciiTheme="majorHAnsi" w:hAnsiTheme="majorHAnsi"/>
                <w:sz w:val="20"/>
                <w:szCs w:val="20"/>
              </w:rPr>
              <w:t>wykryciu pożaru</w:t>
            </w:r>
            <w:r>
              <w:rPr>
                <w:rFonts w:asciiTheme="majorHAnsi" w:hAnsiTheme="majorHAnsi"/>
                <w:sz w:val="20"/>
                <w:szCs w:val="20"/>
              </w:rPr>
              <w:t xml:space="preserve"> i </w:t>
            </w:r>
            <w:r w:rsidRPr="00F05CE9">
              <w:rPr>
                <w:rFonts w:asciiTheme="majorHAnsi" w:hAnsiTheme="majorHAnsi"/>
                <w:sz w:val="20"/>
                <w:szCs w:val="20"/>
              </w:rPr>
              <w:t>uruchomieniu systemu gaszenia pożaru w kabinie kierowcy.</w:t>
            </w:r>
          </w:p>
          <w:p w14:paraId="3EDA39D4" w14:textId="289A5579"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6.1.10.</w:t>
            </w:r>
            <w:r w:rsidRPr="00F05CE9">
              <w:rPr>
                <w:rFonts w:asciiTheme="majorHAnsi" w:hAnsiTheme="majorHAnsi"/>
                <w:sz w:val="20"/>
                <w:szCs w:val="20"/>
              </w:rPr>
              <w:tab/>
              <w:t>Środek gaśniczy: ciecz (niezamarzająca o temperaturze krystalizacji minimum</w:t>
            </w:r>
            <w:r>
              <w:rPr>
                <w:rFonts w:asciiTheme="majorHAnsi" w:hAnsiTheme="majorHAnsi"/>
                <w:sz w:val="20"/>
                <w:szCs w:val="20"/>
              </w:rPr>
              <w:t xml:space="preserve"> –37°C) lub proszek, rozpylane w </w:t>
            </w:r>
            <w:r w:rsidRPr="00F05CE9">
              <w:rPr>
                <w:rFonts w:asciiTheme="majorHAnsi" w:hAnsiTheme="majorHAnsi"/>
                <w:sz w:val="20"/>
                <w:szCs w:val="20"/>
              </w:rPr>
              <w:t xml:space="preserve">miejscach objętych systemem gaszenia za pomocą odpowiedniej ilości dysz. Ilość środka gaśniczego z odpowiednim zapasem </w:t>
            </w:r>
            <w:r>
              <w:rPr>
                <w:rFonts w:asciiTheme="majorHAnsi" w:hAnsiTheme="majorHAnsi"/>
                <w:sz w:val="20"/>
                <w:szCs w:val="20"/>
              </w:rPr>
              <w:t>zapewniająca ugaszenie pożaru w </w:t>
            </w:r>
            <w:r w:rsidRPr="00F05CE9">
              <w:rPr>
                <w:rFonts w:asciiTheme="majorHAnsi" w:hAnsiTheme="majorHAnsi"/>
                <w:sz w:val="20"/>
                <w:szCs w:val="20"/>
              </w:rPr>
              <w:t>miejscach objętych systemem gaszenia.</w:t>
            </w:r>
          </w:p>
          <w:p w14:paraId="54E93DD3" w14:textId="77777777" w:rsidR="009E7154" w:rsidRPr="00F05CE9" w:rsidRDefault="009E7154" w:rsidP="00C36D7E">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6.1.11.</w:t>
            </w:r>
            <w:r w:rsidRPr="00F05CE9">
              <w:rPr>
                <w:rFonts w:asciiTheme="majorHAnsi" w:hAnsiTheme="majorHAnsi"/>
                <w:sz w:val="20"/>
                <w:szCs w:val="20"/>
              </w:rPr>
              <w:tab/>
              <w:t>Widoczne cechy legalizacyjne i daty dopuszczenia do użytkowania zgodnie z ogólnie obowiązującymi przepisami dotyczącymi systemów przeciwpożarowych.</w:t>
            </w:r>
          </w:p>
          <w:p w14:paraId="12F5B041" w14:textId="123D007E"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6.1.12.</w:t>
            </w:r>
            <w:r w:rsidRPr="00F05CE9">
              <w:rPr>
                <w:rFonts w:asciiTheme="majorHAnsi" w:hAnsiTheme="majorHAnsi"/>
                <w:sz w:val="20"/>
                <w:szCs w:val="20"/>
              </w:rPr>
              <w:tab/>
              <w:t>Dostęp do manometr</w:t>
            </w:r>
            <w:r>
              <w:rPr>
                <w:rFonts w:asciiTheme="majorHAnsi" w:hAnsiTheme="majorHAnsi"/>
                <w:sz w:val="20"/>
                <w:szCs w:val="20"/>
              </w:rPr>
              <w:t>u/ów zamontowanego na butlach z </w:t>
            </w:r>
            <w:r w:rsidRPr="00F05CE9">
              <w:rPr>
                <w:rFonts w:asciiTheme="majorHAnsi" w:hAnsiTheme="majorHAnsi"/>
                <w:sz w:val="20"/>
                <w:szCs w:val="20"/>
              </w:rPr>
              <w:t>środkiem gaśniczym musi być zapewniony bez konieczności demontażu klap, pokryw, itp.</w:t>
            </w:r>
          </w:p>
          <w:p w14:paraId="767776F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6.1.13.</w:t>
            </w:r>
            <w:r w:rsidRPr="00F05CE9">
              <w:rPr>
                <w:rFonts w:asciiTheme="majorHAnsi" w:hAnsiTheme="majorHAnsi"/>
                <w:sz w:val="20"/>
                <w:szCs w:val="20"/>
              </w:rPr>
              <w:tab/>
              <w:t>System gaszenia pożaru musi działać niezależnie od zewnętrznych i wewnętrznych źródeł zasilania.</w:t>
            </w:r>
          </w:p>
          <w:p w14:paraId="601BDB43"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6.1.14.</w:t>
            </w:r>
            <w:r w:rsidRPr="00F05CE9">
              <w:rPr>
                <w:rFonts w:asciiTheme="majorHAnsi" w:hAnsiTheme="majorHAnsi"/>
                <w:sz w:val="20"/>
                <w:szCs w:val="20"/>
              </w:rPr>
              <w:tab/>
              <w:t>System automatycznego gaszenia pożaru musi być wyposażony w automatyczny układ diagnostyczny z modułem informacji dla kierowcy informujący o poprawnym działaniu systemu.</w:t>
            </w:r>
          </w:p>
          <w:p w14:paraId="7B23294C" w14:textId="691C4481"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6.1.15.</w:t>
            </w:r>
            <w:r w:rsidRPr="00F05CE9">
              <w:rPr>
                <w:rFonts w:asciiTheme="majorHAnsi" w:hAnsiTheme="majorHAnsi"/>
                <w:sz w:val="20"/>
                <w:szCs w:val="20"/>
              </w:rPr>
              <w:tab/>
              <w:t xml:space="preserve">Jeżeli </w:t>
            </w:r>
            <w:r>
              <w:rPr>
                <w:rFonts w:asciiTheme="majorHAnsi" w:hAnsiTheme="majorHAnsi"/>
                <w:sz w:val="20"/>
                <w:szCs w:val="20"/>
              </w:rPr>
              <w:t xml:space="preserve">system </w:t>
            </w:r>
            <w:r w:rsidRPr="007863DD">
              <w:rPr>
                <w:rFonts w:asciiTheme="majorHAnsi" w:hAnsiTheme="majorHAnsi"/>
                <w:sz w:val="20"/>
                <w:szCs w:val="20"/>
              </w:rPr>
              <w:t>detekcji pożaru</w:t>
            </w:r>
            <w:r>
              <w:rPr>
                <w:rFonts w:asciiTheme="majorHAnsi" w:hAnsiTheme="majorHAnsi"/>
                <w:sz w:val="20"/>
                <w:szCs w:val="20"/>
              </w:rPr>
              <w:t xml:space="preserve"> i </w:t>
            </w:r>
            <w:r w:rsidRPr="00F05CE9">
              <w:rPr>
                <w:rFonts w:asciiTheme="majorHAnsi" w:hAnsiTheme="majorHAnsi"/>
                <w:sz w:val="20"/>
                <w:szCs w:val="20"/>
              </w:rPr>
              <w:t>system gaszenia pożaru wymaga</w:t>
            </w:r>
            <w:r>
              <w:rPr>
                <w:rFonts w:asciiTheme="majorHAnsi" w:hAnsiTheme="majorHAnsi"/>
                <w:sz w:val="20"/>
                <w:szCs w:val="20"/>
              </w:rPr>
              <w:t>ją</w:t>
            </w:r>
            <w:r w:rsidRPr="00F05CE9">
              <w:rPr>
                <w:rFonts w:asciiTheme="majorHAnsi" w:hAnsiTheme="majorHAnsi"/>
                <w:sz w:val="20"/>
                <w:szCs w:val="20"/>
              </w:rPr>
              <w:t xml:space="preserve"> okresowych czynności serwisowych koszty obsługi </w:t>
            </w:r>
            <w:r>
              <w:rPr>
                <w:rFonts w:asciiTheme="majorHAnsi" w:hAnsiTheme="majorHAnsi"/>
                <w:sz w:val="20"/>
                <w:szCs w:val="20"/>
              </w:rPr>
              <w:t>w </w:t>
            </w:r>
            <w:r w:rsidRPr="00F05CE9">
              <w:rPr>
                <w:rFonts w:asciiTheme="majorHAnsi" w:hAnsiTheme="majorHAnsi"/>
                <w:sz w:val="20"/>
                <w:szCs w:val="20"/>
              </w:rPr>
              <w:t xml:space="preserve">okresie gwarancji całopojazdowej </w:t>
            </w:r>
            <w:r>
              <w:rPr>
                <w:rFonts w:asciiTheme="majorHAnsi" w:hAnsiTheme="majorHAnsi"/>
                <w:sz w:val="20"/>
                <w:szCs w:val="20"/>
              </w:rPr>
              <w:t>ponosi Wykonawca.</w:t>
            </w:r>
          </w:p>
        </w:tc>
        <w:tc>
          <w:tcPr>
            <w:tcW w:w="3111" w:type="dxa"/>
          </w:tcPr>
          <w:p w14:paraId="14FEBD71" w14:textId="77777777" w:rsidR="009E7154" w:rsidRDefault="009E7154">
            <w:pPr>
              <w:spacing w:after="0" w:line="240" w:lineRule="auto"/>
              <w:rPr>
                <w:rFonts w:asciiTheme="majorHAnsi" w:hAnsiTheme="majorHAnsi"/>
                <w:sz w:val="20"/>
                <w:szCs w:val="20"/>
              </w:rPr>
            </w:pPr>
          </w:p>
          <w:p w14:paraId="041E2F06"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9E7154" w14:paraId="6BECDA6A" w14:textId="6A6A873F" w:rsidTr="00895755">
        <w:tc>
          <w:tcPr>
            <w:tcW w:w="592" w:type="dxa"/>
          </w:tcPr>
          <w:p w14:paraId="7328D950" w14:textId="7478298E"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6.2.</w:t>
            </w:r>
          </w:p>
        </w:tc>
        <w:tc>
          <w:tcPr>
            <w:tcW w:w="1676" w:type="dxa"/>
          </w:tcPr>
          <w:p w14:paraId="0125B951" w14:textId="40DF2E5D"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Wyposażenie dodatkowe</w:t>
            </w:r>
            <w:r>
              <w:rPr>
                <w:rFonts w:asciiTheme="majorHAnsi" w:hAnsiTheme="majorHAnsi"/>
                <w:b/>
                <w:sz w:val="20"/>
                <w:szCs w:val="20"/>
              </w:rPr>
              <w:t>.</w:t>
            </w:r>
          </w:p>
        </w:tc>
        <w:tc>
          <w:tcPr>
            <w:tcW w:w="3686" w:type="dxa"/>
          </w:tcPr>
          <w:p w14:paraId="766A9B1E"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6.2.1.</w:t>
            </w:r>
            <w:r w:rsidRPr="00F05CE9">
              <w:rPr>
                <w:rFonts w:asciiTheme="majorHAnsi" w:hAnsiTheme="majorHAnsi"/>
                <w:sz w:val="20"/>
                <w:szCs w:val="20"/>
              </w:rPr>
              <w:tab/>
              <w:t>Pojazd wyposażony w 2 zaczepy holownicze/gniazda holownicze przednie i tylne.</w:t>
            </w:r>
          </w:p>
          <w:p w14:paraId="72CDBE4A" w14:textId="3E0651F8" w:rsidR="009E7154" w:rsidRPr="00F05CE9" w:rsidRDefault="009E7154" w:rsidP="00C36D7E">
            <w:pPr>
              <w:spacing w:line="360" w:lineRule="auto"/>
              <w:jc w:val="both"/>
              <w:rPr>
                <w:rFonts w:asciiTheme="majorHAnsi" w:hAnsiTheme="majorHAnsi"/>
                <w:sz w:val="20"/>
                <w:szCs w:val="20"/>
              </w:rPr>
            </w:pPr>
            <w:r w:rsidRPr="00F05CE9">
              <w:rPr>
                <w:rFonts w:asciiTheme="majorHAnsi" w:hAnsiTheme="majorHAnsi"/>
                <w:sz w:val="20"/>
                <w:szCs w:val="20"/>
              </w:rPr>
              <w:t>6.2.2.</w:t>
            </w:r>
            <w:r w:rsidRPr="00F05CE9">
              <w:rPr>
                <w:rFonts w:asciiTheme="majorHAnsi" w:hAnsiTheme="majorHAnsi"/>
                <w:sz w:val="20"/>
                <w:szCs w:val="20"/>
              </w:rPr>
              <w:tab/>
              <w:t xml:space="preserve">Kluczyki do stacyjki </w:t>
            </w:r>
            <w:r w:rsidR="000D3686">
              <w:rPr>
                <w:rFonts w:asciiTheme="majorHAnsi" w:hAnsiTheme="majorHAnsi"/>
                <w:sz w:val="20"/>
                <w:szCs w:val="20"/>
              </w:rPr>
              <w:br/>
              <w:t xml:space="preserve">               </w:t>
            </w:r>
            <w:r w:rsidRPr="00F05CE9">
              <w:rPr>
                <w:rFonts w:asciiTheme="majorHAnsi" w:hAnsiTheme="majorHAnsi"/>
                <w:sz w:val="20"/>
                <w:szCs w:val="20"/>
              </w:rPr>
              <w:t>(do</w:t>
            </w:r>
            <w:r w:rsidR="000D3686">
              <w:rPr>
                <w:rFonts w:asciiTheme="majorHAnsi" w:hAnsiTheme="majorHAnsi"/>
                <w:sz w:val="20"/>
                <w:szCs w:val="20"/>
              </w:rPr>
              <w:t xml:space="preserve">    </w:t>
            </w:r>
            <w:r w:rsidRPr="00F05CE9">
              <w:rPr>
                <w:rFonts w:asciiTheme="majorHAnsi" w:hAnsiTheme="majorHAnsi"/>
                <w:sz w:val="20"/>
                <w:szCs w:val="20"/>
              </w:rPr>
              <w:t xml:space="preserve">uruchamiania autobusu) w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ilości 2 szt..</w:t>
            </w:r>
          </w:p>
          <w:p w14:paraId="5A0A086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6.2.3.</w:t>
            </w:r>
            <w:r w:rsidRPr="00F05CE9">
              <w:rPr>
                <w:rFonts w:asciiTheme="majorHAnsi" w:hAnsiTheme="majorHAnsi"/>
                <w:sz w:val="20"/>
                <w:szCs w:val="20"/>
              </w:rPr>
              <w:tab/>
              <w:t>Klucze do zamków zastosowanych w autobusie (drzwi, schowki itp.), w liczbie 2 kompletów na każdy autobus.</w:t>
            </w:r>
          </w:p>
          <w:p w14:paraId="4DF14A6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6.2.4</w:t>
            </w:r>
            <w:r w:rsidRPr="00F05CE9">
              <w:rPr>
                <w:rFonts w:asciiTheme="majorHAnsi" w:hAnsiTheme="majorHAnsi"/>
                <w:sz w:val="20"/>
                <w:szCs w:val="20"/>
              </w:rPr>
              <w:tab/>
              <w:t>Klucz serwisowy typu kwadrat wewnętrzny 8mm do wszystkich pozostałych zamków zastosowanych w liczbie 2 szt. na każdy autobus.</w:t>
            </w:r>
          </w:p>
          <w:p w14:paraId="3CC15732"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6.2.5.</w:t>
            </w:r>
            <w:r w:rsidRPr="00F05CE9">
              <w:rPr>
                <w:rFonts w:asciiTheme="majorHAnsi" w:hAnsiTheme="majorHAnsi"/>
                <w:sz w:val="20"/>
                <w:szCs w:val="20"/>
              </w:rPr>
              <w:tab/>
              <w:t>Gaśnice w ilości określonej odrębnymi przepisami, trójkąt ostrzegawczy.</w:t>
            </w:r>
          </w:p>
          <w:p w14:paraId="603AEEF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6.2.6.</w:t>
            </w:r>
            <w:r w:rsidRPr="00F05CE9">
              <w:rPr>
                <w:rFonts w:asciiTheme="majorHAnsi" w:hAnsiTheme="majorHAnsi"/>
                <w:sz w:val="20"/>
                <w:szCs w:val="20"/>
              </w:rPr>
              <w:tab/>
              <w:t>Autobus musi być wyposażony w drogomierz z podaną stałą liczbą impulsów na 1000m (stała K). Wyklucza się stosowanie tachografu.</w:t>
            </w:r>
          </w:p>
          <w:p w14:paraId="4FEE0605" w14:textId="77777777" w:rsidR="009E7154" w:rsidRPr="00F05CE9" w:rsidRDefault="009E7154" w:rsidP="00100385">
            <w:pPr>
              <w:spacing w:line="360" w:lineRule="auto"/>
              <w:ind w:left="743" w:hanging="709"/>
              <w:jc w:val="both"/>
              <w:rPr>
                <w:rFonts w:asciiTheme="majorHAnsi" w:hAnsiTheme="majorHAnsi"/>
                <w:sz w:val="20"/>
                <w:szCs w:val="20"/>
              </w:rPr>
            </w:pPr>
            <w:r w:rsidRPr="00F05CE9">
              <w:rPr>
                <w:rFonts w:asciiTheme="majorHAnsi" w:hAnsiTheme="majorHAnsi"/>
                <w:sz w:val="20"/>
                <w:szCs w:val="20"/>
              </w:rPr>
              <w:t>6.2.7.</w:t>
            </w:r>
            <w:r w:rsidRPr="00F05CE9">
              <w:rPr>
                <w:rFonts w:asciiTheme="majorHAnsi" w:hAnsiTheme="majorHAnsi"/>
                <w:sz w:val="20"/>
                <w:szCs w:val="20"/>
              </w:rPr>
              <w:tab/>
              <w:t>Kosz na śmieci w ilości 2 szt. – po 1 szt.  w okolicach  drugich oraz trzecich drzwi.</w:t>
            </w:r>
          </w:p>
          <w:p w14:paraId="689102F9" w14:textId="77777777" w:rsidR="009E7154" w:rsidRDefault="009E7154" w:rsidP="002E23C6">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6.2.8.</w:t>
            </w:r>
            <w:r w:rsidRPr="00F05CE9">
              <w:rPr>
                <w:rFonts w:asciiTheme="majorHAnsi" w:hAnsiTheme="majorHAnsi"/>
                <w:sz w:val="20"/>
                <w:szCs w:val="20"/>
              </w:rPr>
              <w:tab/>
              <w:t>Uchwyty na flagi o średnicy 15mm umieszczone w przedniej części autobusu po lewej i prawej stronie.</w:t>
            </w:r>
          </w:p>
          <w:p w14:paraId="1F431798" w14:textId="41A19B18" w:rsidR="009E7154" w:rsidRPr="00F05CE9" w:rsidRDefault="009E7154" w:rsidP="002E23C6">
            <w:pPr>
              <w:spacing w:after="0" w:line="360" w:lineRule="auto"/>
              <w:ind w:left="705" w:hanging="705"/>
              <w:jc w:val="both"/>
              <w:rPr>
                <w:rFonts w:asciiTheme="majorHAnsi" w:hAnsiTheme="majorHAnsi"/>
                <w:sz w:val="20"/>
                <w:szCs w:val="20"/>
              </w:rPr>
            </w:pPr>
            <w:r>
              <w:rPr>
                <w:rFonts w:asciiTheme="majorHAnsi" w:hAnsiTheme="majorHAnsi"/>
                <w:sz w:val="20"/>
                <w:szCs w:val="20"/>
              </w:rPr>
              <w:t>6.2.9.  Apteczka pierwszej pomocy w każdym z dostarczonych pojazdów.</w:t>
            </w:r>
          </w:p>
        </w:tc>
        <w:tc>
          <w:tcPr>
            <w:tcW w:w="3111" w:type="dxa"/>
          </w:tcPr>
          <w:p w14:paraId="13D37DF7" w14:textId="77777777" w:rsidR="009E7154" w:rsidRPr="00F05CE9" w:rsidRDefault="009E7154" w:rsidP="002E23C6">
            <w:pPr>
              <w:spacing w:after="0" w:line="360" w:lineRule="auto"/>
              <w:ind w:left="705" w:hanging="705"/>
              <w:jc w:val="both"/>
              <w:rPr>
                <w:rFonts w:asciiTheme="majorHAnsi" w:hAnsiTheme="majorHAnsi"/>
                <w:sz w:val="20"/>
                <w:szCs w:val="20"/>
              </w:rPr>
            </w:pPr>
          </w:p>
        </w:tc>
      </w:tr>
      <w:tr w:rsidR="009E7154" w14:paraId="61A2F4CD" w14:textId="41469A5A" w:rsidTr="00895755">
        <w:tc>
          <w:tcPr>
            <w:tcW w:w="592" w:type="dxa"/>
          </w:tcPr>
          <w:p w14:paraId="472CF92C" w14:textId="2BA9095A"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6.3.</w:t>
            </w:r>
          </w:p>
        </w:tc>
        <w:tc>
          <w:tcPr>
            <w:tcW w:w="1676" w:type="dxa"/>
          </w:tcPr>
          <w:p w14:paraId="235FDF1C" w14:textId="18CF9262" w:rsidR="009E7154" w:rsidRPr="00F05CE9" w:rsidRDefault="009E7154" w:rsidP="00C36D7E">
            <w:pPr>
              <w:spacing w:after="0" w:line="360" w:lineRule="auto"/>
              <w:jc w:val="both"/>
              <w:rPr>
                <w:rFonts w:asciiTheme="majorHAnsi" w:hAnsiTheme="majorHAnsi"/>
                <w:b/>
                <w:sz w:val="20"/>
                <w:szCs w:val="20"/>
              </w:rPr>
            </w:pPr>
            <w:r>
              <w:rPr>
                <w:rFonts w:asciiTheme="majorHAnsi" w:hAnsiTheme="majorHAnsi"/>
                <w:b/>
                <w:sz w:val="20"/>
                <w:szCs w:val="20"/>
              </w:rPr>
              <w:t>Wyposażenie diagnostycznie i </w:t>
            </w:r>
            <w:r w:rsidRPr="00F05CE9">
              <w:rPr>
                <w:rFonts w:asciiTheme="majorHAnsi" w:hAnsiTheme="majorHAnsi"/>
                <w:b/>
                <w:sz w:val="20"/>
                <w:szCs w:val="20"/>
              </w:rPr>
              <w:t>instrukcje.</w:t>
            </w:r>
          </w:p>
        </w:tc>
        <w:tc>
          <w:tcPr>
            <w:tcW w:w="3686" w:type="dxa"/>
          </w:tcPr>
          <w:p w14:paraId="6652689A"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w:t>
            </w:r>
            <w:r w:rsidRPr="00F05CE9">
              <w:rPr>
                <w:rFonts w:asciiTheme="majorHAnsi" w:hAnsiTheme="majorHAnsi"/>
                <w:sz w:val="20"/>
                <w:szCs w:val="20"/>
              </w:rPr>
              <w:tab/>
              <w:t>W celu zapewnienia łatwej obsługi, diagnozy i konfiguracji wszystkich systemów w autobusie wymaga się, aby złącza diagnostyczne były łatwo dostępne bez konieczności demontażu innych elementów.</w:t>
            </w:r>
          </w:p>
          <w:p w14:paraId="0283D436"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6.3.2.</w:t>
            </w:r>
            <w:r w:rsidRPr="00F05CE9">
              <w:rPr>
                <w:rFonts w:asciiTheme="majorHAnsi" w:hAnsiTheme="majorHAnsi"/>
                <w:sz w:val="20"/>
                <w:szCs w:val="20"/>
              </w:rPr>
              <w:tab/>
              <w:t>Wykonawca dostarczy</w:t>
            </w:r>
            <w:r>
              <w:rPr>
                <w:rFonts w:asciiTheme="majorHAnsi" w:hAnsiTheme="majorHAnsi"/>
                <w:sz w:val="20"/>
                <w:szCs w:val="20"/>
              </w:rPr>
              <w:t xml:space="preserve"> na koszt własny</w:t>
            </w:r>
            <w:r w:rsidRPr="00F05CE9">
              <w:rPr>
                <w:rFonts w:asciiTheme="majorHAnsi" w:hAnsiTheme="majorHAnsi"/>
                <w:sz w:val="20"/>
                <w:szCs w:val="20"/>
              </w:rPr>
              <w:t xml:space="preserve"> 2 przenośne komputery wraz z oprogramowaniem niezbędnym do diagnozy i konfiguracji systemów w autobusie </w:t>
            </w:r>
            <w:r>
              <w:rPr>
                <w:rFonts w:asciiTheme="majorHAnsi" w:hAnsiTheme="majorHAnsi"/>
                <w:sz w:val="20"/>
                <w:szCs w:val="20"/>
              </w:rPr>
              <w:t>oraz niezbędnymi interfejsami a </w:t>
            </w:r>
            <w:r w:rsidRPr="00F05CE9">
              <w:rPr>
                <w:rFonts w:asciiTheme="majorHAnsi" w:hAnsiTheme="majorHAnsi"/>
                <w:sz w:val="20"/>
                <w:szCs w:val="20"/>
              </w:rPr>
              <w:t>także peryferiami i torbami transportowymi.</w:t>
            </w:r>
          </w:p>
          <w:p w14:paraId="1670BD30" w14:textId="063925CD"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6.3.3.</w:t>
            </w:r>
            <w:r w:rsidRPr="00F05CE9">
              <w:rPr>
                <w:rFonts w:asciiTheme="majorHAnsi" w:hAnsiTheme="majorHAnsi"/>
                <w:sz w:val="20"/>
                <w:szCs w:val="20"/>
              </w:rPr>
              <w:tab/>
              <w:t xml:space="preserve">Wykonawca dostarczy </w:t>
            </w:r>
            <w:r>
              <w:rPr>
                <w:rFonts w:asciiTheme="majorHAnsi" w:hAnsiTheme="majorHAnsi"/>
                <w:sz w:val="20"/>
                <w:szCs w:val="20"/>
              </w:rPr>
              <w:t xml:space="preserve">na koszt własny </w:t>
            </w:r>
            <w:r w:rsidRPr="00F05CE9">
              <w:rPr>
                <w:rFonts w:asciiTheme="majorHAnsi" w:hAnsiTheme="majorHAnsi"/>
                <w:sz w:val="20"/>
                <w:szCs w:val="20"/>
              </w:rPr>
              <w:t xml:space="preserve">niezbędne narzędzia, </w:t>
            </w:r>
            <w:r w:rsidRPr="00F05CE9">
              <w:rPr>
                <w:rFonts w:asciiTheme="majorHAnsi" w:hAnsiTheme="majorHAnsi" w:cstheme="minorHAnsi"/>
                <w:sz w:val="20"/>
                <w:szCs w:val="20"/>
              </w:rPr>
              <w:t>narzędzia specjalne,</w:t>
            </w:r>
            <w:r w:rsidRPr="00F05CE9">
              <w:rPr>
                <w:rFonts w:asciiTheme="majorHAnsi" w:hAnsiTheme="majorHAnsi"/>
                <w:sz w:val="20"/>
                <w:szCs w:val="20"/>
              </w:rPr>
              <w:t xml:space="preserve"> urządzenia i testery do diagnostyki, obsługi oraz n</w:t>
            </w:r>
            <w:r>
              <w:rPr>
                <w:rFonts w:asciiTheme="majorHAnsi" w:hAnsiTheme="majorHAnsi"/>
                <w:sz w:val="20"/>
                <w:szCs w:val="20"/>
              </w:rPr>
              <w:t>aprawy podzespołów autobusu a w </w:t>
            </w:r>
            <w:r w:rsidRPr="00F05CE9">
              <w:rPr>
                <w:rFonts w:asciiTheme="majorHAnsi" w:hAnsiTheme="majorHAnsi"/>
                <w:sz w:val="20"/>
                <w:szCs w:val="20"/>
              </w:rPr>
              <w:t>szczególności:</w:t>
            </w:r>
          </w:p>
          <w:p w14:paraId="7E169C4C"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pakiet narzędzi oraz przyrządów do obsługi i naprawy silnika zgodnie z autoryzacją,</w:t>
            </w:r>
          </w:p>
          <w:p w14:paraId="447719D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klucz nasadowy do demontażu i montażu nakrętek piasty koła osi przedniej oraz narzędzie do montażu uszczelnienia a także kompletny ściągacz do demontażu zespołu łożysk tej osi,</w:t>
            </w:r>
          </w:p>
          <w:p w14:paraId="28279EFB" w14:textId="17C661F2"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klucz nasadowy do demontażu i montażu nakrętek piasty kół osi napędowej oraz klucz </w:t>
            </w:r>
            <w:r>
              <w:rPr>
                <w:rFonts w:asciiTheme="majorHAnsi" w:hAnsiTheme="majorHAnsi"/>
                <w:sz w:val="20"/>
                <w:szCs w:val="20"/>
              </w:rPr>
              <w:t>do nakrętki wałka atakującego a </w:t>
            </w:r>
            <w:r w:rsidRPr="00F05CE9">
              <w:rPr>
                <w:rFonts w:asciiTheme="majorHAnsi" w:hAnsiTheme="majorHAnsi"/>
                <w:sz w:val="20"/>
                <w:szCs w:val="20"/>
              </w:rPr>
              <w:t>także urządzenie do wyciskania pierścienia zewnętrznego łożyska wałeczkowo stożkowego,</w:t>
            </w:r>
          </w:p>
          <w:p w14:paraId="130AD46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d) zestaw narzędzi do naprawy zacisku hamulcowego,</w:t>
            </w:r>
          </w:p>
          <w:p w14:paraId="21836FB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e) ściągacz do demontażu końcówek drążka kierowniczego,</w:t>
            </w:r>
          </w:p>
          <w:p w14:paraId="4A61F328"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zestaw narzędzi izolowanych min 1000V do obsługi autobusów będących przedmiotem zamówienia,</w:t>
            </w:r>
          </w:p>
          <w:p w14:paraId="2ABA35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miernik rezystancji izolacji i ciągłości połączeń wyrównawczych min 1000V dostosowany do zastosowanych w konstrukcji autobusów silników i instalacji,</w:t>
            </w:r>
          </w:p>
          <w:p w14:paraId="449F6B29" w14:textId="77777777" w:rsidR="009E7154" w:rsidRPr="00F05CE9" w:rsidRDefault="009E7154" w:rsidP="00100385">
            <w:pPr>
              <w:spacing w:line="360" w:lineRule="auto"/>
              <w:ind w:left="743"/>
              <w:jc w:val="both"/>
              <w:rPr>
                <w:rFonts w:asciiTheme="majorHAnsi" w:hAnsiTheme="majorHAnsi"/>
                <w:sz w:val="20"/>
                <w:szCs w:val="20"/>
              </w:rPr>
            </w:pPr>
            <w:r w:rsidRPr="00F05CE9">
              <w:rPr>
                <w:rFonts w:asciiTheme="majorHAnsi" w:hAnsiTheme="majorHAnsi"/>
                <w:sz w:val="20"/>
                <w:szCs w:val="20"/>
              </w:rPr>
              <w:t>h) uniwersalny klucz dynamometryczny o zakresie 600-1600Nm.</w:t>
            </w:r>
          </w:p>
          <w:p w14:paraId="32DEED5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6.3.4.</w:t>
            </w:r>
            <w:r w:rsidRPr="00F05CE9">
              <w:rPr>
                <w:rFonts w:asciiTheme="majorHAnsi" w:hAnsiTheme="majorHAnsi"/>
                <w:sz w:val="20"/>
                <w:szCs w:val="20"/>
              </w:rPr>
              <w:tab/>
              <w:t>Wymienione w pkt 6.3.2 elementy muszą umożliwiać obsługę, diagnostykę i konfigurację:</w:t>
            </w:r>
          </w:p>
          <w:p w14:paraId="2D432C12" w14:textId="7344823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napędu elektrycznego i </w:t>
            </w:r>
            <w:r w:rsidR="000D3686">
              <w:rPr>
                <w:rFonts w:asciiTheme="majorHAnsi" w:hAnsiTheme="majorHAnsi"/>
                <w:sz w:val="20"/>
                <w:szCs w:val="20"/>
              </w:rPr>
              <w:br/>
              <w:t xml:space="preserve">                 </w:t>
            </w:r>
            <w:r w:rsidRPr="00F05CE9">
              <w:rPr>
                <w:rFonts w:asciiTheme="majorHAnsi" w:hAnsiTheme="majorHAnsi"/>
                <w:sz w:val="20"/>
                <w:szCs w:val="20"/>
              </w:rPr>
              <w:t>sterowania;</w:t>
            </w:r>
          </w:p>
          <w:p w14:paraId="04FE7A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b) magazynu energii;</w:t>
            </w:r>
          </w:p>
          <w:p w14:paraId="31B79A7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układu hamulcowego;</w:t>
            </w:r>
          </w:p>
          <w:p w14:paraId="73D41E57"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układu pneumatycznego i </w:t>
            </w:r>
            <w:r w:rsidR="000D3686">
              <w:rPr>
                <w:rFonts w:asciiTheme="majorHAnsi" w:hAnsiTheme="majorHAnsi"/>
                <w:sz w:val="20"/>
                <w:szCs w:val="20"/>
              </w:rPr>
              <w:t xml:space="preserve">  </w:t>
            </w:r>
          </w:p>
          <w:p w14:paraId="6BACF5EE" w14:textId="64DC55C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poziomowania autobusu;</w:t>
            </w:r>
          </w:p>
          <w:p w14:paraId="6563A89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 układu elektrycznego;</w:t>
            </w:r>
          </w:p>
          <w:p w14:paraId="3B478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f) układu kierowniczego;</w:t>
            </w:r>
          </w:p>
          <w:p w14:paraId="4367A193"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układu kontroli ciśnienia w ogumieniu (jeżeli układ wymaga czynności kalibracji, adaptacji itd.);</w:t>
            </w:r>
          </w:p>
          <w:p w14:paraId="79AE6163" w14:textId="3B9C9C5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h) układu centralnego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smarowania (jeżeli występuje);</w:t>
            </w:r>
          </w:p>
          <w:p w14:paraId="31DAFCC4" w14:textId="33AB581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i) układu ogrzewania i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klimatyzacji;</w:t>
            </w:r>
          </w:p>
          <w:p w14:paraId="0454E14D"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dodatkowego agregatu </w:t>
            </w:r>
          </w:p>
          <w:p w14:paraId="391FB0F6" w14:textId="4F5ED66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grzewczego;</w:t>
            </w:r>
          </w:p>
          <w:p w14:paraId="0FD4AB55"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k) układu klimatyzacji (klimatyzatora), o parametrach umożliwiających pełną obsługę zamontowanych w autobusie urządzeń.</w:t>
            </w:r>
          </w:p>
          <w:p w14:paraId="6CBD86C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6.3.5.</w:t>
            </w:r>
            <w:r w:rsidRPr="00F05CE9">
              <w:rPr>
                <w:rFonts w:asciiTheme="majorHAnsi" w:hAnsiTheme="majorHAnsi"/>
                <w:sz w:val="20"/>
                <w:szCs w:val="20"/>
              </w:rPr>
              <w:tab/>
              <w:t>Wszelkie interfejsy umożliwiające diagnostykę wyżej wymienionych układów muszą być wykonane w języku polskim.</w:t>
            </w:r>
          </w:p>
          <w:p w14:paraId="3DE9B679" w14:textId="7CEC1F4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6.3.6.</w:t>
            </w:r>
            <w:r w:rsidRPr="00F05CE9">
              <w:rPr>
                <w:rFonts w:asciiTheme="majorHAnsi" w:hAnsiTheme="majorHAnsi"/>
                <w:sz w:val="20"/>
                <w:szCs w:val="20"/>
              </w:rPr>
              <w:tab/>
              <w:t xml:space="preserve">Oprogramowanie wymienione w pkt. 6.3.2 należy dostarczyć wraz z licencjami na ich użytkowanie na okres </w:t>
            </w:r>
            <w:r>
              <w:rPr>
                <w:rFonts w:asciiTheme="majorHAnsi" w:hAnsiTheme="majorHAnsi"/>
                <w:sz w:val="20"/>
                <w:szCs w:val="20"/>
              </w:rPr>
              <w:t>nie krótszy niż 120 miesięcy</w:t>
            </w:r>
            <w:r w:rsidRPr="00F05CE9">
              <w:rPr>
                <w:rFonts w:asciiTheme="majorHAnsi" w:hAnsiTheme="majorHAnsi"/>
                <w:sz w:val="20"/>
                <w:szCs w:val="20"/>
              </w:rPr>
              <w:t>.</w:t>
            </w:r>
          </w:p>
          <w:p w14:paraId="4A0A22CA" w14:textId="7EC110B1"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6.3.7.</w:t>
            </w:r>
            <w:r w:rsidRPr="00F05CE9">
              <w:rPr>
                <w:rFonts w:asciiTheme="majorHAnsi" w:hAnsiTheme="majorHAnsi"/>
                <w:sz w:val="20"/>
                <w:szCs w:val="20"/>
              </w:rPr>
              <w:tab/>
              <w:t>Oprogramowanie wymienione w pkt. 6.3.2 musi być na bieżąco aktualizowane zdalnie lub w</w:t>
            </w:r>
            <w:r>
              <w:rPr>
                <w:rFonts w:asciiTheme="majorHAnsi" w:hAnsiTheme="majorHAnsi"/>
                <w:sz w:val="20"/>
                <w:szCs w:val="20"/>
              </w:rPr>
              <w:t> </w:t>
            </w:r>
            <w:r w:rsidRPr="00F05CE9">
              <w:rPr>
                <w:rFonts w:asciiTheme="majorHAnsi" w:hAnsiTheme="majorHAnsi"/>
                <w:sz w:val="20"/>
                <w:szCs w:val="20"/>
              </w:rPr>
              <w:t>siedzibie Zamawiającego do najnowszych wersji w okresie użytkowania</w:t>
            </w:r>
            <w:r>
              <w:rPr>
                <w:rFonts w:asciiTheme="majorHAnsi" w:hAnsiTheme="majorHAnsi"/>
                <w:sz w:val="20"/>
                <w:szCs w:val="20"/>
              </w:rPr>
              <w:t xml:space="preserve"> nie krótszym niż 120 miesięcy</w:t>
            </w:r>
            <w:r w:rsidRPr="00F05CE9">
              <w:rPr>
                <w:rFonts w:asciiTheme="majorHAnsi" w:hAnsiTheme="majorHAnsi"/>
                <w:sz w:val="20"/>
                <w:szCs w:val="20"/>
              </w:rPr>
              <w:t>. Koszty aktualizacji oprogramowania ponosi Wykonawca.</w:t>
            </w:r>
          </w:p>
          <w:p w14:paraId="01E5694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6.3.8.</w:t>
            </w:r>
            <w:r w:rsidRPr="00F05CE9">
              <w:rPr>
                <w:rFonts w:asciiTheme="majorHAnsi" w:hAnsiTheme="majorHAnsi"/>
                <w:sz w:val="20"/>
                <w:szCs w:val="20"/>
              </w:rPr>
              <w:tab/>
              <w:t>Oprogramowanie diagnostyczne nie może mieć wprowadzonych żadnych ograniczeń funkcjonalności.</w:t>
            </w:r>
          </w:p>
          <w:p w14:paraId="59040CED"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6.3.9.</w:t>
            </w:r>
            <w:r w:rsidRPr="00F05CE9">
              <w:rPr>
                <w:rFonts w:asciiTheme="majorHAnsi" w:hAnsiTheme="majorHAnsi"/>
                <w:sz w:val="20"/>
                <w:szCs w:val="20"/>
              </w:rPr>
              <w:tab/>
              <w:t>Wykonawca udzieli Zamawiającemu pełnego i bezpłatnego dostępu do platformy lub innego narzędzia informatycznego służącego do zamawiania części oraz zgłaszania usterek autobusu, będącego na gwarancji oraz umożliwiającego śledzenie akceptacji wykonania naprawy.</w:t>
            </w:r>
          </w:p>
          <w:p w14:paraId="0B70B4EC"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6.3.10.</w:t>
            </w:r>
            <w:r w:rsidRPr="00F05CE9">
              <w:rPr>
                <w:rFonts w:asciiTheme="majorHAnsi" w:hAnsiTheme="majorHAnsi"/>
                <w:sz w:val="20"/>
                <w:szCs w:val="20"/>
              </w:rPr>
              <w:tab/>
              <w:t>Wykonawca jest zobowiązany na własny koszt do zorganizowania szkolenia dla 10 osób zaplecza technicznego wyznaczonych przez Zamawiającego w zakresie obsługi, diagnostyki i konfiguracji wymienionych powyżej układów oraz zapewni uzyskanie przez tych pracowników uprawnień nadawanych przez producenta układu lub układów jeżeli są wymagane.</w:t>
            </w:r>
          </w:p>
          <w:p w14:paraId="7DD97D86" w14:textId="77777777"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6.3.11.</w:t>
            </w:r>
            <w:r w:rsidRPr="00F05CE9">
              <w:rPr>
                <w:rFonts w:asciiTheme="majorHAnsi" w:hAnsiTheme="majorHAnsi"/>
                <w:sz w:val="20"/>
                <w:szCs w:val="20"/>
              </w:rPr>
              <w:tab/>
              <w:t>Wykonawca zobowiązany jest do dostarczenia następującej dokumentacji technicznej autobusów będących przedmiotem zamówienia w języku polskim, która stanowi integralną część przedmiotu zamówienia:</w:t>
            </w:r>
          </w:p>
          <w:p w14:paraId="1BB17BF0"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a) książka gwarancyjna oraz wyciąg ze świadectwa homologacji lub inny dokument dopuszczający dostarczany autobus do ruchu i umożliwiający dokonanie formalności rejestracyjnych - do każdego dostarczonego autobusu;</w:t>
            </w:r>
          </w:p>
          <w:p w14:paraId="02EC5C37"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b) instrukcja obsługi autobusu w ilości 30 sztuk w postaci papierowej oraz 5 szt. w postaci elektronicznej na przenośnych nośnikach pamięci na całą dostawę. Instrukcja obsługi musi być dostosowana do dostarczonych autobusów i powinna omawiać szczegółowo obsługę wszystkich urządzeń, elementów sterujących i kontrolno-diagnostycznych oraz wszystkich urządzeń dodatkowych i systemów elektronicznych zamontowanych w autobusie;</w:t>
            </w:r>
          </w:p>
          <w:p w14:paraId="409A5C08" w14:textId="00119BEC" w:rsidR="009E7154" w:rsidRPr="00F05CE9" w:rsidRDefault="009E7154" w:rsidP="00C36D7E">
            <w:pPr>
              <w:spacing w:line="360" w:lineRule="auto"/>
              <w:ind w:left="705"/>
              <w:jc w:val="both"/>
              <w:rPr>
                <w:rFonts w:asciiTheme="majorHAnsi" w:hAnsiTheme="majorHAnsi"/>
                <w:sz w:val="20"/>
                <w:szCs w:val="20"/>
              </w:rPr>
            </w:pPr>
            <w:r w:rsidRPr="00F05CE9">
              <w:rPr>
                <w:rFonts w:asciiTheme="majorHAnsi" w:hAnsiTheme="majorHAnsi"/>
                <w:sz w:val="20"/>
                <w:szCs w:val="20"/>
              </w:rPr>
              <w:t>c) dokumentację technicz</w:t>
            </w:r>
            <w:r>
              <w:rPr>
                <w:rFonts w:asciiTheme="majorHAnsi" w:hAnsiTheme="majorHAnsi"/>
                <w:sz w:val="20"/>
                <w:szCs w:val="20"/>
              </w:rPr>
              <w:t>ną w postaci papierowej  oraz w </w:t>
            </w:r>
            <w:r w:rsidRPr="00F05CE9">
              <w:rPr>
                <w:rFonts w:asciiTheme="majorHAnsi" w:hAnsiTheme="majorHAnsi"/>
                <w:sz w:val="20"/>
                <w:szCs w:val="20"/>
              </w:rPr>
              <w:t>wersji  elektronicznej  sporządzonej  w  języku  polskim.</w:t>
            </w:r>
          </w:p>
          <w:p w14:paraId="7CC985A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6.3.12.</w:t>
            </w:r>
            <w:r w:rsidRPr="00F05CE9">
              <w:rPr>
                <w:rFonts w:asciiTheme="majorHAnsi" w:hAnsiTheme="majorHAnsi"/>
                <w:sz w:val="20"/>
                <w:szCs w:val="20"/>
              </w:rPr>
              <w:tab/>
              <w:t>Dokumentacja techniczna, o której mowa w pkt 6.3.11 lit. c) musi zawierać:</w:t>
            </w:r>
          </w:p>
          <w:p w14:paraId="5A1889D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zestawienie zastosowanych płynów technicznych i olejów eksploatacyjnych oraz ich odpowiedników (tzw. listy olejowe) – o ile występują;</w:t>
            </w:r>
          </w:p>
          <w:p w14:paraId="7A6BFB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szczegółową instrukcję obsługi autobusu i jego podzespołów oraz instrukcje naprawy:</w:t>
            </w:r>
          </w:p>
          <w:p w14:paraId="1B988E8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7DCFA78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p>
          <w:p w14:paraId="46A0073D" w14:textId="4754084F"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ogrzewania,</w:t>
            </w:r>
          </w:p>
          <w:p w14:paraId="04428C3A" w14:textId="7CC3E591"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080A311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kierowanej,</w:t>
            </w:r>
          </w:p>
          <w:p w14:paraId="0A0AE72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5F53615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1CC9549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72BE06FB"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elementów szkieletu nadwozia i wyposażenia nadwozia (części z tworzyw sztucznych, zderzaki, szyby, klapy obsługowe, drzwi, siedzenia, elementy wyposażenia dodatkowego),</w:t>
            </w:r>
          </w:p>
          <w:p w14:paraId="7F1EA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574E7619"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systemu nagłośnienia,</w:t>
            </w:r>
          </w:p>
          <w:p w14:paraId="0D53BEFE"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781586CE" w14:textId="024ADED8"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6CE171FD" w14:textId="05D939C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wymiany materiałów </w:t>
            </w:r>
            <w:r w:rsidR="000D3686">
              <w:rPr>
                <w:rFonts w:asciiTheme="majorHAnsi" w:hAnsiTheme="majorHAnsi"/>
                <w:sz w:val="20"/>
                <w:szCs w:val="20"/>
              </w:rPr>
              <w:br/>
              <w:t xml:space="preserve">               </w:t>
            </w:r>
            <w:r w:rsidRPr="00F05CE9">
              <w:rPr>
                <w:rFonts w:asciiTheme="majorHAnsi" w:hAnsiTheme="majorHAnsi"/>
                <w:sz w:val="20"/>
                <w:szCs w:val="20"/>
              </w:rPr>
              <w:t>eksploatacyjnych;</w:t>
            </w:r>
          </w:p>
          <w:p w14:paraId="1FDED9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c) katalog części zamiennych do autobusów będących przedmiotem zamówienia, w przypadku którego Zamawiający dopuści dostarczenie go w wersji elektronicznej, określającego poszczególne części:</w:t>
            </w:r>
          </w:p>
          <w:p w14:paraId="433D190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19F56740" w14:textId="02C715B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7686CFF3" w14:textId="4CDA0225"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r w:rsidR="000D3686">
              <w:rPr>
                <w:rFonts w:asciiTheme="majorHAnsi" w:hAnsiTheme="majorHAnsi"/>
                <w:sz w:val="20"/>
                <w:szCs w:val="20"/>
              </w:rPr>
              <w:br/>
              <w:t xml:space="preserve">               </w:t>
            </w:r>
            <w:r w:rsidRPr="00F05CE9">
              <w:rPr>
                <w:rFonts w:asciiTheme="majorHAnsi" w:hAnsiTheme="majorHAnsi"/>
                <w:sz w:val="20"/>
                <w:szCs w:val="20"/>
              </w:rPr>
              <w:t>ogrzewania,</w:t>
            </w:r>
          </w:p>
          <w:p w14:paraId="2CE484FB"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przedniej,</w:t>
            </w:r>
          </w:p>
          <w:p w14:paraId="55CE53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676BBF3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2B92F4B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3FC24374"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kół i ogumienia,</w:t>
            </w:r>
          </w:p>
          <w:p w14:paraId="1AA29D7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elementy szkieletu nadwozia i wyposażenia nadwozia (części z tworzyw sztucznych, zderzaki, szyby, klapy obsługowe, drzwi, siedzenia, elementy wyposażenia dodatkowego),</w:t>
            </w:r>
          </w:p>
          <w:p w14:paraId="6B7FE6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24C42B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radia i nagłośnienia,</w:t>
            </w:r>
          </w:p>
          <w:p w14:paraId="72D4910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14CB0EF8" w14:textId="629114B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4D09F2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eksploatacyjne (filtry, paski oraz pozostałe elementy i części dedykowane do autobusów będących przedmiotem zamówienia identyfikowane po nr VIN);</w:t>
            </w:r>
          </w:p>
          <w:p w14:paraId="69698BE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schemat układu </w:t>
            </w:r>
            <w:r w:rsidR="000D3686">
              <w:rPr>
                <w:rFonts w:asciiTheme="majorHAnsi" w:hAnsiTheme="majorHAnsi"/>
                <w:sz w:val="20"/>
                <w:szCs w:val="20"/>
              </w:rPr>
              <w:t xml:space="preserve">    </w:t>
            </w:r>
          </w:p>
          <w:p w14:paraId="119B5C2C" w14:textId="0B69803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0F1EF751"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schemat instalacji </w:t>
            </w:r>
            <w:r w:rsidR="000D3686">
              <w:rPr>
                <w:rFonts w:asciiTheme="majorHAnsi" w:hAnsiTheme="majorHAnsi"/>
                <w:sz w:val="20"/>
                <w:szCs w:val="20"/>
              </w:rPr>
              <w:t xml:space="preserve"> </w:t>
            </w:r>
          </w:p>
          <w:p w14:paraId="102BB896" w14:textId="1CD76A8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elektrycznej;</w:t>
            </w:r>
          </w:p>
          <w:p w14:paraId="7855199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schematy wszystkich zainstalowanych urządzeń, odbiorników i wyposażenia w tym wyposażenia dodatkowego,</w:t>
            </w:r>
          </w:p>
          <w:p w14:paraId="73C3EAE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opis przyłączy („wejść” i „wyjść") wszystkich odbiorników, a także komputerów pokładowych sterowników itp.,</w:t>
            </w:r>
          </w:p>
          <w:p w14:paraId="712A1EF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h) schemat układu ogrzewania, </w:t>
            </w:r>
            <w:r w:rsidR="000D3686">
              <w:rPr>
                <w:rFonts w:asciiTheme="majorHAnsi" w:hAnsiTheme="majorHAnsi"/>
                <w:sz w:val="20"/>
                <w:szCs w:val="20"/>
              </w:rPr>
              <w:t xml:space="preserve">  </w:t>
            </w:r>
          </w:p>
          <w:p w14:paraId="3E16B3F2" w14:textId="5217ABE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chłodzenia i klimatyzacji,</w:t>
            </w:r>
          </w:p>
          <w:p w14:paraId="08022EA6"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i) schemat zawieszenia,</w:t>
            </w:r>
          </w:p>
          <w:p w14:paraId="17A983D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schemat układu </w:t>
            </w:r>
            <w:r w:rsidR="000D3686">
              <w:rPr>
                <w:rFonts w:asciiTheme="majorHAnsi" w:hAnsiTheme="majorHAnsi"/>
                <w:sz w:val="20"/>
                <w:szCs w:val="20"/>
              </w:rPr>
              <w:t xml:space="preserve">  </w:t>
            </w:r>
          </w:p>
          <w:p w14:paraId="56C440B7" w14:textId="1209A91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kierowniczego,</w:t>
            </w:r>
          </w:p>
          <w:p w14:paraId="41F37EFA"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 schemat układu smarowania,</w:t>
            </w:r>
          </w:p>
          <w:p w14:paraId="019451CA"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l) schemat układów </w:t>
            </w:r>
          </w:p>
          <w:p w14:paraId="355B1623" w14:textId="5D32D14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hydraulicznych,</w:t>
            </w:r>
          </w:p>
          <w:p w14:paraId="07B4F0C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m) schemat napędu </w:t>
            </w:r>
          </w:p>
          <w:p w14:paraId="026D03FA" w14:textId="32126B8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elektrycznego,</w:t>
            </w:r>
          </w:p>
          <w:p w14:paraId="70D22474"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n) schemat przebiegu wiązek </w:t>
            </w:r>
          </w:p>
          <w:p w14:paraId="2B3E3755" w14:textId="43856DC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elektrycznych;</w:t>
            </w:r>
          </w:p>
          <w:p w14:paraId="0CDD837D"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o) rysunek rozmieszczenia elementów sterujących, wskaźników kontrolek w miejscu (stanowisku) pracy kierowcy wraz z opisem funkcji;</w:t>
            </w:r>
          </w:p>
          <w:p w14:paraId="290A0118"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p) opis technologii zabezpieczenia antykorozyjnego autobusu wraz z wykazem punktów (otworów) przeznaczonych do wewnętrznej konserwacji profili zamkniętych jeżeli występują,</w:t>
            </w:r>
          </w:p>
          <w:p w14:paraId="7FD8AF69" w14:textId="77777777" w:rsidR="009E7154"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6.3.13.</w:t>
            </w:r>
            <w:r w:rsidRPr="00F05CE9">
              <w:rPr>
                <w:rFonts w:asciiTheme="majorHAnsi" w:hAnsiTheme="majorHAnsi"/>
                <w:sz w:val="20"/>
                <w:szCs w:val="20"/>
              </w:rPr>
              <w:tab/>
              <w:t>Wykonawca zobowiązany jest do dostarczenia instr</w:t>
            </w:r>
            <w:r>
              <w:rPr>
                <w:rFonts w:asciiTheme="majorHAnsi" w:hAnsiTheme="majorHAnsi"/>
                <w:sz w:val="20"/>
                <w:szCs w:val="20"/>
              </w:rPr>
              <w:t>ukcji gaszenia autobusu i sposobu</w:t>
            </w:r>
            <w:r w:rsidRPr="00F05CE9">
              <w:rPr>
                <w:rFonts w:asciiTheme="majorHAnsi" w:hAnsiTheme="majorHAnsi"/>
                <w:sz w:val="20"/>
                <w:szCs w:val="20"/>
              </w:rPr>
              <w:t xml:space="preserve"> postępowania w razie pożaru autobusu.</w:t>
            </w:r>
          </w:p>
          <w:p w14:paraId="36CE4A1A" w14:textId="77777777" w:rsidR="009E7154" w:rsidRPr="00F05CE9" w:rsidRDefault="009E7154" w:rsidP="00C36D7E">
            <w:pPr>
              <w:spacing w:line="360" w:lineRule="auto"/>
              <w:ind w:left="705" w:hanging="705"/>
              <w:jc w:val="both"/>
              <w:rPr>
                <w:rFonts w:asciiTheme="majorHAnsi" w:hAnsiTheme="majorHAnsi"/>
                <w:sz w:val="20"/>
                <w:szCs w:val="20"/>
              </w:rPr>
            </w:pPr>
            <w:r>
              <w:rPr>
                <w:rFonts w:asciiTheme="majorHAnsi" w:hAnsiTheme="majorHAnsi"/>
                <w:sz w:val="20"/>
                <w:szCs w:val="20"/>
              </w:rPr>
              <w:t>6.3.14.</w:t>
            </w:r>
            <w:r>
              <w:rPr>
                <w:rFonts w:asciiTheme="majorHAnsi" w:hAnsiTheme="majorHAnsi"/>
                <w:sz w:val="20"/>
                <w:szCs w:val="20"/>
              </w:rPr>
              <w:tab/>
            </w:r>
            <w:r w:rsidRPr="005A34B0">
              <w:rPr>
                <w:rFonts w:asciiTheme="majorHAnsi" w:hAnsiTheme="majorHAnsi"/>
                <w:sz w:val="20"/>
                <w:szCs w:val="20"/>
              </w:rPr>
              <w:t xml:space="preserve">Wykonawca zobowiązany jest do dostarczenia instrukcji </w:t>
            </w:r>
            <w:r>
              <w:rPr>
                <w:rFonts w:asciiTheme="majorHAnsi" w:hAnsiTheme="majorHAnsi"/>
                <w:sz w:val="20"/>
                <w:szCs w:val="20"/>
              </w:rPr>
              <w:t>holowania</w:t>
            </w:r>
            <w:r w:rsidRPr="005A34B0">
              <w:rPr>
                <w:rFonts w:asciiTheme="majorHAnsi" w:hAnsiTheme="majorHAnsi"/>
                <w:sz w:val="20"/>
                <w:szCs w:val="20"/>
              </w:rPr>
              <w:t xml:space="preserve"> autobusu</w:t>
            </w:r>
            <w:r>
              <w:rPr>
                <w:rFonts w:asciiTheme="majorHAnsi" w:hAnsiTheme="majorHAnsi"/>
                <w:sz w:val="20"/>
                <w:szCs w:val="20"/>
              </w:rPr>
              <w:t xml:space="preserve"> na wypadek utraty napędu</w:t>
            </w:r>
            <w:r w:rsidRPr="005A34B0">
              <w:rPr>
                <w:rFonts w:asciiTheme="majorHAnsi" w:hAnsiTheme="majorHAnsi"/>
                <w:sz w:val="20"/>
                <w:szCs w:val="20"/>
              </w:rPr>
              <w:t xml:space="preserve"> autobusu.</w:t>
            </w:r>
          </w:p>
          <w:p w14:paraId="2FFEEBA5" w14:textId="2FF5CC09" w:rsidR="009E7154" w:rsidRPr="00F05CE9" w:rsidRDefault="009E7154" w:rsidP="00C36D7E">
            <w:pPr>
              <w:spacing w:after="0" w:line="360" w:lineRule="auto"/>
              <w:ind w:left="705" w:hanging="705"/>
              <w:jc w:val="both"/>
              <w:rPr>
                <w:rFonts w:asciiTheme="majorHAnsi" w:hAnsiTheme="majorHAnsi"/>
                <w:sz w:val="20"/>
                <w:szCs w:val="20"/>
              </w:rPr>
            </w:pPr>
            <w:r>
              <w:rPr>
                <w:rFonts w:asciiTheme="majorHAnsi" w:hAnsiTheme="majorHAnsi"/>
                <w:sz w:val="20"/>
                <w:szCs w:val="20"/>
              </w:rPr>
              <w:t>6.3.15</w:t>
            </w:r>
            <w:r w:rsidRPr="00F05CE9">
              <w:rPr>
                <w:rFonts w:asciiTheme="majorHAnsi" w:hAnsiTheme="majorHAnsi"/>
                <w:sz w:val="20"/>
                <w:szCs w:val="20"/>
              </w:rPr>
              <w:t>.</w:t>
            </w:r>
            <w:r w:rsidRPr="00F05CE9">
              <w:rPr>
                <w:rFonts w:asciiTheme="majorHAnsi" w:hAnsiTheme="majorHAnsi"/>
                <w:sz w:val="20"/>
                <w:szCs w:val="20"/>
              </w:rPr>
              <w:tab/>
              <w:t>Wszystkie dostarczone dokumentacje muszą dotyczyć modelu autobusu b</w:t>
            </w:r>
            <w:r>
              <w:rPr>
                <w:rFonts w:asciiTheme="majorHAnsi" w:hAnsiTheme="majorHAnsi"/>
                <w:sz w:val="20"/>
                <w:szCs w:val="20"/>
              </w:rPr>
              <w:t>ędącego przedmiotem zamówienia.</w:t>
            </w:r>
          </w:p>
        </w:tc>
        <w:tc>
          <w:tcPr>
            <w:tcW w:w="3111" w:type="dxa"/>
          </w:tcPr>
          <w:p w14:paraId="4C9C575F"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DC5061" w14:paraId="4FA5BA20" w14:textId="0BCBDFFE" w:rsidTr="00214518">
        <w:tc>
          <w:tcPr>
            <w:tcW w:w="592" w:type="dxa"/>
            <w:shd w:val="clear" w:color="auto" w:fill="D9D9D9" w:themeFill="background1" w:themeFillShade="D9"/>
          </w:tcPr>
          <w:p w14:paraId="33258BA2" w14:textId="406BDC74" w:rsidR="00DC5061" w:rsidRDefault="00DC5061" w:rsidP="00720B8C">
            <w:pPr>
              <w:spacing w:after="0" w:line="360" w:lineRule="auto"/>
              <w:rPr>
                <w:rFonts w:asciiTheme="majorHAnsi" w:hAnsiTheme="majorHAnsi"/>
                <w:b/>
                <w:sz w:val="20"/>
                <w:szCs w:val="20"/>
              </w:rPr>
            </w:pPr>
            <w:r w:rsidRPr="00C36D7E">
              <w:rPr>
                <w:rFonts w:asciiTheme="majorHAnsi" w:hAnsiTheme="majorHAnsi"/>
                <w:b/>
                <w:sz w:val="20"/>
                <w:szCs w:val="20"/>
              </w:rPr>
              <w:t>7.</w:t>
            </w:r>
          </w:p>
        </w:tc>
        <w:tc>
          <w:tcPr>
            <w:tcW w:w="8473" w:type="dxa"/>
            <w:gridSpan w:val="3"/>
            <w:shd w:val="clear" w:color="auto" w:fill="D9D9D9" w:themeFill="background1" w:themeFillShade="D9"/>
          </w:tcPr>
          <w:p w14:paraId="7E3EFF7D" w14:textId="77777777" w:rsidR="00DC5061" w:rsidRDefault="00DC5061" w:rsidP="00C36D7E">
            <w:pPr>
              <w:spacing w:after="0" w:line="360" w:lineRule="auto"/>
              <w:ind w:left="705" w:hanging="705"/>
              <w:jc w:val="both"/>
              <w:rPr>
                <w:rFonts w:asciiTheme="majorHAnsi" w:hAnsiTheme="majorHAnsi"/>
                <w:b/>
                <w:sz w:val="20"/>
                <w:szCs w:val="20"/>
              </w:rPr>
            </w:pPr>
            <w:r w:rsidRPr="00C36D7E">
              <w:rPr>
                <w:rFonts w:asciiTheme="majorHAnsi" w:hAnsiTheme="majorHAnsi"/>
                <w:b/>
                <w:sz w:val="20"/>
                <w:szCs w:val="20"/>
              </w:rPr>
              <w:t>Gwarancje – okresy minimalne.</w:t>
            </w:r>
          </w:p>
          <w:p w14:paraId="0C4C3433" w14:textId="77777777" w:rsidR="00DC5061" w:rsidRPr="00C36D7E" w:rsidRDefault="00DC5061"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Wszystkie okresy gwarancji rozpoczynają swój bieg od daty sporządzenia protokołu </w:t>
            </w:r>
            <w:r>
              <w:rPr>
                <w:rFonts w:asciiTheme="majorHAnsi" w:hAnsiTheme="majorHAnsi"/>
                <w:b/>
                <w:sz w:val="20"/>
                <w:szCs w:val="20"/>
              </w:rPr>
              <w:t>końcowego</w:t>
            </w:r>
            <w:r w:rsidRPr="00F05CE9">
              <w:rPr>
                <w:rFonts w:asciiTheme="majorHAnsi" w:hAnsiTheme="majorHAnsi"/>
                <w:b/>
                <w:sz w:val="20"/>
                <w:szCs w:val="20"/>
              </w:rPr>
              <w:t xml:space="preserve"> odbioru</w:t>
            </w:r>
            <w:r>
              <w:rPr>
                <w:rFonts w:asciiTheme="majorHAnsi" w:hAnsiTheme="majorHAnsi"/>
                <w:b/>
                <w:sz w:val="20"/>
                <w:szCs w:val="20"/>
              </w:rPr>
              <w:t xml:space="preserve"> każdego autobusu. </w:t>
            </w:r>
          </w:p>
          <w:p w14:paraId="2D44654B" w14:textId="51DC5240" w:rsidR="00DC5061" w:rsidRDefault="00DC5061">
            <w:pPr>
              <w:spacing w:after="0" w:line="240" w:lineRule="auto"/>
              <w:rPr>
                <w:rFonts w:asciiTheme="majorHAnsi" w:hAnsiTheme="majorHAnsi"/>
                <w:b/>
                <w:sz w:val="20"/>
                <w:szCs w:val="20"/>
              </w:rPr>
            </w:pPr>
          </w:p>
          <w:p w14:paraId="275CC6D3" w14:textId="77777777" w:rsidR="00DC5061" w:rsidRPr="00C36D7E" w:rsidRDefault="00DC5061" w:rsidP="00C36D7E">
            <w:pPr>
              <w:spacing w:after="0" w:line="360" w:lineRule="auto"/>
              <w:jc w:val="both"/>
              <w:rPr>
                <w:rFonts w:asciiTheme="majorHAnsi" w:hAnsiTheme="majorHAnsi"/>
                <w:b/>
                <w:sz w:val="20"/>
                <w:szCs w:val="20"/>
              </w:rPr>
            </w:pPr>
          </w:p>
        </w:tc>
      </w:tr>
      <w:tr w:rsidR="009E7154" w14:paraId="4AA5516A" w14:textId="20F16815" w:rsidTr="00895755">
        <w:tc>
          <w:tcPr>
            <w:tcW w:w="592" w:type="dxa"/>
          </w:tcPr>
          <w:p w14:paraId="1B52E204" w14:textId="2465D9D2"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w:t>
            </w:r>
            <w:r>
              <w:rPr>
                <w:rFonts w:asciiTheme="majorHAnsi" w:hAnsiTheme="majorHAnsi"/>
                <w:b/>
                <w:sz w:val="20"/>
                <w:szCs w:val="20"/>
              </w:rPr>
              <w:t>1.</w:t>
            </w:r>
          </w:p>
        </w:tc>
        <w:tc>
          <w:tcPr>
            <w:tcW w:w="1676" w:type="dxa"/>
          </w:tcPr>
          <w:p w14:paraId="55B56727" w14:textId="5B5C0E5A" w:rsidR="009E7154"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Magazyn energii elektrycznej.</w:t>
            </w:r>
          </w:p>
        </w:tc>
        <w:tc>
          <w:tcPr>
            <w:tcW w:w="3686" w:type="dxa"/>
          </w:tcPr>
          <w:p w14:paraId="2934F7A2" w14:textId="77777777" w:rsidR="009E7154" w:rsidRPr="00F05CE9" w:rsidRDefault="009E7154" w:rsidP="00805513">
            <w:pPr>
              <w:spacing w:after="0" w:line="360" w:lineRule="auto"/>
              <w:jc w:val="both"/>
              <w:rPr>
                <w:rFonts w:asciiTheme="majorHAnsi" w:hAnsiTheme="majorHAnsi"/>
                <w:sz w:val="20"/>
                <w:szCs w:val="20"/>
              </w:rPr>
            </w:pPr>
            <w:r w:rsidRPr="00F05CE9">
              <w:rPr>
                <w:rFonts w:asciiTheme="majorHAnsi" w:hAnsiTheme="majorHAnsi"/>
                <w:sz w:val="20"/>
                <w:szCs w:val="20"/>
              </w:rPr>
              <w:t>Okres gwarancji</w:t>
            </w:r>
            <w:r>
              <w:rPr>
                <w:rFonts w:asciiTheme="majorHAnsi" w:hAnsiTheme="majorHAnsi"/>
                <w:sz w:val="20"/>
                <w:szCs w:val="20"/>
              </w:rPr>
              <w:t xml:space="preserve"> minimum</w:t>
            </w:r>
            <w:r w:rsidRPr="00F05CE9">
              <w:rPr>
                <w:rFonts w:asciiTheme="majorHAnsi" w:hAnsiTheme="majorHAnsi"/>
                <w:sz w:val="20"/>
                <w:szCs w:val="20"/>
              </w:rPr>
              <w:t xml:space="preserve">: </w:t>
            </w:r>
            <w:r>
              <w:rPr>
                <w:rFonts w:asciiTheme="majorHAnsi" w:hAnsiTheme="majorHAnsi"/>
                <w:sz w:val="20"/>
                <w:szCs w:val="20"/>
              </w:rPr>
              <w:t>60</w:t>
            </w:r>
            <w:r w:rsidRPr="00F05CE9">
              <w:rPr>
                <w:rFonts w:asciiTheme="majorHAnsi" w:hAnsiTheme="majorHAnsi"/>
                <w:sz w:val="20"/>
                <w:szCs w:val="20"/>
              </w:rPr>
              <w:t xml:space="preserve"> miesięcy.</w:t>
            </w:r>
          </w:p>
          <w:p w14:paraId="2B4329BF" w14:textId="6EA655A4" w:rsidR="009E7154" w:rsidRPr="00F05CE9" w:rsidRDefault="009E7154" w:rsidP="00805513">
            <w:pPr>
              <w:spacing w:after="0" w:line="360" w:lineRule="auto"/>
              <w:ind w:left="34"/>
              <w:jc w:val="both"/>
              <w:rPr>
                <w:rFonts w:asciiTheme="majorHAnsi" w:hAnsiTheme="majorHAnsi"/>
                <w:sz w:val="20"/>
                <w:szCs w:val="20"/>
              </w:rPr>
            </w:pPr>
            <w:r w:rsidRPr="00F05CE9">
              <w:rPr>
                <w:rFonts w:asciiTheme="majorHAnsi" w:hAnsiTheme="majorHAnsi"/>
                <w:sz w:val="20"/>
                <w:szCs w:val="20"/>
              </w:rPr>
              <w:t xml:space="preserve">Magazyn energii musi zapewnić bezawaryjną eksploatację i zachować w całym okresie jego gwarancji pojemność energetyczną na poziomie minimum 80% jego wartości nominalnej początkowej. W przypadku nie zachowania wymaganego minimalnego poziomu pojemności energii Wykonawca jest zobowiązany do wymiany całego układu baterii. Koszt demontażu, montażu oraz utylizacji magazynu energii </w:t>
            </w:r>
            <w:r>
              <w:rPr>
                <w:rFonts w:asciiTheme="majorHAnsi" w:hAnsiTheme="majorHAnsi"/>
                <w:sz w:val="20"/>
                <w:szCs w:val="20"/>
              </w:rPr>
              <w:t>a </w:t>
            </w:r>
            <w:r w:rsidRPr="00F05CE9">
              <w:rPr>
                <w:rFonts w:asciiTheme="majorHAnsi" w:hAnsiTheme="majorHAnsi"/>
                <w:sz w:val="20"/>
                <w:szCs w:val="20"/>
              </w:rPr>
              <w:t xml:space="preserve">także towarzyszących mu elementów pokrywa </w:t>
            </w:r>
            <w:r>
              <w:rPr>
                <w:rFonts w:asciiTheme="majorHAnsi" w:hAnsiTheme="majorHAnsi"/>
                <w:sz w:val="20"/>
                <w:szCs w:val="20"/>
              </w:rPr>
              <w:t xml:space="preserve">w </w:t>
            </w:r>
            <w:r w:rsidRPr="00F05CE9">
              <w:rPr>
                <w:rFonts w:asciiTheme="majorHAnsi" w:hAnsiTheme="majorHAnsi"/>
                <w:sz w:val="20"/>
                <w:szCs w:val="20"/>
              </w:rPr>
              <w:t>całości Wykonawca.</w:t>
            </w:r>
          </w:p>
        </w:tc>
        <w:tc>
          <w:tcPr>
            <w:tcW w:w="3111" w:type="dxa"/>
          </w:tcPr>
          <w:p w14:paraId="7A892CE6" w14:textId="77777777" w:rsidR="009E7154" w:rsidRDefault="009E7154">
            <w:pPr>
              <w:spacing w:after="0" w:line="240" w:lineRule="auto"/>
              <w:rPr>
                <w:rFonts w:asciiTheme="majorHAnsi" w:hAnsiTheme="majorHAnsi"/>
                <w:sz w:val="20"/>
                <w:szCs w:val="20"/>
              </w:rPr>
            </w:pPr>
          </w:p>
          <w:p w14:paraId="6832A8F8" w14:textId="77777777" w:rsidR="009E7154" w:rsidRPr="00F05CE9" w:rsidRDefault="009E7154" w:rsidP="00805513">
            <w:pPr>
              <w:spacing w:after="0" w:line="360" w:lineRule="auto"/>
              <w:ind w:left="34"/>
              <w:jc w:val="both"/>
              <w:rPr>
                <w:rFonts w:asciiTheme="majorHAnsi" w:hAnsiTheme="majorHAnsi"/>
                <w:sz w:val="20"/>
                <w:szCs w:val="20"/>
              </w:rPr>
            </w:pPr>
          </w:p>
        </w:tc>
      </w:tr>
      <w:tr w:rsidR="009E7154" w14:paraId="4CCA6C1E" w14:textId="33E4168C" w:rsidTr="00895755">
        <w:tc>
          <w:tcPr>
            <w:tcW w:w="592" w:type="dxa"/>
          </w:tcPr>
          <w:p w14:paraId="080BCFE6" w14:textId="169EC674"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7.2.</w:t>
            </w:r>
          </w:p>
        </w:tc>
        <w:tc>
          <w:tcPr>
            <w:tcW w:w="1676" w:type="dxa"/>
          </w:tcPr>
          <w:p w14:paraId="48334E4C" w14:textId="0924E581"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podwozia.</w:t>
            </w:r>
          </w:p>
        </w:tc>
        <w:tc>
          <w:tcPr>
            <w:tcW w:w="3686" w:type="dxa"/>
          </w:tcPr>
          <w:p w14:paraId="734F85BC" w14:textId="67ABE51E"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xml:space="preserve">: </w:t>
            </w:r>
            <w:r>
              <w:rPr>
                <w:rFonts w:asciiTheme="majorHAnsi" w:hAnsiTheme="majorHAnsi"/>
                <w:sz w:val="20"/>
                <w:szCs w:val="20"/>
              </w:rPr>
              <w:t>120 miesięcy.</w:t>
            </w:r>
          </w:p>
        </w:tc>
        <w:tc>
          <w:tcPr>
            <w:tcW w:w="3111" w:type="dxa"/>
          </w:tcPr>
          <w:p w14:paraId="5041C330" w14:textId="77777777" w:rsidR="009E7154" w:rsidRPr="00F05CE9" w:rsidRDefault="009E7154" w:rsidP="009E7154">
            <w:pPr>
              <w:spacing w:line="360" w:lineRule="auto"/>
              <w:jc w:val="both"/>
              <w:rPr>
                <w:rFonts w:asciiTheme="majorHAnsi" w:hAnsiTheme="majorHAnsi"/>
                <w:sz w:val="20"/>
                <w:szCs w:val="20"/>
              </w:rPr>
            </w:pPr>
          </w:p>
        </w:tc>
      </w:tr>
      <w:tr w:rsidR="009E7154" w14:paraId="6E3D2EF2" w14:textId="00F015A6" w:rsidTr="00895755">
        <w:tc>
          <w:tcPr>
            <w:tcW w:w="592" w:type="dxa"/>
          </w:tcPr>
          <w:p w14:paraId="774745BF" w14:textId="436BC1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7.3.</w:t>
            </w:r>
          </w:p>
        </w:tc>
        <w:tc>
          <w:tcPr>
            <w:tcW w:w="1676" w:type="dxa"/>
          </w:tcPr>
          <w:p w14:paraId="044B9CF6" w14:textId="5605A5D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nadwozia.</w:t>
            </w:r>
          </w:p>
        </w:tc>
        <w:tc>
          <w:tcPr>
            <w:tcW w:w="3686" w:type="dxa"/>
          </w:tcPr>
          <w:p w14:paraId="63D1447C" w14:textId="4CC18B0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120 miesięcy.</w:t>
            </w:r>
          </w:p>
        </w:tc>
        <w:tc>
          <w:tcPr>
            <w:tcW w:w="3111" w:type="dxa"/>
          </w:tcPr>
          <w:p w14:paraId="157B3036" w14:textId="77777777" w:rsidR="009E7154" w:rsidRPr="00F05CE9" w:rsidRDefault="009E7154" w:rsidP="009E7154">
            <w:pPr>
              <w:spacing w:line="360" w:lineRule="auto"/>
              <w:jc w:val="both"/>
              <w:rPr>
                <w:rFonts w:asciiTheme="majorHAnsi" w:hAnsiTheme="majorHAnsi"/>
                <w:sz w:val="20"/>
                <w:szCs w:val="20"/>
              </w:rPr>
            </w:pPr>
          </w:p>
        </w:tc>
      </w:tr>
      <w:tr w:rsidR="009E7154" w14:paraId="60557302" w14:textId="5125097F" w:rsidTr="00895755">
        <w:tc>
          <w:tcPr>
            <w:tcW w:w="592" w:type="dxa"/>
          </w:tcPr>
          <w:p w14:paraId="797D8C30" w14:textId="08322BE2"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7.4.</w:t>
            </w:r>
          </w:p>
        </w:tc>
        <w:tc>
          <w:tcPr>
            <w:tcW w:w="1676" w:type="dxa"/>
          </w:tcPr>
          <w:p w14:paraId="60781009" w14:textId="72657598"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Gwarancja całopojazdowa.</w:t>
            </w:r>
          </w:p>
        </w:tc>
        <w:tc>
          <w:tcPr>
            <w:tcW w:w="3686" w:type="dxa"/>
          </w:tcPr>
          <w:p w14:paraId="790C1A2F" w14:textId="24AEAD6F"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 minimum: 48 miesięcy.</w:t>
            </w:r>
          </w:p>
        </w:tc>
        <w:tc>
          <w:tcPr>
            <w:tcW w:w="3111" w:type="dxa"/>
          </w:tcPr>
          <w:p w14:paraId="14EA239B" w14:textId="77777777" w:rsidR="009E7154" w:rsidRPr="00F05CE9" w:rsidRDefault="009E7154" w:rsidP="009E7154">
            <w:pPr>
              <w:spacing w:line="360" w:lineRule="auto"/>
              <w:jc w:val="both"/>
              <w:rPr>
                <w:rFonts w:asciiTheme="majorHAnsi" w:hAnsiTheme="majorHAnsi"/>
                <w:sz w:val="20"/>
                <w:szCs w:val="20"/>
              </w:rPr>
            </w:pPr>
          </w:p>
        </w:tc>
      </w:tr>
      <w:tr w:rsidR="009E7154" w14:paraId="50FFB011" w14:textId="4B9DEF73" w:rsidTr="00895755">
        <w:tc>
          <w:tcPr>
            <w:tcW w:w="592" w:type="dxa"/>
          </w:tcPr>
          <w:p w14:paraId="62E6097D" w14:textId="6A5E577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7.5.</w:t>
            </w:r>
          </w:p>
        </w:tc>
        <w:tc>
          <w:tcPr>
            <w:tcW w:w="1676" w:type="dxa"/>
          </w:tcPr>
          <w:p w14:paraId="2E06E5F0" w14:textId="37CBC7B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Powłoki lakiernicze.</w:t>
            </w:r>
          </w:p>
        </w:tc>
        <w:tc>
          <w:tcPr>
            <w:tcW w:w="3686" w:type="dxa"/>
          </w:tcPr>
          <w:p w14:paraId="59B006BF" w14:textId="7C358DF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60 miesięcy.</w:t>
            </w:r>
          </w:p>
        </w:tc>
        <w:tc>
          <w:tcPr>
            <w:tcW w:w="3111" w:type="dxa"/>
          </w:tcPr>
          <w:p w14:paraId="04F7F44F" w14:textId="77777777" w:rsidR="009E7154" w:rsidRPr="00F05CE9" w:rsidRDefault="009E7154" w:rsidP="009E7154">
            <w:pPr>
              <w:spacing w:line="360" w:lineRule="auto"/>
              <w:jc w:val="both"/>
              <w:rPr>
                <w:rFonts w:asciiTheme="majorHAnsi" w:hAnsiTheme="majorHAnsi"/>
                <w:sz w:val="20"/>
                <w:szCs w:val="20"/>
              </w:rPr>
            </w:pPr>
          </w:p>
        </w:tc>
      </w:tr>
      <w:tr w:rsidR="009E7154" w14:paraId="4DE7C467" w14:textId="57C437C5" w:rsidTr="00895755">
        <w:tc>
          <w:tcPr>
            <w:tcW w:w="592" w:type="dxa"/>
          </w:tcPr>
          <w:p w14:paraId="5C614C3E" w14:textId="7ACC2439" w:rsidR="009E7154" w:rsidRPr="00F05CE9" w:rsidRDefault="009E7154" w:rsidP="00720B8C">
            <w:pPr>
              <w:spacing w:after="0" w:line="360" w:lineRule="auto"/>
              <w:rPr>
                <w:rFonts w:asciiTheme="majorHAnsi" w:hAnsiTheme="majorHAnsi"/>
                <w:sz w:val="20"/>
                <w:szCs w:val="20"/>
              </w:rPr>
            </w:pPr>
            <w:r w:rsidRPr="00F05CE9">
              <w:rPr>
                <w:rFonts w:asciiTheme="majorHAnsi" w:hAnsiTheme="majorHAnsi"/>
                <w:b/>
                <w:sz w:val="20"/>
                <w:szCs w:val="20"/>
              </w:rPr>
              <w:t>7.6.</w:t>
            </w:r>
          </w:p>
          <w:p w14:paraId="641A9198" w14:textId="77777777" w:rsidR="009E7154" w:rsidRPr="00F05CE9" w:rsidRDefault="009E7154" w:rsidP="00720B8C">
            <w:pPr>
              <w:spacing w:after="0" w:line="360" w:lineRule="auto"/>
              <w:rPr>
                <w:rFonts w:asciiTheme="majorHAnsi" w:hAnsiTheme="majorHAnsi"/>
                <w:b/>
                <w:sz w:val="20"/>
                <w:szCs w:val="20"/>
              </w:rPr>
            </w:pPr>
          </w:p>
        </w:tc>
        <w:tc>
          <w:tcPr>
            <w:tcW w:w="1676" w:type="dxa"/>
          </w:tcPr>
          <w:p w14:paraId="6A5051A7" w14:textId="3426CD4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S</w:t>
            </w:r>
            <w:r>
              <w:rPr>
                <w:rFonts w:asciiTheme="majorHAnsi" w:hAnsiTheme="majorHAnsi"/>
                <w:b/>
                <w:sz w:val="20"/>
                <w:szCs w:val="20"/>
              </w:rPr>
              <w:t>ystemy automatycznej detekcji i </w:t>
            </w:r>
            <w:r w:rsidRPr="00F05CE9">
              <w:rPr>
                <w:rFonts w:asciiTheme="majorHAnsi" w:hAnsiTheme="majorHAnsi"/>
                <w:b/>
                <w:sz w:val="20"/>
                <w:szCs w:val="20"/>
              </w:rPr>
              <w:t>automatycznego gaszenia pożaru.</w:t>
            </w:r>
          </w:p>
        </w:tc>
        <w:tc>
          <w:tcPr>
            <w:tcW w:w="3686" w:type="dxa"/>
          </w:tcPr>
          <w:p w14:paraId="265960EA" w14:textId="6BF6AA75"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 xml:space="preserve">Okres gwarancji </w:t>
            </w:r>
            <w:r>
              <w:rPr>
                <w:rFonts w:asciiTheme="majorHAnsi" w:hAnsiTheme="majorHAnsi"/>
                <w:sz w:val="20"/>
                <w:szCs w:val="20"/>
              </w:rPr>
              <w:t>nie krótszy niż okres gwarancji całopojazdowej minimum: 48 miesięcy.</w:t>
            </w:r>
          </w:p>
        </w:tc>
        <w:tc>
          <w:tcPr>
            <w:tcW w:w="3111" w:type="dxa"/>
          </w:tcPr>
          <w:p w14:paraId="1D9C6460" w14:textId="77777777" w:rsidR="009E7154" w:rsidRPr="00F05CE9" w:rsidRDefault="009E7154" w:rsidP="00805513">
            <w:pPr>
              <w:spacing w:line="360" w:lineRule="auto"/>
              <w:jc w:val="both"/>
              <w:rPr>
                <w:rFonts w:asciiTheme="majorHAnsi" w:hAnsiTheme="majorHAnsi"/>
                <w:sz w:val="20"/>
                <w:szCs w:val="20"/>
              </w:rPr>
            </w:pPr>
          </w:p>
        </w:tc>
      </w:tr>
      <w:tr w:rsidR="009E7154" w14:paraId="0374FBA2" w14:textId="635C30F1" w:rsidTr="00895755">
        <w:tc>
          <w:tcPr>
            <w:tcW w:w="592" w:type="dxa"/>
          </w:tcPr>
          <w:p w14:paraId="295BBDA7" w14:textId="44C870AE" w:rsidR="009E7154" w:rsidRPr="00F05CE9" w:rsidRDefault="009E7154" w:rsidP="00720B8C">
            <w:pPr>
              <w:spacing w:after="0" w:line="360" w:lineRule="auto"/>
              <w:rPr>
                <w:rFonts w:asciiTheme="majorHAnsi" w:hAnsiTheme="majorHAnsi"/>
                <w:b/>
                <w:sz w:val="20"/>
                <w:szCs w:val="20"/>
              </w:rPr>
            </w:pPr>
            <w:r>
              <w:rPr>
                <w:rFonts w:ascii="Cambria" w:eastAsia="Times New Roman" w:hAnsi="Cambria" w:cstheme="minorHAnsi"/>
                <w:b/>
                <w:color w:val="000000"/>
                <w:sz w:val="20"/>
                <w:szCs w:val="20"/>
                <w:lang w:eastAsia="pl-PL"/>
              </w:rPr>
              <w:t>7.7.</w:t>
            </w:r>
          </w:p>
        </w:tc>
        <w:tc>
          <w:tcPr>
            <w:tcW w:w="1676" w:type="dxa"/>
          </w:tcPr>
          <w:p w14:paraId="3F87859C" w14:textId="3FA68544" w:rsidR="009E7154" w:rsidRPr="00F05CE9" w:rsidRDefault="009E7154" w:rsidP="00C36D7E">
            <w:pPr>
              <w:spacing w:after="0" w:line="360" w:lineRule="auto"/>
              <w:jc w:val="both"/>
              <w:rPr>
                <w:rFonts w:asciiTheme="majorHAnsi" w:hAnsiTheme="majorHAnsi"/>
                <w:b/>
                <w:sz w:val="20"/>
                <w:szCs w:val="20"/>
              </w:rPr>
            </w:pPr>
            <w:r w:rsidRPr="00081B6E">
              <w:rPr>
                <w:rFonts w:ascii="Cambria" w:eastAsia="Times New Roman" w:hAnsi="Cambria" w:cstheme="minorHAnsi"/>
                <w:b/>
                <w:color w:val="000000"/>
                <w:sz w:val="20"/>
                <w:szCs w:val="20"/>
                <w:lang w:eastAsia="pl-PL"/>
              </w:rPr>
              <w:t>Elementy System</w:t>
            </w:r>
            <w:r>
              <w:rPr>
                <w:rFonts w:ascii="Cambria" w:eastAsia="Times New Roman" w:hAnsi="Cambria" w:cstheme="minorHAnsi"/>
                <w:b/>
                <w:color w:val="000000"/>
                <w:sz w:val="20"/>
                <w:szCs w:val="20"/>
                <w:lang w:eastAsia="pl-PL"/>
              </w:rPr>
              <w:t>u</w:t>
            </w:r>
            <w:r w:rsidRPr="00081B6E">
              <w:rPr>
                <w:rFonts w:ascii="Cambria" w:eastAsia="Times New Roman" w:hAnsi="Cambria" w:cstheme="minorHAnsi"/>
                <w:b/>
                <w:color w:val="000000"/>
                <w:sz w:val="20"/>
                <w:szCs w:val="20"/>
                <w:lang w:eastAsia="pl-PL"/>
              </w:rPr>
              <w:t xml:space="preserve"> Informacji Pasażerskiej dostarczone przez Wykonawcę</w:t>
            </w:r>
            <w:r>
              <w:rPr>
                <w:rFonts w:ascii="Cambria" w:eastAsia="Times New Roman" w:hAnsi="Cambria" w:cstheme="minorHAnsi"/>
                <w:color w:val="000000"/>
                <w:sz w:val="20"/>
                <w:szCs w:val="20"/>
                <w:lang w:eastAsia="pl-PL"/>
              </w:rPr>
              <w:t>.</w:t>
            </w:r>
          </w:p>
        </w:tc>
        <w:tc>
          <w:tcPr>
            <w:tcW w:w="3686" w:type="dxa"/>
          </w:tcPr>
          <w:p w14:paraId="3845C7A1" w14:textId="35BFC0E0" w:rsidR="009E7154" w:rsidRPr="00276B42" w:rsidRDefault="009E7154" w:rsidP="00805513">
            <w:pPr>
              <w:spacing w:before="240" w:after="0" w:line="360" w:lineRule="auto"/>
              <w:jc w:val="both"/>
              <w:rPr>
                <w:rFonts w:ascii="Cambria" w:eastAsia="Times New Roman" w:hAnsi="Cambria" w:cstheme="minorHAnsi"/>
                <w:color w:val="000000"/>
                <w:sz w:val="20"/>
                <w:szCs w:val="20"/>
                <w:lang w:eastAsia="pl-PL"/>
              </w:rPr>
            </w:pPr>
            <w:r w:rsidRPr="00081B6E">
              <w:rPr>
                <w:rFonts w:ascii="Cambria" w:eastAsia="Times New Roman" w:hAnsi="Cambria" w:cstheme="minorHAnsi"/>
                <w:color w:val="000000"/>
                <w:sz w:val="20"/>
                <w:szCs w:val="20"/>
                <w:lang w:eastAsia="pl-PL"/>
              </w:rPr>
              <w:t>Elementy System</w:t>
            </w:r>
            <w:r>
              <w:rPr>
                <w:rFonts w:ascii="Cambria" w:eastAsia="Times New Roman" w:hAnsi="Cambria" w:cstheme="minorHAnsi"/>
                <w:color w:val="000000"/>
                <w:sz w:val="20"/>
                <w:szCs w:val="20"/>
                <w:lang w:eastAsia="pl-PL"/>
              </w:rPr>
              <w:t>u</w:t>
            </w:r>
            <w:r w:rsidRPr="00081B6E">
              <w:rPr>
                <w:rFonts w:ascii="Cambria" w:eastAsia="Times New Roman" w:hAnsi="Cambria" w:cstheme="minorHAnsi"/>
                <w:color w:val="000000"/>
                <w:sz w:val="20"/>
                <w:szCs w:val="20"/>
                <w:lang w:eastAsia="pl-PL"/>
              </w:rPr>
              <w:t xml:space="preserve"> Informacji Pasażerskiej </w:t>
            </w:r>
            <w:r>
              <w:rPr>
                <w:rFonts w:ascii="Cambria" w:eastAsia="Times New Roman" w:hAnsi="Cambria" w:cstheme="minorHAnsi"/>
                <w:color w:val="000000"/>
                <w:sz w:val="20"/>
                <w:szCs w:val="20"/>
                <w:lang w:eastAsia="pl-PL"/>
              </w:rPr>
              <w:t>zamontowan</w:t>
            </w:r>
            <w:r w:rsidRPr="00081B6E">
              <w:rPr>
                <w:rFonts w:ascii="Cambria" w:eastAsia="Times New Roman" w:hAnsi="Cambria" w:cstheme="minorHAnsi"/>
                <w:color w:val="000000"/>
                <w:sz w:val="20"/>
                <w:szCs w:val="20"/>
                <w:lang w:eastAsia="pl-PL"/>
              </w:rPr>
              <w:t>e przez Wykonawcę</w:t>
            </w:r>
            <w:r>
              <w:rPr>
                <w:rFonts w:ascii="Cambria" w:eastAsia="Times New Roman" w:hAnsi="Cambria" w:cstheme="minorHAnsi"/>
                <w:color w:val="000000"/>
                <w:sz w:val="20"/>
                <w:szCs w:val="20"/>
                <w:lang w:eastAsia="pl-PL"/>
              </w:rPr>
              <w:t>,</w:t>
            </w:r>
            <w:r w:rsidRPr="00276B42">
              <w:rPr>
                <w:rFonts w:ascii="Cambria" w:hAnsi="Cambria"/>
                <w:sz w:val="20"/>
                <w:szCs w:val="20"/>
              </w:rPr>
              <w:t xml:space="preserve"> na okres nie krótszy niż okres gwarancji całopojazdowej</w:t>
            </w:r>
            <w:r w:rsidRPr="00276B42">
              <w:rPr>
                <w:rFonts w:ascii="Cambria" w:eastAsia="Times New Roman" w:hAnsi="Cambria" w:cstheme="minorHAnsi"/>
                <w:color w:val="000000"/>
                <w:sz w:val="20"/>
                <w:szCs w:val="20"/>
                <w:lang w:eastAsia="pl-PL"/>
              </w:rPr>
              <w:t>:</w:t>
            </w:r>
            <w:r>
              <w:rPr>
                <w:rFonts w:ascii="Cambria" w:eastAsia="Times New Roman" w:hAnsi="Cambria" w:cstheme="minorHAnsi"/>
                <w:color w:val="000000"/>
                <w:sz w:val="20"/>
                <w:szCs w:val="20"/>
                <w:lang w:eastAsia="pl-PL"/>
              </w:rPr>
              <w:t xml:space="preserve"> minimum 48 miesięcy:</w:t>
            </w:r>
          </w:p>
          <w:p w14:paraId="68083298"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tablice LED – czołowa, boczna, tylna oraz wewnętrzna,</w:t>
            </w:r>
          </w:p>
          <w:p w14:paraId="1D89D985"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moduł komunikacyjny,</w:t>
            </w:r>
          </w:p>
          <w:p w14:paraId="4C6A9729"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anteny zewnętrzne wielofunkcyjne WLAN/GSM/GPS,</w:t>
            </w:r>
          </w:p>
          <w:p w14:paraId="3035E38D"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tablica wewnętrzna z wyświetlaczem TFT LED 22”,</w:t>
            </w:r>
          </w:p>
          <w:p w14:paraId="1E67620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uchwyt do montażu tablicy TFT LCD wraz z maskownicą,</w:t>
            </w:r>
          </w:p>
          <w:p w14:paraId="7F287D2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mikrofon do wygłaszania przez kierowcę komunikatów,</w:t>
            </w:r>
          </w:p>
          <w:p w14:paraId="4F5666D5"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nagłośnienie na zewnątrz pojazdu i wewnątrz pojazdu,</w:t>
            </w:r>
          </w:p>
          <w:p w14:paraId="40B3EA99"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kasownik dwufunkcyjny,</w:t>
            </w:r>
          </w:p>
          <w:p w14:paraId="4D1D989F" w14:textId="35F98902" w:rsidR="009E7154" w:rsidRPr="00805513"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system monitoringu wizyjnego.</w:t>
            </w:r>
          </w:p>
        </w:tc>
        <w:tc>
          <w:tcPr>
            <w:tcW w:w="3111" w:type="dxa"/>
          </w:tcPr>
          <w:p w14:paraId="62CE86B5" w14:textId="77777777" w:rsidR="009E7154" w:rsidRPr="00805513" w:rsidRDefault="009E7154" w:rsidP="00DC5061">
            <w:pPr>
              <w:pStyle w:val="Akapitzlist"/>
              <w:spacing w:after="0" w:line="360" w:lineRule="auto"/>
              <w:ind w:left="567"/>
              <w:jc w:val="both"/>
              <w:rPr>
                <w:rFonts w:ascii="Cambria" w:hAnsi="Cambria"/>
                <w:sz w:val="20"/>
                <w:szCs w:val="20"/>
              </w:rPr>
            </w:pPr>
          </w:p>
        </w:tc>
      </w:tr>
      <w:tr w:rsidR="009E7154" w14:paraId="0385D969" w14:textId="415EF55B" w:rsidTr="00895755">
        <w:tc>
          <w:tcPr>
            <w:tcW w:w="592" w:type="dxa"/>
          </w:tcPr>
          <w:p w14:paraId="4FEB1D6E" w14:textId="046B04D1" w:rsidR="009E7154" w:rsidRDefault="009E7154" w:rsidP="00720B8C">
            <w:pPr>
              <w:spacing w:after="0" w:line="360" w:lineRule="auto"/>
              <w:rPr>
                <w:rFonts w:ascii="Cambria" w:eastAsia="Times New Roman" w:hAnsi="Cambria" w:cstheme="minorHAnsi"/>
                <w:b/>
                <w:color w:val="000000"/>
                <w:sz w:val="20"/>
                <w:szCs w:val="20"/>
                <w:lang w:eastAsia="pl-PL"/>
              </w:rPr>
            </w:pPr>
            <w:r w:rsidRPr="00F05CE9">
              <w:rPr>
                <w:rFonts w:asciiTheme="majorHAnsi" w:hAnsiTheme="majorHAnsi"/>
                <w:b/>
                <w:sz w:val="20"/>
                <w:szCs w:val="20"/>
              </w:rPr>
              <w:t>7.</w:t>
            </w:r>
            <w:r>
              <w:rPr>
                <w:rFonts w:asciiTheme="majorHAnsi" w:hAnsiTheme="majorHAnsi"/>
                <w:b/>
                <w:sz w:val="20"/>
                <w:szCs w:val="20"/>
              </w:rPr>
              <w:t>8</w:t>
            </w:r>
            <w:r w:rsidRPr="00F05CE9">
              <w:rPr>
                <w:rFonts w:asciiTheme="majorHAnsi" w:hAnsiTheme="majorHAnsi"/>
                <w:b/>
                <w:sz w:val="20"/>
                <w:szCs w:val="20"/>
              </w:rPr>
              <w:t>.</w:t>
            </w:r>
          </w:p>
        </w:tc>
        <w:tc>
          <w:tcPr>
            <w:tcW w:w="1676" w:type="dxa"/>
          </w:tcPr>
          <w:p w14:paraId="09D4F715" w14:textId="174FC6EE" w:rsidR="009E7154" w:rsidRPr="00081B6E" w:rsidRDefault="009E7154" w:rsidP="00C36D7E">
            <w:pPr>
              <w:spacing w:after="0" w:line="360" w:lineRule="auto"/>
              <w:jc w:val="both"/>
              <w:rPr>
                <w:rFonts w:ascii="Cambria" w:eastAsia="Times New Roman" w:hAnsi="Cambria" w:cstheme="minorHAnsi"/>
                <w:b/>
                <w:color w:val="000000"/>
                <w:sz w:val="20"/>
                <w:szCs w:val="20"/>
                <w:lang w:eastAsia="pl-PL"/>
              </w:rPr>
            </w:pPr>
            <w:r w:rsidRPr="00F05CE9">
              <w:rPr>
                <w:rFonts w:asciiTheme="majorHAnsi" w:hAnsiTheme="majorHAnsi"/>
                <w:b/>
                <w:sz w:val="20"/>
                <w:szCs w:val="20"/>
              </w:rPr>
              <w:t>Programy diagnostyczne.</w:t>
            </w:r>
          </w:p>
        </w:tc>
        <w:tc>
          <w:tcPr>
            <w:tcW w:w="3686" w:type="dxa"/>
          </w:tcPr>
          <w:p w14:paraId="4A17863E" w14:textId="34DFB1FA" w:rsidR="009E7154" w:rsidRPr="00805513" w:rsidRDefault="00AA60D3" w:rsidP="00805513">
            <w:pPr>
              <w:spacing w:line="360" w:lineRule="auto"/>
              <w:jc w:val="both"/>
              <w:rPr>
                <w:rFonts w:asciiTheme="majorHAnsi" w:hAnsiTheme="majorHAnsi"/>
                <w:sz w:val="20"/>
                <w:szCs w:val="20"/>
              </w:rPr>
            </w:pPr>
            <w:r>
              <w:rPr>
                <w:rFonts w:asciiTheme="majorHAnsi" w:hAnsiTheme="majorHAnsi"/>
                <w:sz w:val="20"/>
                <w:szCs w:val="20"/>
              </w:rPr>
              <w:t>Okres gwarancji i aktualizacji: 120 miesięcy</w:t>
            </w:r>
            <w:r w:rsidR="009E7154">
              <w:rPr>
                <w:rFonts w:asciiTheme="majorHAnsi" w:hAnsiTheme="majorHAnsi"/>
                <w:sz w:val="20"/>
                <w:szCs w:val="20"/>
              </w:rPr>
              <w:t>.</w:t>
            </w:r>
          </w:p>
        </w:tc>
        <w:tc>
          <w:tcPr>
            <w:tcW w:w="3111" w:type="dxa"/>
          </w:tcPr>
          <w:p w14:paraId="72F77EDE" w14:textId="77777777" w:rsidR="009E7154" w:rsidRPr="00805513" w:rsidRDefault="009E7154" w:rsidP="009E7154">
            <w:pPr>
              <w:spacing w:line="360" w:lineRule="auto"/>
              <w:jc w:val="both"/>
              <w:rPr>
                <w:rFonts w:asciiTheme="majorHAnsi" w:hAnsiTheme="majorHAnsi"/>
                <w:sz w:val="20"/>
                <w:szCs w:val="20"/>
              </w:rPr>
            </w:pPr>
          </w:p>
        </w:tc>
      </w:tr>
      <w:tr w:rsidR="009E7154" w14:paraId="0E2345A3" w14:textId="7375CD15" w:rsidTr="00895755">
        <w:tc>
          <w:tcPr>
            <w:tcW w:w="592" w:type="dxa"/>
          </w:tcPr>
          <w:p w14:paraId="1843D8F7" w14:textId="3D76DD93"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7.9</w:t>
            </w:r>
            <w:r w:rsidRPr="00F05CE9">
              <w:rPr>
                <w:rFonts w:asciiTheme="majorHAnsi" w:hAnsiTheme="majorHAnsi"/>
                <w:b/>
                <w:sz w:val="20"/>
                <w:szCs w:val="20"/>
              </w:rPr>
              <w:t>.</w:t>
            </w:r>
          </w:p>
        </w:tc>
        <w:tc>
          <w:tcPr>
            <w:tcW w:w="1676" w:type="dxa"/>
          </w:tcPr>
          <w:p w14:paraId="7DE72A68" w14:textId="75992E0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Wyłączenia gwarancyjne.</w:t>
            </w:r>
          </w:p>
        </w:tc>
        <w:tc>
          <w:tcPr>
            <w:tcW w:w="3686" w:type="dxa"/>
          </w:tcPr>
          <w:p w14:paraId="34216755" w14:textId="77777777" w:rsidR="009E7154" w:rsidRPr="00F05CE9" w:rsidRDefault="009E7154" w:rsidP="00805513">
            <w:p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Z gwarancji wyłączone są materiały eksploatacyjne i części, które podczas eksploatacji autobusów ulegają normalnemu zużyciu, wyszczególnione niżej:</w:t>
            </w:r>
          </w:p>
          <w:p w14:paraId="0085F2A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płyny eksploatacyjne, smary,</w:t>
            </w:r>
          </w:p>
          <w:p w14:paraId="2DB98B94"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wkłady filtrów, filtry,</w:t>
            </w:r>
          </w:p>
          <w:p w14:paraId="422C656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bezpieczniki,</w:t>
            </w:r>
          </w:p>
          <w:p w14:paraId="3C39EED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żarówki żarnikowe (jeżeli występują),</w:t>
            </w:r>
          </w:p>
          <w:p w14:paraId="158C753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paski klinowe po przekroczeniu przez autobus przebiegu 50 000km (jeżeli występują),</w:t>
            </w:r>
          </w:p>
          <w:p w14:paraId="487980E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pióra wycieraczek po okresie 6 miesięcy eksploatacji,</w:t>
            </w:r>
          </w:p>
          <w:p w14:paraId="78538B36"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tarcze hamulcowe po przekroczeniu przez autobus przebiegu 100 000 km,</w:t>
            </w:r>
          </w:p>
          <w:p w14:paraId="3810A0A3"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klocki hamulcowe po przekroczeniu przez autobus przebiegu 60 000 km,</w:t>
            </w:r>
          </w:p>
          <w:p w14:paraId="70EF572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opony po przekroczeniu przez autobus przebiegu 150 000 km,</w:t>
            </w:r>
          </w:p>
          <w:p w14:paraId="28EFF12D"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amortyzatory po przekroczeniu przez autobus przebiegu 100 000 km,</w:t>
            </w:r>
          </w:p>
          <w:p w14:paraId="2852DE34" w14:textId="45F3E79A" w:rsidR="009E7154" w:rsidRPr="00805513"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 xml:space="preserve">akumulatory </w:t>
            </w:r>
            <w:r>
              <w:rPr>
                <w:rFonts w:asciiTheme="majorHAnsi" w:hAnsiTheme="majorHAnsi" w:cstheme="minorHAnsi"/>
                <w:sz w:val="20"/>
                <w:szCs w:val="20"/>
              </w:rPr>
              <w:t xml:space="preserve">12V </w:t>
            </w:r>
            <w:r w:rsidRPr="00F05CE9">
              <w:rPr>
                <w:rFonts w:asciiTheme="majorHAnsi" w:hAnsiTheme="majorHAnsi" w:cstheme="minorHAnsi"/>
                <w:sz w:val="20"/>
                <w:szCs w:val="20"/>
              </w:rPr>
              <w:t>po okresie 24 miesięcy eksploatacji.</w:t>
            </w:r>
          </w:p>
        </w:tc>
        <w:tc>
          <w:tcPr>
            <w:tcW w:w="3111" w:type="dxa"/>
          </w:tcPr>
          <w:p w14:paraId="0949862F" w14:textId="77777777" w:rsidR="009E7154" w:rsidRPr="00805513" w:rsidRDefault="009E7154" w:rsidP="00DC5061">
            <w:pPr>
              <w:pStyle w:val="Akapitzlist"/>
              <w:spacing w:after="0" w:line="360" w:lineRule="auto"/>
              <w:ind w:left="644"/>
              <w:jc w:val="both"/>
              <w:rPr>
                <w:rFonts w:asciiTheme="majorHAnsi" w:hAnsiTheme="majorHAnsi" w:cstheme="minorHAnsi"/>
                <w:sz w:val="20"/>
                <w:szCs w:val="20"/>
              </w:rPr>
            </w:pPr>
          </w:p>
        </w:tc>
      </w:tr>
    </w:tbl>
    <w:p w14:paraId="4D3B3287" w14:textId="77777777" w:rsidR="009E7154" w:rsidRDefault="009E7154" w:rsidP="00782E5C">
      <w:pPr>
        <w:spacing w:line="360" w:lineRule="auto"/>
        <w:jc w:val="both"/>
        <w:rPr>
          <w:rFonts w:asciiTheme="majorHAnsi" w:hAnsiTheme="majorHAnsi"/>
          <w:b/>
          <w:sz w:val="20"/>
          <w:szCs w:val="20"/>
        </w:rPr>
      </w:pPr>
    </w:p>
    <w:p w14:paraId="0C0FAD34" w14:textId="03040B89" w:rsidR="00BD7976" w:rsidRPr="00F05CE9" w:rsidRDefault="00DC2D4A" w:rsidP="00782E5C">
      <w:pPr>
        <w:spacing w:line="360" w:lineRule="auto"/>
        <w:jc w:val="both"/>
        <w:rPr>
          <w:rFonts w:asciiTheme="majorHAnsi" w:hAnsiTheme="majorHAnsi"/>
          <w:b/>
          <w:sz w:val="20"/>
          <w:szCs w:val="20"/>
        </w:rPr>
      </w:pPr>
      <w:r w:rsidRPr="00F05CE9">
        <w:rPr>
          <w:rFonts w:asciiTheme="majorHAnsi" w:hAnsiTheme="majorHAnsi"/>
          <w:b/>
          <w:sz w:val="20"/>
          <w:szCs w:val="20"/>
        </w:rPr>
        <w:tab/>
      </w:r>
    </w:p>
    <w:sectPr w:rsidR="00BD7976" w:rsidRPr="00F05CE9" w:rsidSect="00CB0F4D">
      <w:headerReference w:type="default" r:id="rId8"/>
      <w:footerReference w:type="default" r:id="rId9"/>
      <w:pgSz w:w="11906" w:h="16838"/>
      <w:pgMar w:top="1134" w:right="1418" w:bottom="851"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0654" w14:textId="77777777" w:rsidR="003B6EB2" w:rsidRDefault="003B6EB2" w:rsidP="003749DE">
      <w:pPr>
        <w:spacing w:after="0" w:line="240" w:lineRule="auto"/>
      </w:pPr>
      <w:r>
        <w:separator/>
      </w:r>
    </w:p>
  </w:endnote>
  <w:endnote w:type="continuationSeparator" w:id="0">
    <w:p w14:paraId="49632FBD" w14:textId="77777777" w:rsidR="003B6EB2" w:rsidRDefault="003B6EB2" w:rsidP="0037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sz w:val="20"/>
        <w:szCs w:val="20"/>
        <w:lang w:eastAsia="ar-SA"/>
      </w:rPr>
      <w:id w:val="-565262927"/>
      <w:docPartObj>
        <w:docPartGallery w:val="Page Numbers (Bottom of Page)"/>
        <w:docPartUnique/>
      </w:docPartObj>
    </w:sdtPr>
    <w:sdtEndPr>
      <w:rPr>
        <w:rFonts w:ascii="Cambria" w:hAnsi="Cambria"/>
      </w:rPr>
    </w:sdtEndPr>
    <w:sdtContent>
      <w:p w14:paraId="7438371B" w14:textId="77777777" w:rsidR="006B42C1" w:rsidRPr="006B42C1" w:rsidRDefault="006B42C1" w:rsidP="006B42C1">
        <w:pPr>
          <w:spacing w:line="360" w:lineRule="auto"/>
          <w:jc w:val="center"/>
          <w:rPr>
            <w:rFonts w:ascii="Cambria" w:hAnsi="Cambria" w:cstheme="minorHAnsi"/>
            <w:b/>
            <w:i/>
            <w:sz w:val="16"/>
            <w:szCs w:val="16"/>
            <w:u w:val="single"/>
          </w:rPr>
        </w:pPr>
        <w:r w:rsidRPr="006B42C1">
          <w:rPr>
            <w:rFonts w:ascii="Cambria" w:hAnsi="Cambria" w:cstheme="minorHAnsi"/>
            <w:b/>
            <w:i/>
            <w:sz w:val="16"/>
            <w:szCs w:val="16"/>
            <w:u w:val="single"/>
          </w:rPr>
          <w:t>Szczegółowa kompletacja oferowanego autobusu</w:t>
        </w:r>
      </w:p>
      <w:p w14:paraId="7F80F3BC" w14:textId="5644C91C" w:rsidR="00F55842" w:rsidRPr="001A2041" w:rsidRDefault="00F55842">
        <w:pPr>
          <w:pStyle w:val="Stopka"/>
          <w:jc w:val="right"/>
          <w:rPr>
            <w:rFonts w:ascii="Cambria" w:hAnsi="Cambria"/>
          </w:rPr>
        </w:pPr>
        <w:r w:rsidRPr="001A2041">
          <w:rPr>
            <w:rFonts w:ascii="Cambria" w:hAnsi="Cambria"/>
          </w:rPr>
          <w:fldChar w:fldCharType="begin"/>
        </w:r>
        <w:r w:rsidRPr="001A2041">
          <w:rPr>
            <w:rFonts w:ascii="Cambria" w:hAnsi="Cambria"/>
          </w:rPr>
          <w:instrText>PAGE   \* MERGEFORMAT</w:instrText>
        </w:r>
        <w:r w:rsidRPr="001A2041">
          <w:rPr>
            <w:rFonts w:ascii="Cambria" w:hAnsi="Cambria"/>
          </w:rPr>
          <w:fldChar w:fldCharType="separate"/>
        </w:r>
        <w:r w:rsidR="006B42C1">
          <w:rPr>
            <w:rFonts w:ascii="Cambria" w:hAnsi="Cambria"/>
            <w:noProof/>
          </w:rPr>
          <w:t>20</w:t>
        </w:r>
        <w:r w:rsidRPr="001A2041">
          <w:rPr>
            <w:rFonts w:ascii="Cambria" w:hAnsi="Cambria"/>
          </w:rPr>
          <w:fldChar w:fldCharType="end"/>
        </w:r>
      </w:p>
    </w:sdtContent>
  </w:sdt>
  <w:p w14:paraId="7A39DBA4" w14:textId="77777777" w:rsidR="00F55842" w:rsidRDefault="00F5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E5B2" w14:textId="77777777" w:rsidR="003B6EB2" w:rsidRDefault="003B6EB2" w:rsidP="003749DE">
      <w:pPr>
        <w:spacing w:after="0" w:line="240" w:lineRule="auto"/>
      </w:pPr>
      <w:r>
        <w:separator/>
      </w:r>
    </w:p>
  </w:footnote>
  <w:footnote w:type="continuationSeparator" w:id="0">
    <w:p w14:paraId="3663F6AD" w14:textId="77777777" w:rsidR="003B6EB2" w:rsidRDefault="003B6EB2" w:rsidP="0037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C06B" w14:textId="77777777" w:rsidR="00F55842" w:rsidRDefault="00F55842" w:rsidP="00540000">
    <w:pPr>
      <w:pStyle w:val="Default0"/>
      <w:jc w:val="right"/>
      <w:rPr>
        <w:rFonts w:ascii="Cambria" w:hAnsi="Cambria"/>
        <w:b/>
        <w:noProof/>
        <w:sz w:val="20"/>
        <w:szCs w:val="20"/>
      </w:rPr>
    </w:pPr>
  </w:p>
  <w:p w14:paraId="42930C97" w14:textId="77777777" w:rsidR="00F55842" w:rsidRDefault="00F55842" w:rsidP="005C5911">
    <w:pPr>
      <w:pStyle w:val="Default0"/>
      <w:jc w:val="right"/>
      <w:rPr>
        <w:rFonts w:ascii="Cambria" w:hAnsi="Cambria"/>
        <w:b/>
        <w:i/>
        <w:noProof/>
        <w:sz w:val="16"/>
        <w:szCs w:val="16"/>
      </w:rPr>
    </w:pPr>
  </w:p>
  <w:p w14:paraId="2FDF92FE" w14:textId="77777777" w:rsidR="00F55842" w:rsidRDefault="00F55842" w:rsidP="005C5911">
    <w:pPr>
      <w:pStyle w:val="Default0"/>
      <w:jc w:val="right"/>
      <w:rPr>
        <w:rFonts w:ascii="Cambria" w:hAnsi="Cambria"/>
        <w:b/>
        <w:i/>
        <w:noProof/>
        <w:sz w:val="16"/>
        <w:szCs w:val="16"/>
      </w:rPr>
    </w:pPr>
  </w:p>
  <w:p w14:paraId="1BD60CEF" w14:textId="579DDC4D" w:rsidR="00F55842" w:rsidRPr="0060147D" w:rsidRDefault="00F55842" w:rsidP="003F04A4">
    <w:pPr>
      <w:pStyle w:val="Default0"/>
      <w:jc w:val="right"/>
      <w:rPr>
        <w:rFonts w:ascii="Cambria" w:hAnsi="Cambria"/>
        <w:b/>
        <w:i/>
        <w:noProof/>
        <w:sz w:val="16"/>
        <w:szCs w:val="16"/>
      </w:rPr>
    </w:pPr>
    <w:r w:rsidRPr="0060147D">
      <w:rPr>
        <w:rFonts w:ascii="Cambria" w:hAnsi="Cambria"/>
        <w:b/>
        <w:i/>
        <w:sz w:val="16"/>
        <w:szCs w:val="16"/>
      </w:rPr>
      <w:t>Zakup autobusów</w:t>
    </w:r>
    <w:r>
      <w:rPr>
        <w:rFonts w:ascii="Cambria" w:hAnsi="Cambria"/>
        <w:b/>
        <w:i/>
        <w:sz w:val="16"/>
        <w:szCs w:val="16"/>
      </w:rPr>
      <w:t xml:space="preserve"> dla MPK Tarnów </w:t>
    </w:r>
    <w:r w:rsidRPr="0060147D">
      <w:rPr>
        <w:rFonts w:ascii="Cambria" w:hAnsi="Cambria"/>
        <w:b/>
        <w:i/>
        <w:sz w:val="16"/>
        <w:szCs w:val="16"/>
      </w:rPr>
      <w:t xml:space="preserve"> z napędem elektrycznym wraz z infrastrukturą ładowania</w:t>
    </w:r>
    <w:r w:rsidRPr="003F04A4">
      <w:rPr>
        <w:rFonts w:ascii="Cambria" w:hAnsi="Cambria"/>
        <w:b/>
        <w:i/>
        <w:noProof/>
        <w:sz w:val="16"/>
        <w:szCs w:val="16"/>
      </w:rPr>
      <w:t xml:space="preserve"> </w:t>
    </w:r>
    <w:r w:rsidR="00555247">
      <w:rPr>
        <w:rFonts w:ascii="Cambria" w:hAnsi="Cambria"/>
        <w:b/>
        <w:i/>
        <w:noProof/>
        <w:sz w:val="16"/>
        <w:szCs w:val="16"/>
      </w:rPr>
      <w:t xml:space="preserve">      Nr sprawy PNZP/12</w:t>
    </w:r>
    <w:r w:rsidRPr="0060147D">
      <w:rPr>
        <w:rFonts w:ascii="Cambria" w:hAnsi="Cambria"/>
        <w:b/>
        <w:i/>
        <w:noProof/>
        <w:sz w:val="16"/>
        <w:szCs w:val="16"/>
      </w:rPr>
      <w:t>/Z/2024</w:t>
    </w:r>
  </w:p>
  <w:p w14:paraId="0824219C" w14:textId="6B10E6FE" w:rsidR="00F55842" w:rsidRPr="0060147D" w:rsidRDefault="00F55842" w:rsidP="009723E1">
    <w:pPr>
      <w:rPr>
        <w:rFonts w:ascii="Cambria" w:eastAsia="Cambria" w:hAnsi="Cambria" w:cs="Cambria"/>
        <w:i/>
        <w:color w:val="000000"/>
        <w:sz w:val="16"/>
        <w:szCs w:val="16"/>
      </w:rPr>
    </w:pPr>
  </w:p>
  <w:p w14:paraId="134D5AA4" w14:textId="77777777" w:rsidR="00F55842" w:rsidRPr="006B42C1" w:rsidRDefault="00F55842" w:rsidP="00540000">
    <w:pPr>
      <w:pStyle w:val="Default0"/>
      <w:jc w:val="right"/>
      <w:rPr>
        <w:rFonts w:ascii="Cambria" w:hAnsi="Cambria"/>
        <w:b/>
        <w:i/>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EC2"/>
    <w:multiLevelType w:val="multilevel"/>
    <w:tmpl w:val="0B3682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21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6791C"/>
    <w:multiLevelType w:val="hybridMultilevel"/>
    <w:tmpl w:val="0B283C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3F25EB2"/>
    <w:multiLevelType w:val="multilevel"/>
    <w:tmpl w:val="2BE2F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84D81"/>
    <w:multiLevelType w:val="hybridMultilevel"/>
    <w:tmpl w:val="1C46FF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AA21122"/>
    <w:multiLevelType w:val="hybridMultilevel"/>
    <w:tmpl w:val="039839B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BBA0FAB"/>
    <w:multiLevelType w:val="hybridMultilevel"/>
    <w:tmpl w:val="7182F7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E3C41DA"/>
    <w:multiLevelType w:val="hybridMultilevel"/>
    <w:tmpl w:val="077464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E943B4"/>
    <w:multiLevelType w:val="hybridMultilevel"/>
    <w:tmpl w:val="231C3A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B8A3EF0"/>
    <w:multiLevelType w:val="hybridMultilevel"/>
    <w:tmpl w:val="8EB665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741013"/>
    <w:multiLevelType w:val="hybridMultilevel"/>
    <w:tmpl w:val="BBAE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3314FE"/>
    <w:multiLevelType w:val="multilevel"/>
    <w:tmpl w:val="F95A9A5C"/>
    <w:lvl w:ilvl="0">
      <w:start w:val="1"/>
      <w:numFmt w:val="decimal"/>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12" w15:restartNumberingAfterBreak="0">
    <w:nsid w:val="557543E8"/>
    <w:multiLevelType w:val="hybridMultilevel"/>
    <w:tmpl w:val="011025BE"/>
    <w:lvl w:ilvl="0" w:tplc="0415000F">
      <w:start w:val="1"/>
      <w:numFmt w:val="decimal"/>
      <w:lvlText w:val="%1."/>
      <w:lvlJc w:val="left"/>
      <w:pPr>
        <w:ind w:left="720" w:hanging="360"/>
      </w:pPr>
    </w:lvl>
    <w:lvl w:ilvl="1" w:tplc="1FC04F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A5F3F"/>
    <w:multiLevelType w:val="hybridMultilevel"/>
    <w:tmpl w:val="4386D1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6258181B"/>
    <w:multiLevelType w:val="multilevel"/>
    <w:tmpl w:val="011E27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DD81C3E"/>
    <w:multiLevelType w:val="hybridMultilevel"/>
    <w:tmpl w:val="9AD44FE0"/>
    <w:lvl w:ilvl="0" w:tplc="04150001">
      <w:start w:val="1"/>
      <w:numFmt w:val="bullet"/>
      <w:lvlText w:val=""/>
      <w:lvlJc w:val="left"/>
      <w:pPr>
        <w:ind w:left="2860" w:hanging="360"/>
      </w:pPr>
      <w:rPr>
        <w:rFonts w:ascii="Symbol" w:hAnsi="Symbol" w:hint="default"/>
      </w:rPr>
    </w:lvl>
    <w:lvl w:ilvl="1" w:tplc="04150003" w:tentative="1">
      <w:start w:val="1"/>
      <w:numFmt w:val="bullet"/>
      <w:lvlText w:val="o"/>
      <w:lvlJc w:val="left"/>
      <w:pPr>
        <w:ind w:left="3580" w:hanging="360"/>
      </w:pPr>
      <w:rPr>
        <w:rFonts w:ascii="Courier New" w:hAnsi="Courier New" w:cs="Courier New" w:hint="default"/>
      </w:rPr>
    </w:lvl>
    <w:lvl w:ilvl="2" w:tplc="04150005" w:tentative="1">
      <w:start w:val="1"/>
      <w:numFmt w:val="bullet"/>
      <w:lvlText w:val=""/>
      <w:lvlJc w:val="left"/>
      <w:pPr>
        <w:ind w:left="4300" w:hanging="360"/>
      </w:pPr>
      <w:rPr>
        <w:rFonts w:ascii="Wingdings" w:hAnsi="Wingdings" w:hint="default"/>
      </w:rPr>
    </w:lvl>
    <w:lvl w:ilvl="3" w:tplc="04150001" w:tentative="1">
      <w:start w:val="1"/>
      <w:numFmt w:val="bullet"/>
      <w:lvlText w:val=""/>
      <w:lvlJc w:val="left"/>
      <w:pPr>
        <w:ind w:left="5020" w:hanging="360"/>
      </w:pPr>
      <w:rPr>
        <w:rFonts w:ascii="Symbol" w:hAnsi="Symbol" w:hint="default"/>
      </w:rPr>
    </w:lvl>
    <w:lvl w:ilvl="4" w:tplc="04150003" w:tentative="1">
      <w:start w:val="1"/>
      <w:numFmt w:val="bullet"/>
      <w:lvlText w:val="o"/>
      <w:lvlJc w:val="left"/>
      <w:pPr>
        <w:ind w:left="5740" w:hanging="360"/>
      </w:pPr>
      <w:rPr>
        <w:rFonts w:ascii="Courier New" w:hAnsi="Courier New" w:cs="Courier New" w:hint="default"/>
      </w:rPr>
    </w:lvl>
    <w:lvl w:ilvl="5" w:tplc="04150005" w:tentative="1">
      <w:start w:val="1"/>
      <w:numFmt w:val="bullet"/>
      <w:lvlText w:val=""/>
      <w:lvlJc w:val="left"/>
      <w:pPr>
        <w:ind w:left="6460" w:hanging="360"/>
      </w:pPr>
      <w:rPr>
        <w:rFonts w:ascii="Wingdings" w:hAnsi="Wingdings" w:hint="default"/>
      </w:rPr>
    </w:lvl>
    <w:lvl w:ilvl="6" w:tplc="04150001" w:tentative="1">
      <w:start w:val="1"/>
      <w:numFmt w:val="bullet"/>
      <w:lvlText w:val=""/>
      <w:lvlJc w:val="left"/>
      <w:pPr>
        <w:ind w:left="7180" w:hanging="360"/>
      </w:pPr>
      <w:rPr>
        <w:rFonts w:ascii="Symbol" w:hAnsi="Symbol" w:hint="default"/>
      </w:rPr>
    </w:lvl>
    <w:lvl w:ilvl="7" w:tplc="04150003" w:tentative="1">
      <w:start w:val="1"/>
      <w:numFmt w:val="bullet"/>
      <w:lvlText w:val="o"/>
      <w:lvlJc w:val="left"/>
      <w:pPr>
        <w:ind w:left="7900" w:hanging="360"/>
      </w:pPr>
      <w:rPr>
        <w:rFonts w:ascii="Courier New" w:hAnsi="Courier New" w:cs="Courier New" w:hint="default"/>
      </w:rPr>
    </w:lvl>
    <w:lvl w:ilvl="8" w:tplc="04150005" w:tentative="1">
      <w:start w:val="1"/>
      <w:numFmt w:val="bullet"/>
      <w:lvlText w:val=""/>
      <w:lvlJc w:val="left"/>
      <w:pPr>
        <w:ind w:left="8620" w:hanging="360"/>
      </w:pPr>
      <w:rPr>
        <w:rFonts w:ascii="Wingdings" w:hAnsi="Wingdings" w:hint="default"/>
      </w:rPr>
    </w:lvl>
  </w:abstractNum>
  <w:num w:numId="1" w16cid:durableId="1546792090">
    <w:abstractNumId w:val="11"/>
  </w:num>
  <w:num w:numId="2" w16cid:durableId="638196159">
    <w:abstractNumId w:val="3"/>
  </w:num>
  <w:num w:numId="3" w16cid:durableId="1221290042">
    <w:abstractNumId w:val="14"/>
  </w:num>
  <w:num w:numId="4" w16cid:durableId="723068164">
    <w:abstractNumId w:val="8"/>
  </w:num>
  <w:num w:numId="5" w16cid:durableId="82576888">
    <w:abstractNumId w:val="4"/>
  </w:num>
  <w:num w:numId="6" w16cid:durableId="771819308">
    <w:abstractNumId w:val="15"/>
  </w:num>
  <w:num w:numId="7" w16cid:durableId="1435200837">
    <w:abstractNumId w:val="5"/>
  </w:num>
  <w:num w:numId="8" w16cid:durableId="1199077458">
    <w:abstractNumId w:val="12"/>
  </w:num>
  <w:num w:numId="9" w16cid:durableId="660160081">
    <w:abstractNumId w:val="2"/>
  </w:num>
  <w:num w:numId="10" w16cid:durableId="916402191">
    <w:abstractNumId w:val="6"/>
  </w:num>
  <w:num w:numId="11" w16cid:durableId="1440829540">
    <w:abstractNumId w:val="13"/>
  </w:num>
  <w:num w:numId="12" w16cid:durableId="1852840838">
    <w:abstractNumId w:val="9"/>
  </w:num>
  <w:num w:numId="13" w16cid:durableId="980496835">
    <w:abstractNumId w:val="7"/>
  </w:num>
  <w:num w:numId="14" w16cid:durableId="605120819">
    <w:abstractNumId w:val="10"/>
  </w:num>
  <w:num w:numId="15" w16cid:durableId="2122800727">
    <w:abstractNumId w:val="1"/>
  </w:num>
  <w:num w:numId="16" w16cid:durableId="10544233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1B"/>
    <w:rsid w:val="00000574"/>
    <w:rsid w:val="00007E48"/>
    <w:rsid w:val="0002063C"/>
    <w:rsid w:val="00020A44"/>
    <w:rsid w:val="00042018"/>
    <w:rsid w:val="0004458A"/>
    <w:rsid w:val="00050601"/>
    <w:rsid w:val="000529A9"/>
    <w:rsid w:val="0007246E"/>
    <w:rsid w:val="00081B6E"/>
    <w:rsid w:val="00090DD0"/>
    <w:rsid w:val="00092043"/>
    <w:rsid w:val="000B2AE1"/>
    <w:rsid w:val="000C5C97"/>
    <w:rsid w:val="000C67C0"/>
    <w:rsid w:val="000D3686"/>
    <w:rsid w:val="000D4120"/>
    <w:rsid w:val="000E44D8"/>
    <w:rsid w:val="000E5D47"/>
    <w:rsid w:val="000E67F0"/>
    <w:rsid w:val="000E7CB0"/>
    <w:rsid w:val="00100385"/>
    <w:rsid w:val="001064C1"/>
    <w:rsid w:val="0011083B"/>
    <w:rsid w:val="001205EB"/>
    <w:rsid w:val="00133630"/>
    <w:rsid w:val="00135A04"/>
    <w:rsid w:val="0013783E"/>
    <w:rsid w:val="00143D3C"/>
    <w:rsid w:val="0015487B"/>
    <w:rsid w:val="0015642A"/>
    <w:rsid w:val="00157A6E"/>
    <w:rsid w:val="00164402"/>
    <w:rsid w:val="00165205"/>
    <w:rsid w:val="00166ABE"/>
    <w:rsid w:val="00195958"/>
    <w:rsid w:val="001961B9"/>
    <w:rsid w:val="001A032C"/>
    <w:rsid w:val="001A0EC3"/>
    <w:rsid w:val="001A2041"/>
    <w:rsid w:val="001A3B6E"/>
    <w:rsid w:val="001A5D9E"/>
    <w:rsid w:val="001B505D"/>
    <w:rsid w:val="001B7169"/>
    <w:rsid w:val="001B7716"/>
    <w:rsid w:val="001C10E6"/>
    <w:rsid w:val="001C170E"/>
    <w:rsid w:val="001D5630"/>
    <w:rsid w:val="001D576C"/>
    <w:rsid w:val="001E567D"/>
    <w:rsid w:val="001F0941"/>
    <w:rsid w:val="001F105E"/>
    <w:rsid w:val="0020229E"/>
    <w:rsid w:val="002064A0"/>
    <w:rsid w:val="00206E64"/>
    <w:rsid w:val="0021106F"/>
    <w:rsid w:val="00216C58"/>
    <w:rsid w:val="00224068"/>
    <w:rsid w:val="0022506C"/>
    <w:rsid w:val="00226842"/>
    <w:rsid w:val="00231398"/>
    <w:rsid w:val="002317DB"/>
    <w:rsid w:val="00232BD2"/>
    <w:rsid w:val="00236495"/>
    <w:rsid w:val="00251B96"/>
    <w:rsid w:val="002533B6"/>
    <w:rsid w:val="00256FA2"/>
    <w:rsid w:val="00260914"/>
    <w:rsid w:val="002701D0"/>
    <w:rsid w:val="002731DE"/>
    <w:rsid w:val="002A0C0F"/>
    <w:rsid w:val="002A131E"/>
    <w:rsid w:val="002A3733"/>
    <w:rsid w:val="002A3797"/>
    <w:rsid w:val="002A56E7"/>
    <w:rsid w:val="002B072A"/>
    <w:rsid w:val="002B5C55"/>
    <w:rsid w:val="002B63E1"/>
    <w:rsid w:val="002D312B"/>
    <w:rsid w:val="002D325C"/>
    <w:rsid w:val="002D4F2D"/>
    <w:rsid w:val="002E156E"/>
    <w:rsid w:val="002E1CAB"/>
    <w:rsid w:val="002E1D67"/>
    <w:rsid w:val="002E23C6"/>
    <w:rsid w:val="002E2EFC"/>
    <w:rsid w:val="002E3BF3"/>
    <w:rsid w:val="002E7DA4"/>
    <w:rsid w:val="002F0824"/>
    <w:rsid w:val="002F68A3"/>
    <w:rsid w:val="002F699B"/>
    <w:rsid w:val="00300372"/>
    <w:rsid w:val="00303519"/>
    <w:rsid w:val="00305B88"/>
    <w:rsid w:val="00310988"/>
    <w:rsid w:val="00315389"/>
    <w:rsid w:val="0031546A"/>
    <w:rsid w:val="00324552"/>
    <w:rsid w:val="003341AE"/>
    <w:rsid w:val="00353056"/>
    <w:rsid w:val="003530C9"/>
    <w:rsid w:val="00354850"/>
    <w:rsid w:val="00360474"/>
    <w:rsid w:val="00361735"/>
    <w:rsid w:val="00361F66"/>
    <w:rsid w:val="00362F5E"/>
    <w:rsid w:val="003643A7"/>
    <w:rsid w:val="003749DE"/>
    <w:rsid w:val="0037549C"/>
    <w:rsid w:val="003812B5"/>
    <w:rsid w:val="00393F61"/>
    <w:rsid w:val="003957AB"/>
    <w:rsid w:val="003B23ED"/>
    <w:rsid w:val="003B6EB2"/>
    <w:rsid w:val="003C1E05"/>
    <w:rsid w:val="003C7AB9"/>
    <w:rsid w:val="003D5658"/>
    <w:rsid w:val="003F04A4"/>
    <w:rsid w:val="003F1595"/>
    <w:rsid w:val="003F278F"/>
    <w:rsid w:val="003F289C"/>
    <w:rsid w:val="00400007"/>
    <w:rsid w:val="004126AC"/>
    <w:rsid w:val="00413EAC"/>
    <w:rsid w:val="00421A73"/>
    <w:rsid w:val="00423105"/>
    <w:rsid w:val="00432A84"/>
    <w:rsid w:val="00435347"/>
    <w:rsid w:val="0044621D"/>
    <w:rsid w:val="00447E88"/>
    <w:rsid w:val="00447F3F"/>
    <w:rsid w:val="0045213E"/>
    <w:rsid w:val="00464FBE"/>
    <w:rsid w:val="004755DE"/>
    <w:rsid w:val="004848B5"/>
    <w:rsid w:val="00484D69"/>
    <w:rsid w:val="0049001B"/>
    <w:rsid w:val="0049270F"/>
    <w:rsid w:val="004A21C3"/>
    <w:rsid w:val="004A6B2F"/>
    <w:rsid w:val="004B1BFB"/>
    <w:rsid w:val="004B5568"/>
    <w:rsid w:val="004C1811"/>
    <w:rsid w:val="004C5B74"/>
    <w:rsid w:val="004C6210"/>
    <w:rsid w:val="004D282D"/>
    <w:rsid w:val="004D36B0"/>
    <w:rsid w:val="004D4F82"/>
    <w:rsid w:val="004D64C3"/>
    <w:rsid w:val="004D6DBE"/>
    <w:rsid w:val="004E49A1"/>
    <w:rsid w:val="004F0100"/>
    <w:rsid w:val="004F023B"/>
    <w:rsid w:val="004F0FB1"/>
    <w:rsid w:val="004F300B"/>
    <w:rsid w:val="0050372D"/>
    <w:rsid w:val="005119CC"/>
    <w:rsid w:val="00512A84"/>
    <w:rsid w:val="00514284"/>
    <w:rsid w:val="00515CD3"/>
    <w:rsid w:val="00523584"/>
    <w:rsid w:val="00530F45"/>
    <w:rsid w:val="00536EBF"/>
    <w:rsid w:val="00540000"/>
    <w:rsid w:val="005479B4"/>
    <w:rsid w:val="00555247"/>
    <w:rsid w:val="005A0808"/>
    <w:rsid w:val="005A1D45"/>
    <w:rsid w:val="005A3023"/>
    <w:rsid w:val="005A34B0"/>
    <w:rsid w:val="005A789B"/>
    <w:rsid w:val="005A7CFD"/>
    <w:rsid w:val="005B1FBF"/>
    <w:rsid w:val="005B35AE"/>
    <w:rsid w:val="005C5911"/>
    <w:rsid w:val="005C7C47"/>
    <w:rsid w:val="005D39C3"/>
    <w:rsid w:val="005D616C"/>
    <w:rsid w:val="005F0D6B"/>
    <w:rsid w:val="005F38FF"/>
    <w:rsid w:val="005F608F"/>
    <w:rsid w:val="0060147D"/>
    <w:rsid w:val="00603FD3"/>
    <w:rsid w:val="0060778C"/>
    <w:rsid w:val="00607FDD"/>
    <w:rsid w:val="00612898"/>
    <w:rsid w:val="00621D4A"/>
    <w:rsid w:val="006252B0"/>
    <w:rsid w:val="006355A2"/>
    <w:rsid w:val="00636A1B"/>
    <w:rsid w:val="00641699"/>
    <w:rsid w:val="00652B1F"/>
    <w:rsid w:val="0066031F"/>
    <w:rsid w:val="00663840"/>
    <w:rsid w:val="006768C1"/>
    <w:rsid w:val="00691187"/>
    <w:rsid w:val="006913DC"/>
    <w:rsid w:val="00694342"/>
    <w:rsid w:val="00695F1F"/>
    <w:rsid w:val="006A2A58"/>
    <w:rsid w:val="006A5548"/>
    <w:rsid w:val="006A6EA1"/>
    <w:rsid w:val="006B03F5"/>
    <w:rsid w:val="006B1404"/>
    <w:rsid w:val="006B42C1"/>
    <w:rsid w:val="006B4E4A"/>
    <w:rsid w:val="006B6F8D"/>
    <w:rsid w:val="006B713F"/>
    <w:rsid w:val="006C6BBB"/>
    <w:rsid w:val="006D0E8A"/>
    <w:rsid w:val="006D2CE9"/>
    <w:rsid w:val="006D4954"/>
    <w:rsid w:val="006E646F"/>
    <w:rsid w:val="006F2A90"/>
    <w:rsid w:val="006F5597"/>
    <w:rsid w:val="00702379"/>
    <w:rsid w:val="00710E89"/>
    <w:rsid w:val="00713E85"/>
    <w:rsid w:val="00715C29"/>
    <w:rsid w:val="007207C6"/>
    <w:rsid w:val="00720B8C"/>
    <w:rsid w:val="00720CC0"/>
    <w:rsid w:val="007413A7"/>
    <w:rsid w:val="00742D50"/>
    <w:rsid w:val="00742FE3"/>
    <w:rsid w:val="00744A49"/>
    <w:rsid w:val="00755DB6"/>
    <w:rsid w:val="0076262D"/>
    <w:rsid w:val="00766276"/>
    <w:rsid w:val="007663C2"/>
    <w:rsid w:val="00775D0B"/>
    <w:rsid w:val="00781E63"/>
    <w:rsid w:val="00782B56"/>
    <w:rsid w:val="00782E5C"/>
    <w:rsid w:val="007863DD"/>
    <w:rsid w:val="007927E4"/>
    <w:rsid w:val="007A02E7"/>
    <w:rsid w:val="007A096A"/>
    <w:rsid w:val="007A1BD3"/>
    <w:rsid w:val="007A4DEC"/>
    <w:rsid w:val="007B3404"/>
    <w:rsid w:val="007B4921"/>
    <w:rsid w:val="007B65B0"/>
    <w:rsid w:val="007C6BE3"/>
    <w:rsid w:val="007D102C"/>
    <w:rsid w:val="007E27A3"/>
    <w:rsid w:val="007E5F1B"/>
    <w:rsid w:val="007E6E0C"/>
    <w:rsid w:val="007E7D72"/>
    <w:rsid w:val="007F43CF"/>
    <w:rsid w:val="007F7A06"/>
    <w:rsid w:val="00800739"/>
    <w:rsid w:val="008035BB"/>
    <w:rsid w:val="00804B16"/>
    <w:rsid w:val="00805513"/>
    <w:rsid w:val="00805C35"/>
    <w:rsid w:val="008108CD"/>
    <w:rsid w:val="0081412A"/>
    <w:rsid w:val="00816047"/>
    <w:rsid w:val="00836423"/>
    <w:rsid w:val="00840685"/>
    <w:rsid w:val="00865709"/>
    <w:rsid w:val="00866740"/>
    <w:rsid w:val="00875E24"/>
    <w:rsid w:val="00876E8C"/>
    <w:rsid w:val="00881B8B"/>
    <w:rsid w:val="00885A62"/>
    <w:rsid w:val="00895755"/>
    <w:rsid w:val="008A4756"/>
    <w:rsid w:val="008B1D35"/>
    <w:rsid w:val="008B55BC"/>
    <w:rsid w:val="008C318C"/>
    <w:rsid w:val="008C57C0"/>
    <w:rsid w:val="008C62FE"/>
    <w:rsid w:val="008C6F17"/>
    <w:rsid w:val="008D0D27"/>
    <w:rsid w:val="008D128A"/>
    <w:rsid w:val="008E264C"/>
    <w:rsid w:val="008E5040"/>
    <w:rsid w:val="008F4C7D"/>
    <w:rsid w:val="008F6E57"/>
    <w:rsid w:val="008F77CF"/>
    <w:rsid w:val="00912A97"/>
    <w:rsid w:val="0091362B"/>
    <w:rsid w:val="009153EE"/>
    <w:rsid w:val="00917CF9"/>
    <w:rsid w:val="00921838"/>
    <w:rsid w:val="009336F3"/>
    <w:rsid w:val="0093580E"/>
    <w:rsid w:val="00945C69"/>
    <w:rsid w:val="00946933"/>
    <w:rsid w:val="009723E1"/>
    <w:rsid w:val="0097413D"/>
    <w:rsid w:val="00982409"/>
    <w:rsid w:val="0099029C"/>
    <w:rsid w:val="009A1FD9"/>
    <w:rsid w:val="009A26D2"/>
    <w:rsid w:val="009A4382"/>
    <w:rsid w:val="009B75D2"/>
    <w:rsid w:val="009C3C30"/>
    <w:rsid w:val="009C6D75"/>
    <w:rsid w:val="009C78EE"/>
    <w:rsid w:val="009D1441"/>
    <w:rsid w:val="009D1BB0"/>
    <w:rsid w:val="009D44BB"/>
    <w:rsid w:val="009E2F31"/>
    <w:rsid w:val="009E4D00"/>
    <w:rsid w:val="009E5FF1"/>
    <w:rsid w:val="009E7154"/>
    <w:rsid w:val="009F02CB"/>
    <w:rsid w:val="009F6C8D"/>
    <w:rsid w:val="00A043B4"/>
    <w:rsid w:val="00A04535"/>
    <w:rsid w:val="00A114BB"/>
    <w:rsid w:val="00A13DDF"/>
    <w:rsid w:val="00A305A0"/>
    <w:rsid w:val="00A32ABA"/>
    <w:rsid w:val="00A336AA"/>
    <w:rsid w:val="00A367A0"/>
    <w:rsid w:val="00A41F61"/>
    <w:rsid w:val="00A54FCD"/>
    <w:rsid w:val="00A647BA"/>
    <w:rsid w:val="00A7478A"/>
    <w:rsid w:val="00A75CC1"/>
    <w:rsid w:val="00A910EC"/>
    <w:rsid w:val="00A92901"/>
    <w:rsid w:val="00A94D47"/>
    <w:rsid w:val="00AA60D3"/>
    <w:rsid w:val="00AA632F"/>
    <w:rsid w:val="00AB011B"/>
    <w:rsid w:val="00AC389C"/>
    <w:rsid w:val="00AD51CD"/>
    <w:rsid w:val="00AE2BF8"/>
    <w:rsid w:val="00AE3ABA"/>
    <w:rsid w:val="00AE5C4B"/>
    <w:rsid w:val="00AE756D"/>
    <w:rsid w:val="00AF0F55"/>
    <w:rsid w:val="00AF212B"/>
    <w:rsid w:val="00B02F00"/>
    <w:rsid w:val="00B053EF"/>
    <w:rsid w:val="00B10ECA"/>
    <w:rsid w:val="00B1745F"/>
    <w:rsid w:val="00B24794"/>
    <w:rsid w:val="00B2520D"/>
    <w:rsid w:val="00B35174"/>
    <w:rsid w:val="00B47552"/>
    <w:rsid w:val="00B51437"/>
    <w:rsid w:val="00B54315"/>
    <w:rsid w:val="00B6789F"/>
    <w:rsid w:val="00B70CB4"/>
    <w:rsid w:val="00B747BD"/>
    <w:rsid w:val="00B750E5"/>
    <w:rsid w:val="00BA6399"/>
    <w:rsid w:val="00BB3DCA"/>
    <w:rsid w:val="00BC5DB6"/>
    <w:rsid w:val="00BD0986"/>
    <w:rsid w:val="00BD15CA"/>
    <w:rsid w:val="00BD5724"/>
    <w:rsid w:val="00BD7976"/>
    <w:rsid w:val="00BE0741"/>
    <w:rsid w:val="00BE20AD"/>
    <w:rsid w:val="00BE42E6"/>
    <w:rsid w:val="00BE6C5E"/>
    <w:rsid w:val="00BF0DA1"/>
    <w:rsid w:val="00BF41B1"/>
    <w:rsid w:val="00BF52AF"/>
    <w:rsid w:val="00C03251"/>
    <w:rsid w:val="00C05E58"/>
    <w:rsid w:val="00C11D49"/>
    <w:rsid w:val="00C12D04"/>
    <w:rsid w:val="00C15DC2"/>
    <w:rsid w:val="00C16CFF"/>
    <w:rsid w:val="00C320F9"/>
    <w:rsid w:val="00C36D7E"/>
    <w:rsid w:val="00C378D7"/>
    <w:rsid w:val="00C50162"/>
    <w:rsid w:val="00C54EF8"/>
    <w:rsid w:val="00C564BE"/>
    <w:rsid w:val="00C566DB"/>
    <w:rsid w:val="00C61B91"/>
    <w:rsid w:val="00C63992"/>
    <w:rsid w:val="00C74128"/>
    <w:rsid w:val="00C814B9"/>
    <w:rsid w:val="00C84AB1"/>
    <w:rsid w:val="00C84E4C"/>
    <w:rsid w:val="00C85507"/>
    <w:rsid w:val="00C86907"/>
    <w:rsid w:val="00C91962"/>
    <w:rsid w:val="00C97050"/>
    <w:rsid w:val="00CB0F4D"/>
    <w:rsid w:val="00CB4497"/>
    <w:rsid w:val="00CC3760"/>
    <w:rsid w:val="00CC3DF3"/>
    <w:rsid w:val="00CC6AC7"/>
    <w:rsid w:val="00CD5FED"/>
    <w:rsid w:val="00CE15DA"/>
    <w:rsid w:val="00CE2E75"/>
    <w:rsid w:val="00CE69BE"/>
    <w:rsid w:val="00CF095F"/>
    <w:rsid w:val="00CF0C2A"/>
    <w:rsid w:val="00CF178A"/>
    <w:rsid w:val="00CF682E"/>
    <w:rsid w:val="00CF71E8"/>
    <w:rsid w:val="00D0257C"/>
    <w:rsid w:val="00D15DE7"/>
    <w:rsid w:val="00D2485E"/>
    <w:rsid w:val="00D31951"/>
    <w:rsid w:val="00D31F6B"/>
    <w:rsid w:val="00D3729F"/>
    <w:rsid w:val="00D41ED8"/>
    <w:rsid w:val="00D42182"/>
    <w:rsid w:val="00D50B7B"/>
    <w:rsid w:val="00D64722"/>
    <w:rsid w:val="00D73CC2"/>
    <w:rsid w:val="00D84EFE"/>
    <w:rsid w:val="00D95F0B"/>
    <w:rsid w:val="00D9688F"/>
    <w:rsid w:val="00DC2D4A"/>
    <w:rsid w:val="00DC5061"/>
    <w:rsid w:val="00DD295E"/>
    <w:rsid w:val="00DD3057"/>
    <w:rsid w:val="00DD3F03"/>
    <w:rsid w:val="00DD6127"/>
    <w:rsid w:val="00DD79B8"/>
    <w:rsid w:val="00DE2D8F"/>
    <w:rsid w:val="00DE7912"/>
    <w:rsid w:val="00DF49AD"/>
    <w:rsid w:val="00E01165"/>
    <w:rsid w:val="00E0236C"/>
    <w:rsid w:val="00E02DB8"/>
    <w:rsid w:val="00E06592"/>
    <w:rsid w:val="00E125E3"/>
    <w:rsid w:val="00E176E0"/>
    <w:rsid w:val="00E237B9"/>
    <w:rsid w:val="00E268FB"/>
    <w:rsid w:val="00E2702C"/>
    <w:rsid w:val="00E31ADB"/>
    <w:rsid w:val="00E55F01"/>
    <w:rsid w:val="00E57965"/>
    <w:rsid w:val="00E66794"/>
    <w:rsid w:val="00E82AE4"/>
    <w:rsid w:val="00E84E3D"/>
    <w:rsid w:val="00E86102"/>
    <w:rsid w:val="00E86618"/>
    <w:rsid w:val="00E93F79"/>
    <w:rsid w:val="00E95639"/>
    <w:rsid w:val="00EA7905"/>
    <w:rsid w:val="00EB1998"/>
    <w:rsid w:val="00EB5447"/>
    <w:rsid w:val="00EC0D4F"/>
    <w:rsid w:val="00EC15B2"/>
    <w:rsid w:val="00EC34BE"/>
    <w:rsid w:val="00EC5EF1"/>
    <w:rsid w:val="00EC6059"/>
    <w:rsid w:val="00ED140F"/>
    <w:rsid w:val="00ED6213"/>
    <w:rsid w:val="00EF5C0B"/>
    <w:rsid w:val="00F01502"/>
    <w:rsid w:val="00F03B4C"/>
    <w:rsid w:val="00F05CE9"/>
    <w:rsid w:val="00F065A1"/>
    <w:rsid w:val="00F10796"/>
    <w:rsid w:val="00F117DF"/>
    <w:rsid w:val="00F12B26"/>
    <w:rsid w:val="00F1706F"/>
    <w:rsid w:val="00F23736"/>
    <w:rsid w:val="00F242A4"/>
    <w:rsid w:val="00F2539A"/>
    <w:rsid w:val="00F2619D"/>
    <w:rsid w:val="00F426B5"/>
    <w:rsid w:val="00F431D4"/>
    <w:rsid w:val="00F450E9"/>
    <w:rsid w:val="00F469AE"/>
    <w:rsid w:val="00F55842"/>
    <w:rsid w:val="00F64287"/>
    <w:rsid w:val="00F73B03"/>
    <w:rsid w:val="00F75765"/>
    <w:rsid w:val="00F776DC"/>
    <w:rsid w:val="00F77B07"/>
    <w:rsid w:val="00F83D47"/>
    <w:rsid w:val="00F8411F"/>
    <w:rsid w:val="00F938D4"/>
    <w:rsid w:val="00F97431"/>
    <w:rsid w:val="00FB40D1"/>
    <w:rsid w:val="00FB493E"/>
    <w:rsid w:val="00FB5415"/>
    <w:rsid w:val="00FC2D62"/>
    <w:rsid w:val="00FD4AC5"/>
    <w:rsid w:val="00FD6725"/>
    <w:rsid w:val="00FD7E10"/>
    <w:rsid w:val="00FE4867"/>
    <w:rsid w:val="00FE78D4"/>
    <w:rsid w:val="00FF0A09"/>
    <w:rsid w:val="00FF4898"/>
    <w:rsid w:val="00FF6ED1"/>
    <w:rsid w:val="00FF77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6794A"/>
  <w15:docId w15:val="{0E501419-BA1E-4034-BA68-4EFBCF88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paragraph" w:styleId="Nagwek1">
    <w:name w:val="heading 1"/>
    <w:basedOn w:val="Normalny"/>
    <w:link w:val="Nagwek1Znak"/>
    <w:qFormat/>
    <w:rsid w:val="00145893"/>
    <w:pPr>
      <w:keepNext/>
      <w:numPr>
        <w:numId w:val="1"/>
      </w:numPr>
      <w:suppressAutoHyphens/>
      <w:spacing w:after="0" w:line="240" w:lineRule="auto"/>
      <w:jc w:val="center"/>
      <w:outlineLvl w:val="0"/>
    </w:pPr>
    <w:rPr>
      <w:rFonts w:ascii="Times New Roman" w:eastAsia="Times New Roman" w:hAnsi="Times New Roman" w:cs="Times New Roman"/>
      <w:b/>
      <w:sz w:val="32"/>
      <w:szCs w:val="20"/>
      <w:u w:val="single"/>
      <w:lang w:eastAsia="ar-SA"/>
    </w:rPr>
  </w:style>
  <w:style w:type="paragraph" w:styleId="Nagwek2">
    <w:name w:val="heading 2"/>
    <w:basedOn w:val="Normalny"/>
    <w:link w:val="Nagwek2Znak"/>
    <w:qFormat/>
    <w:rsid w:val="00145893"/>
    <w:pPr>
      <w:keepNext/>
      <w:numPr>
        <w:ilvl w:val="1"/>
        <w:numId w:val="1"/>
      </w:numPr>
      <w:suppressAutoHyphens/>
      <w:spacing w:before="120"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link w:val="Nagwek3Znak"/>
    <w:qFormat/>
    <w:rsid w:val="00145893"/>
    <w:pPr>
      <w:keepNext/>
      <w:numPr>
        <w:ilvl w:val="2"/>
        <w:numId w:val="1"/>
      </w:numPr>
      <w:suppressAutoHyphens/>
      <w:spacing w:after="0" w:line="240" w:lineRule="auto"/>
      <w:outlineLvl w:val="2"/>
    </w:pPr>
    <w:rPr>
      <w:rFonts w:ascii="Times New Roman" w:eastAsia="Times New Roman" w:hAnsi="Times New Roman" w:cs="Times New Roman"/>
      <w:sz w:val="24"/>
      <w:szCs w:val="20"/>
      <w:u w:val="single"/>
      <w:lang w:eastAsia="ar-SA"/>
    </w:rPr>
  </w:style>
  <w:style w:type="paragraph" w:styleId="Nagwek4">
    <w:name w:val="heading 4"/>
    <w:basedOn w:val="Normalny"/>
    <w:link w:val="Nagwek4Znak"/>
    <w:qFormat/>
    <w:rsid w:val="00145893"/>
    <w:pPr>
      <w:keepNext/>
      <w:numPr>
        <w:ilvl w:val="3"/>
        <w:numId w:val="1"/>
      </w:numPr>
      <w:suppressAutoHyphens/>
      <w:spacing w:after="0" w:line="240" w:lineRule="auto"/>
      <w:jc w:val="center"/>
      <w:outlineLvl w:val="3"/>
    </w:pPr>
    <w:rPr>
      <w:rFonts w:ascii="Times New Roman" w:eastAsia="Times New Roman" w:hAnsi="Times New Roman" w:cs="Times New Roman"/>
      <w:sz w:val="32"/>
      <w:szCs w:val="20"/>
      <w:lang w:eastAsia="ar-SA"/>
    </w:rPr>
  </w:style>
  <w:style w:type="paragraph" w:styleId="Nagwek5">
    <w:name w:val="heading 5"/>
    <w:basedOn w:val="Normalny"/>
    <w:link w:val="Nagwek5Znak"/>
    <w:qFormat/>
    <w:rsid w:val="00145893"/>
    <w:pPr>
      <w:keepNext/>
      <w:numPr>
        <w:ilvl w:val="4"/>
        <w:numId w:val="1"/>
      </w:numPr>
      <w:suppressAutoHyphens/>
      <w:spacing w:after="0" w:line="240" w:lineRule="auto"/>
      <w:jc w:val="both"/>
      <w:outlineLvl w:val="4"/>
    </w:pPr>
    <w:rPr>
      <w:rFonts w:ascii="Times New Roman" w:eastAsia="Times New Roman" w:hAnsi="Times New Roman" w:cs="Times New Roman"/>
      <w:i/>
      <w:sz w:val="24"/>
      <w:szCs w:val="20"/>
      <w:lang w:eastAsia="ar-SA"/>
    </w:rPr>
  </w:style>
  <w:style w:type="paragraph" w:styleId="Nagwek6">
    <w:name w:val="heading 6"/>
    <w:basedOn w:val="Normalny"/>
    <w:link w:val="Nagwek6Znak"/>
    <w:qFormat/>
    <w:rsid w:val="00145893"/>
    <w:pPr>
      <w:keepNext/>
      <w:numPr>
        <w:ilvl w:val="5"/>
        <w:numId w:val="1"/>
      </w:numPr>
      <w:suppressAutoHyphens/>
      <w:spacing w:after="0" w:line="240" w:lineRule="auto"/>
      <w:outlineLvl w:val="5"/>
    </w:pPr>
    <w:rPr>
      <w:rFonts w:ascii="Times New Roman" w:eastAsia="Times New Roman" w:hAnsi="Times New Roman" w:cs="Times New Roman"/>
      <w:i/>
      <w:sz w:val="24"/>
      <w:szCs w:val="20"/>
      <w:lang w:eastAsia="ar-SA"/>
    </w:rPr>
  </w:style>
  <w:style w:type="paragraph" w:styleId="Nagwek7">
    <w:name w:val="heading 7"/>
    <w:basedOn w:val="Normalny"/>
    <w:link w:val="Nagwek7Znak"/>
    <w:qFormat/>
    <w:rsid w:val="00145893"/>
    <w:pPr>
      <w:keepNext/>
      <w:numPr>
        <w:ilvl w:val="6"/>
        <w:numId w:val="1"/>
      </w:numPr>
      <w:suppressAutoHyphens/>
      <w:spacing w:before="120" w:after="0" w:line="240" w:lineRule="auto"/>
      <w:jc w:val="center"/>
      <w:outlineLvl w:val="6"/>
    </w:pPr>
    <w:rPr>
      <w:rFonts w:ascii="Times New Roman" w:eastAsia="Times New Roman" w:hAnsi="Times New Roman" w:cs="Times New Roman"/>
      <w:b/>
      <w:sz w:val="24"/>
      <w:szCs w:val="20"/>
      <w:lang w:eastAsia="ar-SA"/>
    </w:rPr>
  </w:style>
  <w:style w:type="paragraph" w:styleId="Nagwek8">
    <w:name w:val="heading 8"/>
    <w:basedOn w:val="Normalny"/>
    <w:link w:val="Nagwek8Znak"/>
    <w:qFormat/>
    <w:rsid w:val="00145893"/>
    <w:pPr>
      <w:keepNext/>
      <w:numPr>
        <w:ilvl w:val="7"/>
        <w:numId w:val="1"/>
      </w:numPr>
      <w:suppressAutoHyphens/>
      <w:spacing w:before="120" w:after="0" w:line="240" w:lineRule="auto"/>
      <w:jc w:val="center"/>
      <w:outlineLvl w:val="7"/>
    </w:pPr>
    <w:rPr>
      <w:rFonts w:ascii="Times New Roman" w:eastAsia="Times New Roman" w:hAnsi="Times New Roman" w:cs="Times New Roman"/>
      <w:b/>
      <w:szCs w:val="20"/>
      <w:u w:val="single"/>
      <w:lang w:eastAsia="ar-SA"/>
    </w:rPr>
  </w:style>
  <w:style w:type="paragraph" w:styleId="Nagwek9">
    <w:name w:val="heading 9"/>
    <w:basedOn w:val="Normalny"/>
    <w:link w:val="Nagwek9Znak"/>
    <w:qFormat/>
    <w:rsid w:val="00145893"/>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45893"/>
    <w:rPr>
      <w:rFonts w:ascii="Times New Roman" w:eastAsia="Times New Roman" w:hAnsi="Times New Roman" w:cs="Times New Roman"/>
      <w:b/>
      <w:sz w:val="32"/>
      <w:szCs w:val="20"/>
      <w:u w:val="single"/>
      <w:lang w:eastAsia="ar-SA"/>
    </w:rPr>
  </w:style>
  <w:style w:type="character" w:customStyle="1" w:styleId="Nagwek2Znak">
    <w:name w:val="Nagłówek 2 Znak"/>
    <w:basedOn w:val="Domylnaczcionkaakapitu"/>
    <w:link w:val="Nagwek2"/>
    <w:qFormat/>
    <w:rsid w:val="00145893"/>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qFormat/>
    <w:rsid w:val="00145893"/>
    <w:rPr>
      <w:rFonts w:ascii="Times New Roman" w:eastAsia="Times New Roman" w:hAnsi="Times New Roman" w:cs="Times New Roman"/>
      <w:sz w:val="24"/>
      <w:szCs w:val="20"/>
      <w:u w:val="single"/>
      <w:lang w:eastAsia="ar-SA"/>
    </w:rPr>
  </w:style>
  <w:style w:type="character" w:customStyle="1" w:styleId="Nagwek4Znak">
    <w:name w:val="Nagłówek 4 Znak"/>
    <w:basedOn w:val="Domylnaczcionkaakapitu"/>
    <w:link w:val="Nagwek4"/>
    <w:qFormat/>
    <w:rsid w:val="00145893"/>
    <w:rPr>
      <w:rFonts w:ascii="Times New Roman" w:eastAsia="Times New Roman" w:hAnsi="Times New Roman" w:cs="Times New Roman"/>
      <w:sz w:val="32"/>
      <w:szCs w:val="20"/>
      <w:lang w:eastAsia="ar-SA"/>
    </w:rPr>
  </w:style>
  <w:style w:type="character" w:customStyle="1" w:styleId="Nagwek5Znak">
    <w:name w:val="Nagłówek 5 Znak"/>
    <w:basedOn w:val="Domylnaczcionkaakapitu"/>
    <w:link w:val="Nagwek5"/>
    <w:qFormat/>
    <w:rsid w:val="00145893"/>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qFormat/>
    <w:rsid w:val="00145893"/>
    <w:rPr>
      <w:rFonts w:ascii="Times New Roman" w:eastAsia="Times New Roman" w:hAnsi="Times New Roman" w:cs="Times New Roman"/>
      <w:i/>
      <w:sz w:val="24"/>
      <w:szCs w:val="20"/>
      <w:lang w:eastAsia="ar-SA"/>
    </w:rPr>
  </w:style>
  <w:style w:type="character" w:customStyle="1" w:styleId="Nagwek7Znak">
    <w:name w:val="Nagłówek 7 Znak"/>
    <w:basedOn w:val="Domylnaczcionkaakapitu"/>
    <w:link w:val="Nagwek7"/>
    <w:qFormat/>
    <w:rsid w:val="00145893"/>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qFormat/>
    <w:rsid w:val="00145893"/>
    <w:rPr>
      <w:rFonts w:ascii="Times New Roman" w:eastAsia="Times New Roman" w:hAnsi="Times New Roman" w:cs="Times New Roman"/>
      <w:b/>
      <w:sz w:val="22"/>
      <w:szCs w:val="20"/>
      <w:u w:val="single"/>
      <w:lang w:eastAsia="ar-SA"/>
    </w:rPr>
  </w:style>
  <w:style w:type="character" w:customStyle="1" w:styleId="Nagwek9Znak">
    <w:name w:val="Nagłówek 9 Znak"/>
    <w:basedOn w:val="Domylnaczcionkaakapitu"/>
    <w:link w:val="Nagwek9"/>
    <w:qFormat/>
    <w:rsid w:val="00145893"/>
    <w:rPr>
      <w:rFonts w:ascii="Times New Roman" w:eastAsia="Times New Roman" w:hAnsi="Times New Roman" w:cs="Times New Roman"/>
      <w:b/>
      <w:sz w:val="24"/>
      <w:szCs w:val="20"/>
      <w:u w:val="single"/>
      <w:lang w:eastAsia="ar-SA"/>
    </w:rPr>
  </w:style>
  <w:style w:type="character" w:customStyle="1" w:styleId="WW8Num1z0">
    <w:name w:val="WW8Num1z0"/>
    <w:qFormat/>
    <w:rsid w:val="00145893"/>
  </w:style>
  <w:style w:type="character" w:customStyle="1" w:styleId="WW8Num2z0">
    <w:name w:val="WW8Num2z0"/>
    <w:qFormat/>
    <w:rsid w:val="00145893"/>
    <w:rPr>
      <w:rFonts w:ascii="Symbol" w:hAnsi="Symbol" w:cs="Symbol"/>
      <w:sz w:val="22"/>
    </w:rPr>
  </w:style>
  <w:style w:type="character" w:customStyle="1" w:styleId="WW8Num3z0">
    <w:name w:val="WW8Num3z0"/>
    <w:qFormat/>
    <w:rsid w:val="00145893"/>
    <w:rPr>
      <w:rFonts w:ascii="Symbol" w:hAnsi="Symbol" w:cs="Symbol"/>
    </w:rPr>
  </w:style>
  <w:style w:type="character" w:customStyle="1" w:styleId="WW8Num3z1">
    <w:name w:val="WW8Num3z1"/>
    <w:qFormat/>
    <w:rsid w:val="00145893"/>
    <w:rPr>
      <w:rFonts w:ascii="Courier New" w:hAnsi="Courier New" w:cs="Courier New"/>
    </w:rPr>
  </w:style>
  <w:style w:type="character" w:customStyle="1" w:styleId="WW8Num3z2">
    <w:name w:val="WW8Num3z2"/>
    <w:qFormat/>
    <w:rsid w:val="00145893"/>
    <w:rPr>
      <w:rFonts w:ascii="Wingdings" w:hAnsi="Wingdings" w:cs="Wingdings"/>
    </w:rPr>
  </w:style>
  <w:style w:type="character" w:customStyle="1" w:styleId="WW8Num4z0">
    <w:name w:val="WW8Num4z0"/>
    <w:qFormat/>
    <w:rsid w:val="00145893"/>
    <w:rPr>
      <w:rFonts w:ascii="Symbol" w:hAnsi="Symbol" w:cs="Symbol"/>
    </w:rPr>
  </w:style>
  <w:style w:type="character" w:customStyle="1" w:styleId="WW8Num4z1">
    <w:name w:val="WW8Num4z1"/>
    <w:qFormat/>
    <w:rsid w:val="00145893"/>
    <w:rPr>
      <w:rFonts w:ascii="Courier New" w:hAnsi="Courier New" w:cs="Courier New"/>
    </w:rPr>
  </w:style>
  <w:style w:type="character" w:customStyle="1" w:styleId="WW8Num4z2">
    <w:name w:val="WW8Num4z2"/>
    <w:qFormat/>
    <w:rsid w:val="00145893"/>
    <w:rPr>
      <w:rFonts w:ascii="Wingdings" w:hAnsi="Wingdings" w:cs="Wingdings"/>
    </w:rPr>
  </w:style>
  <w:style w:type="character" w:customStyle="1" w:styleId="WW8Num5z0">
    <w:name w:val="WW8Num5z0"/>
    <w:qFormat/>
    <w:rsid w:val="00145893"/>
    <w:rPr>
      <w:rFonts w:ascii="Symbol" w:hAnsi="Symbol" w:cs="Symbol"/>
    </w:rPr>
  </w:style>
  <w:style w:type="character" w:customStyle="1" w:styleId="WW8Num5z1">
    <w:name w:val="WW8Num5z1"/>
    <w:qFormat/>
    <w:rsid w:val="00145893"/>
    <w:rPr>
      <w:rFonts w:ascii="Times New Roman" w:eastAsia="Times New Roman" w:hAnsi="Times New Roman" w:cs="Times New Roman"/>
    </w:rPr>
  </w:style>
  <w:style w:type="character" w:customStyle="1" w:styleId="WW8Num5z2">
    <w:name w:val="WW8Num5z2"/>
    <w:qFormat/>
    <w:rsid w:val="00145893"/>
    <w:rPr>
      <w:rFonts w:ascii="Wingdings" w:hAnsi="Wingdings" w:cs="Wingdings"/>
    </w:rPr>
  </w:style>
  <w:style w:type="character" w:customStyle="1" w:styleId="WW8Num5z4">
    <w:name w:val="WW8Num5z4"/>
    <w:qFormat/>
    <w:rsid w:val="00145893"/>
    <w:rPr>
      <w:rFonts w:ascii="Courier New" w:hAnsi="Courier New" w:cs="Courier New"/>
    </w:rPr>
  </w:style>
  <w:style w:type="character" w:customStyle="1" w:styleId="WW8Num6z0">
    <w:name w:val="WW8Num6z0"/>
    <w:qFormat/>
    <w:rsid w:val="00145893"/>
    <w:rPr>
      <w:rFonts w:ascii="Symbol" w:hAnsi="Symbol" w:cs="Symbol"/>
    </w:rPr>
  </w:style>
  <w:style w:type="character" w:customStyle="1" w:styleId="WW8Num6z1">
    <w:name w:val="WW8Num6z1"/>
    <w:qFormat/>
    <w:rsid w:val="00145893"/>
    <w:rPr>
      <w:rFonts w:ascii="Courier New" w:hAnsi="Courier New" w:cs="Courier New"/>
    </w:rPr>
  </w:style>
  <w:style w:type="character" w:customStyle="1" w:styleId="WW8Num6z2">
    <w:name w:val="WW8Num6z2"/>
    <w:qFormat/>
    <w:rsid w:val="00145893"/>
    <w:rPr>
      <w:rFonts w:ascii="Wingdings" w:hAnsi="Wingdings" w:cs="Wingdings"/>
    </w:rPr>
  </w:style>
  <w:style w:type="character" w:customStyle="1" w:styleId="WW8Num7z0">
    <w:name w:val="WW8Num7z0"/>
    <w:qFormat/>
    <w:rsid w:val="00145893"/>
    <w:rPr>
      <w:rFonts w:ascii="Times New Roman" w:hAnsi="Times New Roman" w:cs="Times New Roman"/>
      <w:b w:val="0"/>
      <w:i w:val="0"/>
      <w:sz w:val="22"/>
    </w:rPr>
  </w:style>
  <w:style w:type="character" w:customStyle="1" w:styleId="WW8Num7z1">
    <w:name w:val="WW8Num7z1"/>
    <w:qFormat/>
    <w:rsid w:val="00145893"/>
    <w:rPr>
      <w:rFonts w:ascii="Wingdings" w:hAnsi="Wingdings" w:cs="Wingdings"/>
    </w:rPr>
  </w:style>
  <w:style w:type="character" w:customStyle="1" w:styleId="WW8Num7z3">
    <w:name w:val="WW8Num7z3"/>
    <w:qFormat/>
    <w:rsid w:val="00145893"/>
    <w:rPr>
      <w:rFonts w:ascii="Symbol" w:hAnsi="Symbol" w:cs="Symbol"/>
    </w:rPr>
  </w:style>
  <w:style w:type="character" w:customStyle="1" w:styleId="WW8Num7z4">
    <w:name w:val="WW8Num7z4"/>
    <w:qFormat/>
    <w:rsid w:val="00145893"/>
    <w:rPr>
      <w:rFonts w:ascii="Courier New" w:hAnsi="Courier New" w:cs="Courier New"/>
    </w:rPr>
  </w:style>
  <w:style w:type="character" w:customStyle="1" w:styleId="WW8Num8z0">
    <w:name w:val="WW8Num8z0"/>
    <w:qFormat/>
    <w:rsid w:val="00145893"/>
    <w:rPr>
      <w:rFonts w:ascii="Times New Roman" w:eastAsia="Times New Roman" w:hAnsi="Times New Roman" w:cs="Times New Roman"/>
    </w:rPr>
  </w:style>
  <w:style w:type="character" w:customStyle="1" w:styleId="WW8Num8z1">
    <w:name w:val="WW8Num8z1"/>
    <w:qFormat/>
    <w:rsid w:val="00145893"/>
    <w:rPr>
      <w:rFonts w:ascii="Courier New" w:hAnsi="Courier New" w:cs="Courier New"/>
    </w:rPr>
  </w:style>
  <w:style w:type="character" w:customStyle="1" w:styleId="WW8Num8z2">
    <w:name w:val="WW8Num8z2"/>
    <w:qFormat/>
    <w:rsid w:val="00145893"/>
    <w:rPr>
      <w:rFonts w:ascii="Wingdings" w:hAnsi="Wingdings" w:cs="Wingdings"/>
    </w:rPr>
  </w:style>
  <w:style w:type="character" w:customStyle="1" w:styleId="WW8Num8z3">
    <w:name w:val="WW8Num8z3"/>
    <w:qFormat/>
    <w:rsid w:val="00145893"/>
    <w:rPr>
      <w:rFonts w:ascii="Symbol" w:hAnsi="Symbol" w:cs="Symbol"/>
    </w:rPr>
  </w:style>
  <w:style w:type="character" w:customStyle="1" w:styleId="WW8Num9z0">
    <w:name w:val="WW8Num9z0"/>
    <w:qFormat/>
    <w:rsid w:val="00145893"/>
    <w:rPr>
      <w:rFonts w:ascii="Symbol" w:hAnsi="Symbol" w:cs="Symbol"/>
    </w:rPr>
  </w:style>
  <w:style w:type="character" w:customStyle="1" w:styleId="WW8Num9z1">
    <w:name w:val="WW8Num9z1"/>
    <w:qFormat/>
    <w:rsid w:val="00145893"/>
    <w:rPr>
      <w:rFonts w:ascii="Courier New" w:hAnsi="Courier New" w:cs="Courier New"/>
    </w:rPr>
  </w:style>
  <w:style w:type="character" w:customStyle="1" w:styleId="WW8Num9z2">
    <w:name w:val="WW8Num9z2"/>
    <w:qFormat/>
    <w:rsid w:val="00145893"/>
    <w:rPr>
      <w:rFonts w:ascii="Wingdings" w:hAnsi="Wingdings" w:cs="Wingdings"/>
    </w:rPr>
  </w:style>
  <w:style w:type="character" w:customStyle="1" w:styleId="WW8Num10z0">
    <w:name w:val="WW8Num10z0"/>
    <w:qFormat/>
    <w:rsid w:val="00145893"/>
    <w:rPr>
      <w:rFonts w:ascii="Times New Roman" w:hAnsi="Times New Roman" w:cs="Times New Roman"/>
      <w:b w:val="0"/>
      <w:i w:val="0"/>
      <w:sz w:val="22"/>
    </w:rPr>
  </w:style>
  <w:style w:type="character" w:customStyle="1" w:styleId="WW8Num10z1">
    <w:name w:val="WW8Num10z1"/>
    <w:qFormat/>
    <w:rsid w:val="00145893"/>
    <w:rPr>
      <w:rFonts w:ascii="Courier New" w:hAnsi="Courier New" w:cs="Courier New"/>
    </w:rPr>
  </w:style>
  <w:style w:type="character" w:customStyle="1" w:styleId="WW8Num10z2">
    <w:name w:val="WW8Num10z2"/>
    <w:qFormat/>
    <w:rsid w:val="00145893"/>
    <w:rPr>
      <w:rFonts w:ascii="Wingdings" w:hAnsi="Wingdings" w:cs="Wingdings"/>
    </w:rPr>
  </w:style>
  <w:style w:type="character" w:customStyle="1" w:styleId="WW8Num10z3">
    <w:name w:val="WW8Num10z3"/>
    <w:qFormat/>
    <w:rsid w:val="00145893"/>
    <w:rPr>
      <w:rFonts w:ascii="Symbol" w:hAnsi="Symbol" w:cs="Symbol"/>
    </w:rPr>
  </w:style>
  <w:style w:type="character" w:customStyle="1" w:styleId="WW8Num11z0">
    <w:name w:val="WW8Num11z0"/>
    <w:qFormat/>
    <w:rsid w:val="00145893"/>
    <w:rPr>
      <w:rFonts w:ascii="Times New Roman" w:hAnsi="Times New Roman" w:cs="Times New Roman"/>
      <w:b w:val="0"/>
      <w:i w:val="0"/>
      <w:sz w:val="22"/>
    </w:rPr>
  </w:style>
  <w:style w:type="character" w:customStyle="1" w:styleId="WW8Num11z1">
    <w:name w:val="WW8Num11z1"/>
    <w:qFormat/>
    <w:rsid w:val="00145893"/>
    <w:rPr>
      <w:rFonts w:ascii="Courier New" w:hAnsi="Courier New" w:cs="Courier New"/>
    </w:rPr>
  </w:style>
  <w:style w:type="character" w:customStyle="1" w:styleId="WW8Num11z2">
    <w:name w:val="WW8Num11z2"/>
    <w:qFormat/>
    <w:rsid w:val="00145893"/>
    <w:rPr>
      <w:rFonts w:ascii="Wingdings" w:hAnsi="Wingdings" w:cs="Wingdings"/>
    </w:rPr>
  </w:style>
  <w:style w:type="character" w:customStyle="1" w:styleId="WW8Num11z3">
    <w:name w:val="WW8Num11z3"/>
    <w:qFormat/>
    <w:rsid w:val="00145893"/>
    <w:rPr>
      <w:rFonts w:ascii="Symbol" w:hAnsi="Symbol" w:cs="Symbol"/>
    </w:rPr>
  </w:style>
  <w:style w:type="character" w:customStyle="1" w:styleId="WW8Num12z0">
    <w:name w:val="WW8Num12z0"/>
    <w:qFormat/>
    <w:rsid w:val="00145893"/>
    <w:rPr>
      <w:rFonts w:ascii="Times New Roman" w:hAnsi="Times New Roman" w:cs="Times New Roman"/>
      <w:b w:val="0"/>
      <w:i w:val="0"/>
      <w:sz w:val="22"/>
    </w:rPr>
  </w:style>
  <w:style w:type="character" w:customStyle="1" w:styleId="WW8Num12z1">
    <w:name w:val="WW8Num12z1"/>
    <w:qFormat/>
    <w:rsid w:val="00145893"/>
    <w:rPr>
      <w:rFonts w:ascii="Courier New" w:hAnsi="Courier New" w:cs="Courier New"/>
    </w:rPr>
  </w:style>
  <w:style w:type="character" w:customStyle="1" w:styleId="WW8Num12z2">
    <w:name w:val="WW8Num12z2"/>
    <w:qFormat/>
    <w:rsid w:val="00145893"/>
    <w:rPr>
      <w:rFonts w:ascii="Wingdings" w:hAnsi="Wingdings" w:cs="Wingdings"/>
    </w:rPr>
  </w:style>
  <w:style w:type="character" w:customStyle="1" w:styleId="WW8Num12z3">
    <w:name w:val="WW8Num12z3"/>
    <w:qFormat/>
    <w:rsid w:val="00145893"/>
    <w:rPr>
      <w:rFonts w:ascii="Symbol" w:hAnsi="Symbol" w:cs="Symbol"/>
    </w:rPr>
  </w:style>
  <w:style w:type="character" w:customStyle="1" w:styleId="WW8Num13z0">
    <w:name w:val="WW8Num13z0"/>
    <w:qFormat/>
    <w:rsid w:val="00145893"/>
    <w:rPr>
      <w:rFonts w:ascii="Symbol" w:hAnsi="Symbol" w:cs="Symbol"/>
    </w:rPr>
  </w:style>
  <w:style w:type="character" w:customStyle="1" w:styleId="WW8Num13z1">
    <w:name w:val="WW8Num13z1"/>
    <w:qFormat/>
    <w:rsid w:val="00145893"/>
    <w:rPr>
      <w:rFonts w:ascii="Courier New" w:hAnsi="Courier New" w:cs="Courier New"/>
    </w:rPr>
  </w:style>
  <w:style w:type="character" w:customStyle="1" w:styleId="WW8Num13z2">
    <w:name w:val="WW8Num13z2"/>
    <w:qFormat/>
    <w:rsid w:val="00145893"/>
    <w:rPr>
      <w:rFonts w:ascii="Wingdings" w:hAnsi="Wingdings" w:cs="Wingdings"/>
    </w:rPr>
  </w:style>
  <w:style w:type="character" w:customStyle="1" w:styleId="WW8Num14z0">
    <w:name w:val="WW8Num14z0"/>
    <w:qFormat/>
    <w:rsid w:val="00145893"/>
    <w:rPr>
      <w:rFonts w:ascii="Symbol" w:hAnsi="Symbol" w:cs="Symbol"/>
    </w:rPr>
  </w:style>
  <w:style w:type="character" w:customStyle="1" w:styleId="WW8Num14z1">
    <w:name w:val="WW8Num14z1"/>
    <w:qFormat/>
    <w:rsid w:val="00145893"/>
    <w:rPr>
      <w:rFonts w:ascii="Courier New" w:hAnsi="Courier New" w:cs="Courier New"/>
    </w:rPr>
  </w:style>
  <w:style w:type="character" w:customStyle="1" w:styleId="WW8Num14z2">
    <w:name w:val="WW8Num14z2"/>
    <w:qFormat/>
    <w:rsid w:val="00145893"/>
    <w:rPr>
      <w:rFonts w:ascii="Wingdings" w:hAnsi="Wingdings" w:cs="Wingdings"/>
    </w:rPr>
  </w:style>
  <w:style w:type="character" w:customStyle="1" w:styleId="WW8Num15z0">
    <w:name w:val="WW8Num15z0"/>
    <w:qFormat/>
    <w:rsid w:val="00145893"/>
    <w:rPr>
      <w:rFonts w:ascii="Symbol" w:hAnsi="Symbol" w:cs="Symbol"/>
    </w:rPr>
  </w:style>
  <w:style w:type="character" w:customStyle="1" w:styleId="WW8Num15z1">
    <w:name w:val="WW8Num15z1"/>
    <w:qFormat/>
    <w:rsid w:val="00145893"/>
    <w:rPr>
      <w:rFonts w:ascii="Times New Roman" w:eastAsia="Times New Roman" w:hAnsi="Times New Roman" w:cs="Times New Roman"/>
    </w:rPr>
  </w:style>
  <w:style w:type="character" w:customStyle="1" w:styleId="WW8Num15z2">
    <w:name w:val="WW8Num15z2"/>
    <w:qFormat/>
    <w:rsid w:val="00145893"/>
    <w:rPr>
      <w:rFonts w:ascii="Wingdings" w:hAnsi="Wingdings" w:cs="Wingdings"/>
    </w:rPr>
  </w:style>
  <w:style w:type="character" w:customStyle="1" w:styleId="WW8Num15z4">
    <w:name w:val="WW8Num15z4"/>
    <w:qFormat/>
    <w:rsid w:val="00145893"/>
    <w:rPr>
      <w:rFonts w:ascii="Courier New" w:hAnsi="Courier New" w:cs="Courier New"/>
    </w:rPr>
  </w:style>
  <w:style w:type="character" w:customStyle="1" w:styleId="WW8Num16z0">
    <w:name w:val="WW8Num16z0"/>
    <w:qFormat/>
    <w:rsid w:val="00145893"/>
    <w:rPr>
      <w:sz w:val="22"/>
      <w:szCs w:val="22"/>
    </w:rPr>
  </w:style>
  <w:style w:type="character" w:customStyle="1" w:styleId="WW8Num17z0">
    <w:name w:val="WW8Num17z0"/>
    <w:qFormat/>
    <w:rsid w:val="00145893"/>
    <w:rPr>
      <w:rFonts w:ascii="Symbol" w:hAnsi="Symbol" w:cs="Symbol"/>
      <w:sz w:val="22"/>
    </w:rPr>
  </w:style>
  <w:style w:type="character" w:customStyle="1" w:styleId="WW8Num17z1">
    <w:name w:val="WW8Num17z1"/>
    <w:qFormat/>
    <w:rsid w:val="00145893"/>
  </w:style>
  <w:style w:type="character" w:customStyle="1" w:styleId="WW8Num17z2">
    <w:name w:val="WW8Num17z2"/>
    <w:qFormat/>
    <w:rsid w:val="00145893"/>
    <w:rPr>
      <w:rFonts w:ascii="Wingdings" w:hAnsi="Wingdings" w:cs="Wingdings"/>
    </w:rPr>
  </w:style>
  <w:style w:type="character" w:customStyle="1" w:styleId="WW8Num17z4">
    <w:name w:val="WW8Num17z4"/>
    <w:qFormat/>
    <w:rsid w:val="00145893"/>
    <w:rPr>
      <w:rFonts w:ascii="Courier New" w:hAnsi="Courier New" w:cs="Courier New"/>
    </w:rPr>
  </w:style>
  <w:style w:type="character" w:customStyle="1" w:styleId="WW8Num18z0">
    <w:name w:val="WW8Num18z0"/>
    <w:qFormat/>
    <w:rsid w:val="00145893"/>
    <w:rPr>
      <w:rFonts w:ascii="Wingdings" w:hAnsi="Wingdings" w:cs="Wingdings"/>
    </w:rPr>
  </w:style>
  <w:style w:type="character" w:customStyle="1" w:styleId="WW8Num18z1">
    <w:name w:val="WW8Num18z1"/>
    <w:qFormat/>
    <w:rsid w:val="00145893"/>
    <w:rPr>
      <w:rFonts w:ascii="Courier New" w:hAnsi="Courier New" w:cs="Courier New"/>
    </w:rPr>
  </w:style>
  <w:style w:type="character" w:customStyle="1" w:styleId="WW8Num18z3">
    <w:name w:val="WW8Num18z3"/>
    <w:qFormat/>
    <w:rsid w:val="00145893"/>
    <w:rPr>
      <w:rFonts w:ascii="Symbol" w:hAnsi="Symbol" w:cs="Symbol"/>
    </w:rPr>
  </w:style>
  <w:style w:type="character" w:customStyle="1" w:styleId="WW8Num19z0">
    <w:name w:val="WW8Num19z0"/>
    <w:qFormat/>
    <w:rsid w:val="00145893"/>
    <w:rPr>
      <w:rFonts w:ascii="Times New Roman" w:hAnsi="Times New Roman" w:cs="Times New Roman"/>
      <w:b w:val="0"/>
      <w:i w:val="0"/>
      <w:sz w:val="22"/>
    </w:rPr>
  </w:style>
  <w:style w:type="character" w:customStyle="1" w:styleId="WW8Num19z1">
    <w:name w:val="WW8Num19z1"/>
    <w:qFormat/>
    <w:rsid w:val="00145893"/>
    <w:rPr>
      <w:rFonts w:ascii="Courier New" w:hAnsi="Courier New" w:cs="Courier New"/>
    </w:rPr>
  </w:style>
  <w:style w:type="character" w:customStyle="1" w:styleId="WW8Num19z2">
    <w:name w:val="WW8Num19z2"/>
    <w:qFormat/>
    <w:rsid w:val="00145893"/>
    <w:rPr>
      <w:rFonts w:ascii="Wingdings" w:hAnsi="Wingdings" w:cs="Wingdings"/>
    </w:rPr>
  </w:style>
  <w:style w:type="character" w:customStyle="1" w:styleId="WW8Num19z3">
    <w:name w:val="WW8Num19z3"/>
    <w:qFormat/>
    <w:rsid w:val="00145893"/>
    <w:rPr>
      <w:rFonts w:ascii="Symbol" w:hAnsi="Symbol" w:cs="Symbol"/>
    </w:rPr>
  </w:style>
  <w:style w:type="character" w:customStyle="1" w:styleId="WW8Num20z0">
    <w:name w:val="WW8Num20z0"/>
    <w:qFormat/>
    <w:rsid w:val="00145893"/>
    <w:rPr>
      <w:rFonts w:ascii="Symbol" w:hAnsi="Symbol" w:cs="Symbol"/>
    </w:rPr>
  </w:style>
  <w:style w:type="character" w:customStyle="1" w:styleId="WW8Num20z1">
    <w:name w:val="WW8Num20z1"/>
    <w:qFormat/>
    <w:rsid w:val="00145893"/>
    <w:rPr>
      <w:rFonts w:ascii="Courier New" w:hAnsi="Courier New" w:cs="Courier New"/>
    </w:rPr>
  </w:style>
  <w:style w:type="character" w:customStyle="1" w:styleId="WW8Num20z2">
    <w:name w:val="WW8Num20z2"/>
    <w:qFormat/>
    <w:rsid w:val="00145893"/>
    <w:rPr>
      <w:rFonts w:ascii="Wingdings" w:hAnsi="Wingdings" w:cs="Wingdings"/>
    </w:rPr>
  </w:style>
  <w:style w:type="character" w:customStyle="1" w:styleId="WW8Num21z0">
    <w:name w:val="WW8Num21z0"/>
    <w:qFormat/>
    <w:rsid w:val="00145893"/>
    <w:rPr>
      <w:rFonts w:ascii="Symbol" w:hAnsi="Symbol" w:cs="Symbol"/>
    </w:rPr>
  </w:style>
  <w:style w:type="character" w:customStyle="1" w:styleId="WW8Num21z1">
    <w:name w:val="WW8Num21z1"/>
    <w:qFormat/>
    <w:rsid w:val="00145893"/>
    <w:rPr>
      <w:rFonts w:ascii="Courier New" w:hAnsi="Courier New" w:cs="Courier New"/>
    </w:rPr>
  </w:style>
  <w:style w:type="character" w:customStyle="1" w:styleId="WW8Num21z2">
    <w:name w:val="WW8Num21z2"/>
    <w:qFormat/>
    <w:rsid w:val="00145893"/>
    <w:rPr>
      <w:rFonts w:ascii="Wingdings" w:hAnsi="Wingdings" w:cs="Wingdings"/>
    </w:rPr>
  </w:style>
  <w:style w:type="character" w:customStyle="1" w:styleId="WW8Num22z0">
    <w:name w:val="WW8Num22z0"/>
    <w:qFormat/>
    <w:rsid w:val="00145893"/>
    <w:rPr>
      <w:rFonts w:ascii="Wingdings" w:hAnsi="Wingdings" w:cs="Wingdings"/>
    </w:rPr>
  </w:style>
  <w:style w:type="character" w:customStyle="1" w:styleId="WW8Num22z1">
    <w:name w:val="WW8Num22z1"/>
    <w:qFormat/>
    <w:rsid w:val="00145893"/>
    <w:rPr>
      <w:rFonts w:ascii="Courier New" w:hAnsi="Courier New" w:cs="Courier New"/>
    </w:rPr>
  </w:style>
  <w:style w:type="character" w:customStyle="1" w:styleId="WW8Num22z3">
    <w:name w:val="WW8Num22z3"/>
    <w:qFormat/>
    <w:rsid w:val="00145893"/>
    <w:rPr>
      <w:rFonts w:ascii="Symbol" w:hAnsi="Symbol" w:cs="Symbol"/>
    </w:rPr>
  </w:style>
  <w:style w:type="character" w:customStyle="1" w:styleId="WW8Num23z0">
    <w:name w:val="WW8Num23z0"/>
    <w:qFormat/>
    <w:rsid w:val="00145893"/>
    <w:rPr>
      <w:rFonts w:ascii="Symbol" w:hAnsi="Symbol" w:cs="Symbol"/>
      <w:sz w:val="22"/>
      <w:szCs w:val="22"/>
    </w:rPr>
  </w:style>
  <w:style w:type="character" w:customStyle="1" w:styleId="WW8Num23z1">
    <w:name w:val="WW8Num23z1"/>
    <w:qFormat/>
    <w:rsid w:val="00145893"/>
    <w:rPr>
      <w:rFonts w:ascii="Courier New" w:hAnsi="Courier New" w:cs="Courier New"/>
    </w:rPr>
  </w:style>
  <w:style w:type="character" w:customStyle="1" w:styleId="WW8Num23z2">
    <w:name w:val="WW8Num23z2"/>
    <w:qFormat/>
    <w:rsid w:val="00145893"/>
    <w:rPr>
      <w:rFonts w:ascii="Wingdings" w:hAnsi="Wingdings" w:cs="Wingdings"/>
    </w:rPr>
  </w:style>
  <w:style w:type="character" w:customStyle="1" w:styleId="WW8Num24z0">
    <w:name w:val="WW8Num24z0"/>
    <w:qFormat/>
    <w:rsid w:val="00145893"/>
  </w:style>
  <w:style w:type="character" w:customStyle="1" w:styleId="WW8Num25z0">
    <w:name w:val="WW8Num25z0"/>
    <w:qFormat/>
    <w:rsid w:val="00145893"/>
    <w:rPr>
      <w:rFonts w:ascii="Times New Roman" w:eastAsia="Times New Roman" w:hAnsi="Times New Roman" w:cs="Times New Roman"/>
      <w:sz w:val="22"/>
    </w:rPr>
  </w:style>
  <w:style w:type="character" w:customStyle="1" w:styleId="WW8Num25z1">
    <w:name w:val="WW8Num25z1"/>
    <w:qFormat/>
    <w:rsid w:val="00145893"/>
    <w:rPr>
      <w:rFonts w:ascii="Courier New" w:hAnsi="Courier New" w:cs="Courier New"/>
    </w:rPr>
  </w:style>
  <w:style w:type="character" w:customStyle="1" w:styleId="WW8Num25z2">
    <w:name w:val="WW8Num25z2"/>
    <w:qFormat/>
    <w:rsid w:val="00145893"/>
    <w:rPr>
      <w:rFonts w:ascii="Wingdings" w:hAnsi="Wingdings" w:cs="Wingdings"/>
    </w:rPr>
  </w:style>
  <w:style w:type="character" w:customStyle="1" w:styleId="WW8Num25z3">
    <w:name w:val="WW8Num25z3"/>
    <w:qFormat/>
    <w:rsid w:val="00145893"/>
    <w:rPr>
      <w:rFonts w:ascii="Symbol" w:hAnsi="Symbol" w:cs="Symbol"/>
    </w:rPr>
  </w:style>
  <w:style w:type="character" w:customStyle="1" w:styleId="WW8Num26z0">
    <w:name w:val="WW8Num26z0"/>
    <w:qFormat/>
    <w:rsid w:val="00145893"/>
  </w:style>
  <w:style w:type="character" w:customStyle="1" w:styleId="WW8Num26z2">
    <w:name w:val="WW8Num26z2"/>
    <w:qFormat/>
    <w:rsid w:val="00145893"/>
  </w:style>
  <w:style w:type="character" w:customStyle="1" w:styleId="WW8Num26z3">
    <w:name w:val="WW8Num26z3"/>
    <w:qFormat/>
    <w:rsid w:val="00145893"/>
  </w:style>
  <w:style w:type="character" w:customStyle="1" w:styleId="WW8Num26z4">
    <w:name w:val="WW8Num26z4"/>
    <w:qFormat/>
    <w:rsid w:val="00145893"/>
  </w:style>
  <w:style w:type="character" w:customStyle="1" w:styleId="WW8Num26z5">
    <w:name w:val="WW8Num26z5"/>
    <w:qFormat/>
    <w:rsid w:val="00145893"/>
  </w:style>
  <w:style w:type="character" w:customStyle="1" w:styleId="WW8Num26z6">
    <w:name w:val="WW8Num26z6"/>
    <w:qFormat/>
    <w:rsid w:val="00145893"/>
  </w:style>
  <w:style w:type="character" w:customStyle="1" w:styleId="WW8Num26z7">
    <w:name w:val="WW8Num26z7"/>
    <w:qFormat/>
    <w:rsid w:val="00145893"/>
  </w:style>
  <w:style w:type="character" w:customStyle="1" w:styleId="WW8Num26z8">
    <w:name w:val="WW8Num26z8"/>
    <w:qFormat/>
    <w:rsid w:val="00145893"/>
  </w:style>
  <w:style w:type="character" w:customStyle="1" w:styleId="WW8Num27z0">
    <w:name w:val="WW8Num27z0"/>
    <w:qFormat/>
    <w:rsid w:val="00145893"/>
    <w:rPr>
      <w:rFonts w:ascii="Wingdings" w:hAnsi="Wingdings" w:cs="Wingdings"/>
    </w:rPr>
  </w:style>
  <w:style w:type="character" w:customStyle="1" w:styleId="WW8Num27z1">
    <w:name w:val="WW8Num27z1"/>
    <w:qFormat/>
    <w:rsid w:val="00145893"/>
    <w:rPr>
      <w:rFonts w:ascii="Courier New" w:hAnsi="Courier New" w:cs="Courier New"/>
    </w:rPr>
  </w:style>
  <w:style w:type="character" w:customStyle="1" w:styleId="WW8Num27z3">
    <w:name w:val="WW8Num27z3"/>
    <w:qFormat/>
    <w:rsid w:val="00145893"/>
    <w:rPr>
      <w:rFonts w:ascii="Symbol" w:hAnsi="Symbol" w:cs="Symbol"/>
    </w:rPr>
  </w:style>
  <w:style w:type="character" w:customStyle="1" w:styleId="WW8Num28z0">
    <w:name w:val="WW8Num28z0"/>
    <w:qFormat/>
    <w:rsid w:val="00145893"/>
    <w:rPr>
      <w:rFonts w:ascii="Wingdings" w:hAnsi="Wingdings" w:cs="Wingdings"/>
      <w:sz w:val="22"/>
    </w:rPr>
  </w:style>
  <w:style w:type="character" w:customStyle="1" w:styleId="WW8Num28z1">
    <w:name w:val="WW8Num28z1"/>
    <w:qFormat/>
    <w:rsid w:val="00145893"/>
    <w:rPr>
      <w:rFonts w:ascii="Courier New" w:hAnsi="Courier New" w:cs="Courier New"/>
    </w:rPr>
  </w:style>
  <w:style w:type="character" w:customStyle="1" w:styleId="WW8Num28z3">
    <w:name w:val="WW8Num28z3"/>
    <w:qFormat/>
    <w:rsid w:val="00145893"/>
    <w:rPr>
      <w:rFonts w:ascii="Symbol" w:hAnsi="Symbol" w:cs="Symbol"/>
    </w:rPr>
  </w:style>
  <w:style w:type="character" w:customStyle="1" w:styleId="WW8Num29z0">
    <w:name w:val="WW8Num29z0"/>
    <w:qFormat/>
    <w:rsid w:val="00145893"/>
    <w:rPr>
      <w:rFonts w:ascii="Wingdings" w:hAnsi="Wingdings" w:cs="Wingdings"/>
    </w:rPr>
  </w:style>
  <w:style w:type="character" w:customStyle="1" w:styleId="WW8Num29z1">
    <w:name w:val="WW8Num29z1"/>
    <w:qFormat/>
    <w:rsid w:val="00145893"/>
    <w:rPr>
      <w:rFonts w:ascii="Courier New" w:hAnsi="Courier New" w:cs="Courier New"/>
    </w:rPr>
  </w:style>
  <w:style w:type="character" w:customStyle="1" w:styleId="WW8Num29z3">
    <w:name w:val="WW8Num29z3"/>
    <w:qFormat/>
    <w:rsid w:val="00145893"/>
    <w:rPr>
      <w:rFonts w:ascii="Symbol" w:hAnsi="Symbol" w:cs="Symbol"/>
    </w:rPr>
  </w:style>
  <w:style w:type="character" w:customStyle="1" w:styleId="WW8Num30z0">
    <w:name w:val="WW8Num30z0"/>
    <w:qFormat/>
    <w:rsid w:val="00145893"/>
    <w:rPr>
      <w:sz w:val="22"/>
    </w:rPr>
  </w:style>
  <w:style w:type="character" w:customStyle="1" w:styleId="WW8Num31z0">
    <w:name w:val="WW8Num31z0"/>
    <w:qFormat/>
    <w:rsid w:val="00145893"/>
    <w:rPr>
      <w:rFonts w:ascii="Symbol" w:hAnsi="Symbol" w:cs="Symbol"/>
      <w:sz w:val="22"/>
    </w:rPr>
  </w:style>
  <w:style w:type="character" w:customStyle="1" w:styleId="WW8Num31z1">
    <w:name w:val="WW8Num31z1"/>
    <w:qFormat/>
    <w:rsid w:val="00145893"/>
    <w:rPr>
      <w:rFonts w:ascii="Courier New" w:hAnsi="Courier New" w:cs="Courier New"/>
    </w:rPr>
  </w:style>
  <w:style w:type="character" w:customStyle="1" w:styleId="WW8Num31z2">
    <w:name w:val="WW8Num31z2"/>
    <w:qFormat/>
    <w:rsid w:val="00145893"/>
    <w:rPr>
      <w:rFonts w:ascii="Wingdings" w:hAnsi="Wingdings" w:cs="Wingdings"/>
    </w:rPr>
  </w:style>
  <w:style w:type="character" w:customStyle="1" w:styleId="WW8Num32z0">
    <w:name w:val="WW8Num32z0"/>
    <w:qFormat/>
    <w:rsid w:val="00145893"/>
    <w:rPr>
      <w:rFonts w:ascii="Symbol" w:hAnsi="Symbol" w:cs="Symbol"/>
    </w:rPr>
  </w:style>
  <w:style w:type="character" w:customStyle="1" w:styleId="WW8Num33z0">
    <w:name w:val="WW8Num33z0"/>
    <w:qFormat/>
    <w:rsid w:val="00145893"/>
    <w:rPr>
      <w:rFonts w:ascii="Symbol" w:hAnsi="Symbol" w:cs="Symbol"/>
      <w:sz w:val="22"/>
      <w:szCs w:val="22"/>
    </w:rPr>
  </w:style>
  <w:style w:type="character" w:customStyle="1" w:styleId="WW8Num33z1">
    <w:name w:val="WW8Num33z1"/>
    <w:qFormat/>
    <w:rsid w:val="00145893"/>
    <w:rPr>
      <w:rFonts w:ascii="Courier New" w:hAnsi="Courier New" w:cs="Courier New"/>
    </w:rPr>
  </w:style>
  <w:style w:type="character" w:customStyle="1" w:styleId="WW8Num33z2">
    <w:name w:val="WW8Num33z2"/>
    <w:qFormat/>
    <w:rsid w:val="00145893"/>
    <w:rPr>
      <w:rFonts w:ascii="Wingdings" w:hAnsi="Wingdings" w:cs="Wingdings"/>
    </w:rPr>
  </w:style>
  <w:style w:type="character" w:customStyle="1" w:styleId="WW8NumSt1z0">
    <w:name w:val="WW8NumSt1z0"/>
    <w:qFormat/>
    <w:rsid w:val="00145893"/>
    <w:rPr>
      <w:rFonts w:ascii="Symbol" w:hAnsi="Symbol" w:cs="Symbol"/>
      <w:sz w:val="22"/>
    </w:rPr>
  </w:style>
  <w:style w:type="character" w:customStyle="1" w:styleId="WW8NumSt5z0">
    <w:name w:val="WW8NumSt5z0"/>
    <w:qFormat/>
    <w:rsid w:val="00145893"/>
    <w:rPr>
      <w:rFonts w:ascii="Symbol" w:hAnsi="Symbol" w:cs="Symbol"/>
    </w:rPr>
  </w:style>
  <w:style w:type="character" w:customStyle="1" w:styleId="WW8NumSt22z0">
    <w:name w:val="WW8NumSt22z0"/>
    <w:qFormat/>
    <w:rsid w:val="00145893"/>
    <w:rPr>
      <w:rFonts w:ascii="Symbol" w:hAnsi="Symbol" w:cs="Symbol"/>
    </w:rPr>
  </w:style>
  <w:style w:type="character" w:customStyle="1" w:styleId="Domylnaczcionkaakapitu1">
    <w:name w:val="Domyślna czcionka akapitu1"/>
    <w:qFormat/>
    <w:rsid w:val="00145893"/>
  </w:style>
  <w:style w:type="character" w:styleId="Numerstrony">
    <w:name w:val="page number"/>
    <w:basedOn w:val="Domylnaczcionkaakapitu1"/>
    <w:qFormat/>
    <w:rsid w:val="00145893"/>
  </w:style>
  <w:style w:type="character" w:customStyle="1" w:styleId="Znakiprzypiswdolnych">
    <w:name w:val="Znaki przypisów dolnych"/>
    <w:qFormat/>
    <w:rsid w:val="00145893"/>
    <w:rPr>
      <w:vertAlign w:val="superscript"/>
    </w:rPr>
  </w:style>
  <w:style w:type="character" w:customStyle="1" w:styleId="czeinternetowe">
    <w:name w:val="Łącze internetowe"/>
    <w:rsid w:val="00145893"/>
    <w:rPr>
      <w:color w:val="0000FF"/>
      <w:u w:val="single"/>
    </w:rPr>
  </w:style>
  <w:style w:type="character" w:styleId="UyteHipercze">
    <w:name w:val="FollowedHyperlink"/>
    <w:qFormat/>
    <w:rsid w:val="00145893"/>
    <w:rPr>
      <w:color w:val="800080"/>
      <w:u w:val="single"/>
    </w:rPr>
  </w:style>
  <w:style w:type="character" w:styleId="Pogrubienie">
    <w:name w:val="Strong"/>
    <w:qFormat/>
    <w:rsid w:val="00145893"/>
    <w:rPr>
      <w:b/>
      <w:bCs/>
    </w:rPr>
  </w:style>
  <w:style w:type="character" w:customStyle="1" w:styleId="TekstdymkaZnak">
    <w:name w:val="Tekst dymka Znak"/>
    <w:qFormat/>
    <w:rsid w:val="00145893"/>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45893"/>
    <w:rPr>
      <w:vertAlign w:val="superscript"/>
    </w:rPr>
  </w:style>
  <w:style w:type="character" w:customStyle="1" w:styleId="TekstpodstawowyZnak">
    <w:name w:val="Tekst podstawowy Znak"/>
    <w:basedOn w:val="Domylnaczcionkaakapitu"/>
    <w:link w:val="Tekstpodstawowy"/>
    <w:qFormat/>
    <w:rsid w:val="00145893"/>
    <w:rPr>
      <w:rFonts w:ascii="Times New Roman" w:eastAsia="Times New Roman" w:hAnsi="Times New Roman" w:cs="Times New Roman"/>
      <w:color w:val="000000"/>
      <w:sz w:val="26"/>
      <w:szCs w:val="20"/>
      <w:lang w:eastAsia="ar-SA"/>
    </w:rPr>
  </w:style>
  <w:style w:type="character" w:customStyle="1" w:styleId="NagwekZnak">
    <w:name w:val="Nagłówek Znak"/>
    <w:basedOn w:val="Domylnaczcionkaakapitu"/>
    <w:link w:val="Nagwek"/>
    <w:uiPriority w:val="99"/>
    <w:qFormat/>
    <w:rsid w:val="00145893"/>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145893"/>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qFormat/>
    <w:rsid w:val="00145893"/>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qFormat/>
    <w:rsid w:val="00145893"/>
    <w:rPr>
      <w:rFonts w:ascii="Tahoma" w:eastAsia="Times New Roman" w:hAnsi="Tahoma" w:cs="Tahoma"/>
      <w:sz w:val="20"/>
      <w:szCs w:val="20"/>
      <w:shd w:val="clear" w:color="auto" w:fill="000080"/>
      <w:lang w:eastAsia="ar-SA"/>
    </w:rPr>
  </w:style>
  <w:style w:type="character" w:customStyle="1" w:styleId="TekstprzypisudolnegoZnak">
    <w:name w:val="Tekst przypisu dolnego Znak"/>
    <w:basedOn w:val="Domylnaczcionkaakapitu"/>
    <w:link w:val="Tekstprzypisudolnego"/>
    <w:qFormat/>
    <w:rsid w:val="00145893"/>
    <w:rPr>
      <w:rFonts w:ascii="Times New Roman" w:eastAsia="Times New Roman" w:hAnsi="Times New Roman" w:cs="Times New Roman"/>
      <w:sz w:val="20"/>
      <w:szCs w:val="20"/>
      <w:lang w:eastAsia="ar-SA"/>
    </w:rPr>
  </w:style>
  <w:style w:type="character" w:customStyle="1" w:styleId="TytuZnak">
    <w:name w:val="Tytuł Znak"/>
    <w:basedOn w:val="Domylnaczcionkaakapitu"/>
    <w:link w:val="Tytu"/>
    <w:qFormat/>
    <w:rsid w:val="00145893"/>
    <w:rPr>
      <w:rFonts w:ascii="Times New Roman" w:eastAsia="Times New Roman" w:hAnsi="Times New Roman" w:cs="Times New Roman"/>
      <w:b/>
      <w:color w:val="000000"/>
      <w:sz w:val="28"/>
      <w:szCs w:val="20"/>
      <w:lang w:eastAsia="ar-SA"/>
    </w:rPr>
  </w:style>
  <w:style w:type="character" w:customStyle="1" w:styleId="PodtytuZnak">
    <w:name w:val="Podtytuł Znak"/>
    <w:basedOn w:val="Domylnaczcionkaakapitu"/>
    <w:link w:val="Podtytu"/>
    <w:qFormat/>
    <w:rsid w:val="00145893"/>
    <w:rPr>
      <w:rFonts w:ascii="Arial" w:eastAsia="Microsoft YaHei" w:hAnsi="Arial" w:cs="Mangal"/>
      <w:i/>
      <w:iCs/>
      <w:sz w:val="28"/>
      <w:szCs w:val="28"/>
      <w:lang w:eastAsia="ar-SA"/>
    </w:rPr>
  </w:style>
  <w:style w:type="character" w:customStyle="1" w:styleId="TekstdymkaZnak1">
    <w:name w:val="Tekst dymka Znak1"/>
    <w:basedOn w:val="Domylnaczcionkaakapitu"/>
    <w:link w:val="Tekstdymka"/>
    <w:qFormat/>
    <w:rsid w:val="00145893"/>
    <w:rPr>
      <w:rFonts w:ascii="Tahoma" w:eastAsia="Times New Roman" w:hAnsi="Tahoma" w:cs="Tahoma"/>
      <w:sz w:val="16"/>
      <w:szCs w:val="16"/>
      <w:lang w:eastAsia="ar-SA"/>
    </w:rPr>
  </w:style>
  <w:style w:type="character" w:customStyle="1" w:styleId="ZwykytekstZnak">
    <w:name w:val="Zwykły tekst Znak"/>
    <w:basedOn w:val="Domylnaczcionkaakapitu"/>
    <w:link w:val="Zwykytekst"/>
    <w:qFormat/>
    <w:rsid w:val="00145893"/>
    <w:rPr>
      <w:rFonts w:ascii="Courier New" w:eastAsia="Times New Roman" w:hAnsi="Courier New" w:cs="Times New Roman"/>
      <w:sz w:val="20"/>
      <w:szCs w:val="20"/>
      <w:lang w:val="x-none" w:eastAsia="x-none"/>
    </w:rPr>
  </w:style>
  <w:style w:type="character" w:customStyle="1" w:styleId="pktZnak">
    <w:name w:val="pkt Znak"/>
    <w:qFormat/>
    <w:rsid w:val="00145893"/>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qFormat/>
    <w:rsid w:val="00145893"/>
    <w:rPr>
      <w:rFonts w:ascii="Times New Roman" w:eastAsia="Lucida Sans Unicode" w:hAnsi="Times New Roman" w:cs="Times New Roman"/>
      <w:color w:val="000000"/>
      <w:sz w:val="16"/>
      <w:szCs w:val="16"/>
    </w:rPr>
  </w:style>
  <w:style w:type="character" w:styleId="Odwoaniedokomentarza">
    <w:name w:val="annotation reference"/>
    <w:uiPriority w:val="99"/>
    <w:semiHidden/>
    <w:unhideWhenUsed/>
    <w:qFormat/>
    <w:rsid w:val="00145893"/>
    <w:rPr>
      <w:sz w:val="16"/>
      <w:szCs w:val="16"/>
    </w:rPr>
  </w:style>
  <w:style w:type="character" w:customStyle="1" w:styleId="TekstkomentarzaZnak">
    <w:name w:val="Tekst komentarza Znak"/>
    <w:basedOn w:val="Domylnaczcionkaakapitu"/>
    <w:link w:val="Tekstkomentarza"/>
    <w:qFormat/>
    <w:rsid w:val="00145893"/>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145893"/>
    <w:rPr>
      <w:rFonts w:ascii="Times New Roman" w:eastAsia="Times New Roman" w:hAnsi="Times New Roman" w:cs="Times New Roman"/>
      <w:b/>
      <w:bCs/>
      <w:sz w:val="20"/>
      <w:szCs w:val="20"/>
      <w:lang w:eastAsia="ar-SA"/>
    </w:rPr>
  </w:style>
  <w:style w:type="character" w:styleId="Odwoanieintensywne">
    <w:name w:val="Intense Reference"/>
    <w:uiPriority w:val="32"/>
    <w:qFormat/>
    <w:rsid w:val="00145893"/>
    <w:rPr>
      <w:b/>
      <w:bCs/>
      <w:smallCaps/>
      <w:color w:val="5B9BD5"/>
      <w:spacing w:val="5"/>
    </w:rPr>
  </w:style>
  <w:style w:type="character" w:customStyle="1" w:styleId="AkapitzlistZnak">
    <w:name w:val="Akapit z listą Znak"/>
    <w:link w:val="Akapitzlist"/>
    <w:qFormat/>
    <w:locked/>
    <w:rsid w:val="00145893"/>
  </w:style>
  <w:style w:type="character" w:customStyle="1" w:styleId="TekstprzypisukocowegoZnak">
    <w:name w:val="Tekst przypisu końcowego Znak"/>
    <w:basedOn w:val="Domylnaczcionkaakapitu"/>
    <w:link w:val="Tekstprzypisukocowego"/>
    <w:uiPriority w:val="99"/>
    <w:semiHidden/>
    <w:qFormat/>
    <w:rsid w:val="00145893"/>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145893"/>
    <w:rPr>
      <w:vertAlign w:val="superscript"/>
    </w:rPr>
  </w:style>
  <w:style w:type="character" w:customStyle="1" w:styleId="Odwoaniedokomentarza1">
    <w:name w:val="Odwołanie do komentarza1"/>
    <w:qFormat/>
    <w:rsid w:val="00145893"/>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i w:val="0"/>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b w:val="0"/>
      <w:i w:val="0"/>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b w:val="0"/>
      <w:i w:val="0"/>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val="0"/>
      <w:i w:val="0"/>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Calibri"/>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Times New Roman"/>
      <w:b w:val="0"/>
      <w:i w:val="0"/>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Times New Roman"/>
      <w:b w:val="0"/>
      <w:i w:val="0"/>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Times New Roman"/>
      <w:b w:val="0"/>
      <w:i w:val="0"/>
      <w:sz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Open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b w:val="0"/>
      <w:i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imes New Roman"/>
      <w:b w:val="0"/>
      <w:i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b w:val="0"/>
      <w:i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imes New Roman"/>
      <w:b w:val="0"/>
      <w:i w:val="0"/>
      <w:sz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Open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OpenSymbol"/>
    </w:rPr>
  </w:style>
  <w:style w:type="character" w:customStyle="1" w:styleId="ListLabel185">
    <w:name w:val="ListLabel 185"/>
    <w:qFormat/>
    <w:rPr>
      <w:rFonts w:cs="Calibri"/>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Times New Roman"/>
      <w:b w:val="0"/>
      <w:i w:val="0"/>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Times New Roman"/>
      <w:b w:val="0"/>
      <w:i w:val="0"/>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imes New Roman"/>
      <w:b w:val="0"/>
      <w:i w:val="0"/>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283">
    <w:name w:val="ListLabel 283"/>
    <w:qFormat/>
    <w:rPr>
      <w:rFonts w:cs="Open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b w:val="0"/>
      <w:i w:val="0"/>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Times New Roman"/>
      <w:b w:val="0"/>
      <w:i w:val="0"/>
      <w:sz w:val="22"/>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Times New Roman"/>
      <w:b w:val="0"/>
      <w:i w:val="0"/>
      <w:sz w:val="22"/>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Open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Open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Open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OpenSymbol"/>
    </w:rPr>
  </w:style>
  <w:style w:type="character" w:customStyle="1" w:styleId="ListLabel382">
    <w:name w:val="ListLabel 382"/>
    <w:qFormat/>
    <w:rPr>
      <w:rFonts w:cs="Calibri"/>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Times New Roman"/>
      <w:b w:val="0"/>
      <w:i w:val="0"/>
      <w:sz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Times New Roman"/>
      <w:b w:val="0"/>
      <w:i w:val="0"/>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Times New Roman"/>
      <w:b w:val="0"/>
      <w:i w:val="0"/>
      <w:sz w:val="22"/>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Znakinumeracji">
    <w:name w:val="Znaki numeracji"/>
    <w:qFormat/>
  </w:style>
  <w:style w:type="character" w:customStyle="1" w:styleId="ListLabel489">
    <w:name w:val="ListLabel 489"/>
    <w:qFormat/>
    <w:rPr>
      <w:rFonts w:cs="Open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Open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Open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OpenSymbol"/>
    </w:rPr>
  </w:style>
  <w:style w:type="character" w:customStyle="1" w:styleId="ListLabel552">
    <w:name w:val="ListLabel 552"/>
    <w:qFormat/>
    <w:rPr>
      <w:rFonts w:cs="Calibri"/>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imes New Roman"/>
      <w:b w:val="0"/>
      <w:i w:val="0"/>
      <w:sz w:val="22"/>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Times New Roman"/>
      <w:b w:val="0"/>
      <w:i w:val="0"/>
      <w:sz w:val="22"/>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Times New Roman"/>
      <w:b w:val="0"/>
      <w:i w:val="0"/>
      <w:sz w:val="22"/>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val="0"/>
      <w:i w:val="0"/>
      <w:sz w:val="22"/>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imes New Roman"/>
      <w:b w:val="0"/>
      <w:i w:val="0"/>
      <w:sz w:val="22"/>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Times New Roman"/>
      <w:b w:val="0"/>
      <w:i w:val="0"/>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Courier New"/>
    </w:rPr>
  </w:style>
  <w:style w:type="character" w:customStyle="1" w:styleId="ListLabel748">
    <w:name w:val="ListLabel 748"/>
    <w:qFormat/>
    <w:rPr>
      <w:rFonts w:cs="Courier New"/>
    </w:rPr>
  </w:style>
  <w:style w:type="character" w:customStyle="1" w:styleId="ListLabel749">
    <w:name w:val="ListLabel 749"/>
    <w:qFormat/>
    <w:rPr>
      <w:rFonts w:cs="Courier New"/>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cs="Courier New"/>
    </w:rPr>
  </w:style>
  <w:style w:type="character" w:customStyle="1" w:styleId="ListLabel754">
    <w:name w:val="ListLabel 754"/>
    <w:qFormat/>
    <w:rPr>
      <w:rFonts w:cs="Courier New"/>
    </w:rPr>
  </w:style>
  <w:style w:type="character" w:customStyle="1" w:styleId="ListLabel755">
    <w:name w:val="ListLabel 755"/>
    <w:qFormat/>
    <w:rPr>
      <w:rFonts w:cs="Courier New"/>
    </w:rPr>
  </w:style>
  <w:style w:type="character" w:customStyle="1" w:styleId="ListLabel756">
    <w:name w:val="ListLabel 756"/>
    <w:qFormat/>
    <w:rPr>
      <w:rFonts w:cs="Courier New"/>
    </w:rPr>
  </w:style>
  <w:style w:type="character" w:customStyle="1" w:styleId="ListLabel757">
    <w:name w:val="ListLabel 757"/>
    <w:qFormat/>
    <w:rPr>
      <w:rFonts w:cs="Courier New"/>
    </w:rPr>
  </w:style>
  <w:style w:type="character" w:customStyle="1" w:styleId="ListLabel758">
    <w:name w:val="ListLabel 758"/>
    <w:qFormat/>
    <w:rPr>
      <w:rFonts w:cs="Courier New"/>
    </w:rPr>
  </w:style>
  <w:style w:type="character" w:customStyle="1" w:styleId="ListLabel759">
    <w:name w:val="ListLabel 759"/>
    <w:qFormat/>
    <w:rPr>
      <w:rFonts w:cs="Courier New"/>
    </w:rPr>
  </w:style>
  <w:style w:type="character" w:customStyle="1" w:styleId="ListLabel760">
    <w:name w:val="ListLabel 760"/>
    <w:qFormat/>
    <w:rPr>
      <w:rFonts w:cs="Courier New"/>
    </w:rPr>
  </w:style>
  <w:style w:type="character" w:customStyle="1" w:styleId="ListLabel761">
    <w:name w:val="ListLabel 761"/>
    <w:qFormat/>
    <w:rPr>
      <w:rFonts w:cs="Courier New"/>
    </w:rPr>
  </w:style>
  <w:style w:type="character" w:customStyle="1" w:styleId="ListLabel762">
    <w:name w:val="ListLabel 762"/>
    <w:qFormat/>
    <w:rPr>
      <w:rFonts w:cs="Courier New"/>
    </w:rPr>
  </w:style>
  <w:style w:type="character" w:customStyle="1" w:styleId="ListLabel763">
    <w:name w:val="ListLabel 763"/>
    <w:qFormat/>
    <w:rPr>
      <w:rFonts w:cs="Courier New"/>
    </w:rPr>
  </w:style>
  <w:style w:type="character" w:customStyle="1" w:styleId="ListLabel764">
    <w:name w:val="ListLabel 764"/>
    <w:qFormat/>
    <w:rPr>
      <w:rFonts w:cs="Courier New"/>
    </w:rPr>
  </w:style>
  <w:style w:type="character" w:customStyle="1" w:styleId="ListLabel765">
    <w:name w:val="ListLabel 765"/>
    <w:qFormat/>
    <w:rPr>
      <w:rFonts w:cs="Courier New"/>
    </w:rPr>
  </w:style>
  <w:style w:type="character" w:customStyle="1" w:styleId="ListLabel766">
    <w:name w:val="ListLabel 766"/>
    <w:qFormat/>
    <w:rPr>
      <w:rFonts w:cs="Courier New"/>
    </w:rPr>
  </w:style>
  <w:style w:type="character" w:customStyle="1" w:styleId="ListLabel767">
    <w:name w:val="ListLabel 767"/>
    <w:qFormat/>
    <w:rPr>
      <w:rFonts w:cs="Courier New"/>
    </w:rPr>
  </w:style>
  <w:style w:type="character" w:customStyle="1" w:styleId="ListLabel768">
    <w:name w:val="ListLabel 768"/>
    <w:qFormat/>
    <w:rPr>
      <w:rFonts w:cs="Courier New"/>
    </w:rPr>
  </w:style>
  <w:style w:type="character" w:customStyle="1" w:styleId="ListLabel769">
    <w:name w:val="ListLabel 769"/>
    <w:qFormat/>
    <w:rPr>
      <w:rFonts w:cs="Courier New"/>
    </w:rPr>
  </w:style>
  <w:style w:type="character" w:customStyle="1" w:styleId="ListLabel770">
    <w:name w:val="ListLabel 770"/>
    <w:qFormat/>
    <w:rPr>
      <w:rFonts w:cs="Courier New"/>
    </w:rPr>
  </w:style>
  <w:style w:type="paragraph" w:styleId="Nagwek">
    <w:name w:val="header"/>
    <w:basedOn w:val="Normalny"/>
    <w:next w:val="Tekstpodstawowy"/>
    <w:link w:val="Nagwek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145893"/>
    <w:pPr>
      <w:suppressAutoHyphens/>
      <w:spacing w:after="0" w:line="240" w:lineRule="auto"/>
    </w:pPr>
    <w:rPr>
      <w:rFonts w:ascii="Times New Roman" w:eastAsia="Times New Roman" w:hAnsi="Times New Roman" w:cs="Times New Roman"/>
      <w:color w:val="000000"/>
      <w:sz w:val="26"/>
      <w:szCs w:val="20"/>
      <w:lang w:eastAsia="ar-SA"/>
    </w:rPr>
  </w:style>
  <w:style w:type="paragraph" w:styleId="Lista">
    <w:name w:val="List"/>
    <w:basedOn w:val="Tekstpodstawowy"/>
    <w:rsid w:val="00145893"/>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145893"/>
    <w:pPr>
      <w:suppressLineNumbers/>
      <w:suppressAutoHyphens/>
      <w:spacing w:after="0" w:line="240" w:lineRule="auto"/>
    </w:pPr>
    <w:rPr>
      <w:rFonts w:ascii="Times New Roman" w:eastAsia="Times New Roman" w:hAnsi="Times New Roman" w:cs="Mangal"/>
      <w:sz w:val="20"/>
      <w:szCs w:val="20"/>
      <w:lang w:eastAsia="ar-SA"/>
    </w:rPr>
  </w:style>
  <w:style w:type="paragraph" w:styleId="Bezodstpw">
    <w:name w:val="No Spacing"/>
    <w:uiPriority w:val="1"/>
    <w:qFormat/>
    <w:rsid w:val="00A211A9"/>
    <w:rPr>
      <w:sz w:val="22"/>
    </w:rPr>
  </w:style>
  <w:style w:type="paragraph" w:styleId="Akapitzlist">
    <w:name w:val="List Paragraph"/>
    <w:basedOn w:val="Normalny"/>
    <w:link w:val="AkapitzlistZnak"/>
    <w:uiPriority w:val="34"/>
    <w:qFormat/>
    <w:rsid w:val="003C19A9"/>
    <w:pPr>
      <w:ind w:left="720"/>
      <w:contextualSpacing/>
    </w:pPr>
  </w:style>
  <w:style w:type="paragraph" w:customStyle="1" w:styleId="Nagwek10">
    <w:name w:val="Nagłówek1"/>
    <w:basedOn w:val="Normalny"/>
    <w:qFormat/>
    <w:rsid w:val="00145893"/>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1458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Ela">
    <w:name w:val="Ela"/>
    <w:qFormat/>
    <w:rsid w:val="00145893"/>
    <w:pPr>
      <w:suppressAutoHyphens/>
    </w:pPr>
    <w:rPr>
      <w:rFonts w:ascii="Times New Roman" w:eastAsia="Times New Roman" w:hAnsi="Times New Roman" w:cs="Times New Roman"/>
      <w:color w:val="000000"/>
      <w:sz w:val="24"/>
      <w:szCs w:val="20"/>
      <w:lang w:eastAsia="ar-SA"/>
    </w:rPr>
  </w:style>
  <w:style w:type="paragraph" w:customStyle="1" w:styleId="gog">
    <w:name w:val="gog"/>
    <w:qFormat/>
    <w:rsid w:val="00145893"/>
    <w:pPr>
      <w:suppressAutoHyphens/>
    </w:pPr>
    <w:rPr>
      <w:rFonts w:ascii="Times New Roman" w:eastAsia="Times New Roman" w:hAnsi="Times New Roman" w:cs="Times New Roman"/>
      <w:color w:val="000000"/>
      <w:sz w:val="26"/>
      <w:szCs w:val="20"/>
      <w:lang w:eastAsia="ar-SA"/>
    </w:rPr>
  </w:style>
  <w:style w:type="paragraph" w:styleId="Stopka">
    <w:name w:val="footer"/>
    <w:basedOn w:val="Normalny"/>
    <w:link w:val="Stopka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1">
    <w:name w:val="Tekst podstawowy 21"/>
    <w:basedOn w:val="Normalny"/>
    <w:qFormat/>
    <w:rsid w:val="00145893"/>
    <w:pPr>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145893"/>
    <w:pPr>
      <w:suppressAutoHyphens/>
      <w:spacing w:before="120" w:after="0" w:line="240" w:lineRule="auto"/>
      <w:jc w:val="center"/>
    </w:pPr>
    <w:rPr>
      <w:rFonts w:ascii="Times New Roman" w:eastAsia="Times New Roman" w:hAnsi="Times New Roman" w:cs="Times New Roman"/>
      <w:b/>
      <w:i/>
      <w:sz w:val="32"/>
      <w:szCs w:val="20"/>
      <w:lang w:eastAsia="ar-SA"/>
    </w:rPr>
  </w:style>
  <w:style w:type="paragraph" w:styleId="Tekstpodstawowywcity">
    <w:name w:val="Body Text Indent"/>
    <w:basedOn w:val="Normalny"/>
    <w:link w:val="TekstpodstawowywcityZnak"/>
    <w:rsid w:val="00145893"/>
    <w:pPr>
      <w:suppressAutoHyphens/>
      <w:spacing w:before="120" w:after="0" w:line="240" w:lineRule="auto"/>
      <w:ind w:left="1418"/>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qFormat/>
    <w:rsid w:val="00145893"/>
    <w:pPr>
      <w:suppressAutoHyphens/>
      <w:spacing w:before="120" w:after="0" w:line="240" w:lineRule="auto"/>
      <w:ind w:left="229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qFormat/>
    <w:rsid w:val="00145893"/>
    <w:pPr>
      <w:suppressAutoHyphens/>
      <w:spacing w:before="120" w:after="0" w:line="240" w:lineRule="auto"/>
      <w:ind w:left="1700"/>
      <w:jc w:val="both"/>
    </w:pPr>
    <w:rPr>
      <w:rFonts w:ascii="Times New Roman" w:eastAsia="Times New Roman" w:hAnsi="Times New Roman" w:cs="Times New Roman"/>
      <w:sz w:val="24"/>
      <w:szCs w:val="20"/>
      <w:lang w:eastAsia="ar-SA"/>
    </w:rPr>
  </w:style>
  <w:style w:type="paragraph" w:styleId="Mapadokumentu">
    <w:name w:val="Document Map"/>
    <w:basedOn w:val="Normalny"/>
    <w:link w:val="MapadokumentuZnak"/>
    <w:qFormat/>
    <w:rsid w:val="00145893"/>
    <w:pPr>
      <w:shd w:val="clear" w:color="auto" w:fill="000080"/>
      <w:suppressAutoHyphens/>
      <w:spacing w:after="0" w:line="240" w:lineRule="auto"/>
    </w:pPr>
    <w:rPr>
      <w:rFonts w:ascii="Tahoma" w:eastAsia="Times New Roman" w:hAnsi="Tahoma" w:cs="Tahoma"/>
      <w:sz w:val="20"/>
      <w:szCs w:val="20"/>
      <w:lang w:eastAsia="ar-SA"/>
    </w:rPr>
  </w:style>
  <w:style w:type="paragraph" w:styleId="Tekstprzypisudolnego">
    <w:name w:val="footnote text"/>
    <w:basedOn w:val="Normalny"/>
    <w:link w:val="TekstprzypisudolnegoZnak"/>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qFormat/>
    <w:rsid w:val="00145893"/>
    <w:pPr>
      <w:suppressAutoHyphens/>
      <w:spacing w:after="0" w:line="240" w:lineRule="auto"/>
      <w:jc w:val="center"/>
    </w:pPr>
    <w:rPr>
      <w:rFonts w:ascii="Times New Roman" w:eastAsia="Times New Roman" w:hAnsi="Times New Roman" w:cs="Times New Roman"/>
      <w:b/>
      <w:sz w:val="36"/>
      <w:szCs w:val="20"/>
      <w:lang w:eastAsia="ar-SA"/>
    </w:rPr>
  </w:style>
  <w:style w:type="paragraph" w:styleId="Tytu">
    <w:name w:val="Title"/>
    <w:basedOn w:val="Normalny"/>
    <w:link w:val="TytuZnak"/>
    <w:qFormat/>
    <w:rsid w:val="00145893"/>
    <w:pPr>
      <w:suppressAutoHyphens/>
      <w:spacing w:after="0" w:line="240" w:lineRule="auto"/>
      <w:jc w:val="center"/>
    </w:pPr>
    <w:rPr>
      <w:rFonts w:ascii="Times New Roman" w:eastAsia="Times New Roman" w:hAnsi="Times New Roman" w:cs="Times New Roman"/>
      <w:b/>
      <w:color w:val="000000"/>
      <w:sz w:val="28"/>
      <w:szCs w:val="20"/>
      <w:lang w:eastAsia="ar-SA"/>
    </w:rPr>
  </w:style>
  <w:style w:type="paragraph" w:styleId="Podtytu">
    <w:name w:val="Subtitle"/>
    <w:basedOn w:val="Nagwek10"/>
    <w:link w:val="PodtytuZnak"/>
    <w:qFormat/>
    <w:rsid w:val="00145893"/>
    <w:pPr>
      <w:jc w:val="center"/>
    </w:pPr>
    <w:rPr>
      <w:i/>
      <w:iCs/>
    </w:rPr>
  </w:style>
  <w:style w:type="paragraph" w:customStyle="1" w:styleId="MZA">
    <w:name w:val="MZA"/>
    <w:basedOn w:val="Normalny"/>
    <w:qFormat/>
    <w:rsid w:val="00145893"/>
    <w:pPr>
      <w:suppressAutoHyphens/>
      <w:spacing w:after="0" w:line="240" w:lineRule="auto"/>
    </w:pPr>
    <w:rPr>
      <w:rFonts w:ascii="Times New Roman" w:eastAsia="Times New Roman" w:hAnsi="Times New Roman" w:cs="Times New Roman"/>
      <w:sz w:val="26"/>
      <w:szCs w:val="20"/>
      <w:lang w:eastAsia="ar-SA"/>
    </w:rPr>
  </w:style>
  <w:style w:type="paragraph" w:styleId="Tekstdymka">
    <w:name w:val="Balloon Text"/>
    <w:basedOn w:val="Normalny"/>
    <w:link w:val="TekstdymkaZnak1"/>
    <w:qFormat/>
    <w:rsid w:val="00145893"/>
    <w:pPr>
      <w:suppressAutoHyphens/>
      <w:spacing w:after="0" w:line="240" w:lineRule="auto"/>
    </w:pPr>
    <w:rPr>
      <w:rFonts w:ascii="Tahoma" w:eastAsia="Times New Roman" w:hAnsi="Tahoma" w:cs="Tahoma"/>
      <w:sz w:val="16"/>
      <w:szCs w:val="16"/>
      <w:lang w:eastAsia="ar-SA"/>
    </w:rPr>
  </w:style>
  <w:style w:type="paragraph" w:customStyle="1" w:styleId="Zawartotabeli">
    <w:name w:val="Zawartość tabeli"/>
    <w:basedOn w:val="Normalny"/>
    <w:qFormat/>
    <w:rsid w:val="0014589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145893"/>
    <w:pPr>
      <w:jc w:val="center"/>
    </w:pPr>
    <w:rPr>
      <w:b/>
      <w:bCs/>
    </w:rPr>
  </w:style>
  <w:style w:type="paragraph" w:styleId="NormalnyWeb">
    <w:name w:val="Normal (Web)"/>
    <w:basedOn w:val="Normalny"/>
    <w:uiPriority w:val="99"/>
    <w:qFormat/>
    <w:rsid w:val="0014589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qFormat/>
    <w:rsid w:val="00145893"/>
    <w:pPr>
      <w:spacing w:beforeAutospacing="1"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qFormat/>
    <w:rsid w:val="00145893"/>
    <w:pPr>
      <w:spacing w:after="0" w:line="240" w:lineRule="auto"/>
    </w:pPr>
    <w:rPr>
      <w:rFonts w:ascii="Courier New" w:eastAsia="Times New Roman" w:hAnsi="Courier New" w:cs="Times New Roman"/>
      <w:sz w:val="20"/>
      <w:szCs w:val="20"/>
      <w:lang w:val="x-none" w:eastAsia="x-none"/>
    </w:rPr>
  </w:style>
  <w:style w:type="paragraph" w:customStyle="1" w:styleId="pkt">
    <w:name w:val="pkt"/>
    <w:basedOn w:val="Normalny"/>
    <w:qFormat/>
    <w:rsid w:val="00145893"/>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paragraph" w:customStyle="1" w:styleId="Default0">
    <w:name w:val="Default"/>
    <w:qFormat/>
    <w:rsid w:val="00232BD2"/>
    <w:pPr>
      <w:widowControl w:val="0"/>
    </w:pPr>
    <w:rPr>
      <w:rFonts w:eastAsia="Times New Roman" w:cs="Arial"/>
      <w:color w:val="000000"/>
      <w:sz w:val="22"/>
      <w:szCs w:val="24"/>
      <w:lang w:eastAsia="pl-PL"/>
    </w:rPr>
  </w:style>
  <w:style w:type="paragraph" w:customStyle="1" w:styleId="Nagwekstrony">
    <w:name w:val="Nag?—wek strony"/>
    <w:basedOn w:val="Normalny"/>
    <w:qFormat/>
    <w:rsid w:val="0014589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customStyle="1" w:styleId="tytu0">
    <w:name w:val="tytuł"/>
    <w:basedOn w:val="Normalny"/>
    <w:qFormat/>
    <w:rsid w:val="00145893"/>
    <w:pPr>
      <w:keepNext/>
      <w:suppressLineNumbers/>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qFormat/>
    <w:rsid w:val="00145893"/>
    <w:pPr>
      <w:widowControl w:val="0"/>
      <w:suppressAutoHyphens/>
      <w:spacing w:after="120" w:line="240" w:lineRule="auto"/>
    </w:pPr>
    <w:rPr>
      <w:rFonts w:ascii="Times New Roman" w:eastAsia="Lucida Sans Unicode" w:hAnsi="Times New Roman" w:cs="Times New Roman"/>
      <w:color w:val="000000"/>
      <w:sz w:val="16"/>
      <w:szCs w:val="16"/>
    </w:rPr>
  </w:style>
  <w:style w:type="paragraph" w:styleId="Tekstkomentarza">
    <w:name w:val="annotation text"/>
    <w:basedOn w:val="Normalny"/>
    <w:link w:val="TekstkomentarzaZnak"/>
    <w:unhideWhenUsed/>
    <w:qFormat/>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
    <w:link w:val="TematkomentarzaZnak"/>
    <w:uiPriority w:val="99"/>
    <w:semiHidden/>
    <w:unhideWhenUsed/>
    <w:qFormat/>
    <w:rsid w:val="00145893"/>
    <w:rPr>
      <w:b/>
      <w:bCs/>
    </w:rPr>
  </w:style>
  <w:style w:type="paragraph" w:styleId="Tekstprzypisukocowego">
    <w:name w:val="endnote text"/>
    <w:basedOn w:val="Normalny"/>
    <w:link w:val="TekstprzypisukocowegoZnak"/>
    <w:uiPriority w:val="99"/>
    <w:semiHidden/>
    <w:unhideWhenUsed/>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main">
    <w:name w:val="main"/>
    <w:basedOn w:val="Normalny"/>
    <w:qFormat/>
    <w:rsid w:val="00145893"/>
    <w:pPr>
      <w:suppressAutoHyphens/>
      <w:ind w:left="708"/>
    </w:pPr>
    <w:rPr>
      <w:rFonts w:ascii="Verdana" w:eastAsia="Calibri" w:hAnsi="Verdana" w:cs="Times New Roman"/>
      <w:sz w:val="20"/>
      <w:szCs w:val="20"/>
      <w:lang w:eastAsia="ar-SA"/>
    </w:rPr>
  </w:style>
  <w:style w:type="paragraph" w:customStyle="1" w:styleId="Standard">
    <w:name w:val="Standard"/>
    <w:qFormat/>
    <w:rsid w:val="000B0DFF"/>
    <w:pPr>
      <w:suppressAutoHyphens/>
      <w:textAlignment w:val="baseline"/>
    </w:pPr>
    <w:rPr>
      <w:rFonts w:cs="F"/>
      <w:sz w:val="22"/>
    </w:rPr>
  </w:style>
  <w:style w:type="table" w:styleId="Tabela-Siatka">
    <w:name w:val="Table Grid"/>
    <w:basedOn w:val="Standardowy"/>
    <w:uiPriority w:val="59"/>
    <w:rsid w:val="005A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EC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9887">
      <w:bodyDiv w:val="1"/>
      <w:marLeft w:val="0"/>
      <w:marRight w:val="0"/>
      <w:marTop w:val="0"/>
      <w:marBottom w:val="0"/>
      <w:divBdr>
        <w:top w:val="none" w:sz="0" w:space="0" w:color="auto"/>
        <w:left w:val="none" w:sz="0" w:space="0" w:color="auto"/>
        <w:bottom w:val="none" w:sz="0" w:space="0" w:color="auto"/>
        <w:right w:val="none" w:sz="0" w:space="0" w:color="auto"/>
      </w:divBdr>
    </w:div>
    <w:div w:id="184532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FFC0-1FA4-4834-BDB5-AA2F9EF0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64</Pages>
  <Words>9273</Words>
  <Characters>55641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Manager/>
  <Company>MPK Tarnów</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Rolnicki</dc:creator>
  <dc:description/>
  <cp:lastModifiedBy>MPK Tarnow</cp:lastModifiedBy>
  <cp:revision>59</cp:revision>
  <cp:lastPrinted>2024-06-14T07:09:00Z</cp:lastPrinted>
  <dcterms:created xsi:type="dcterms:W3CDTF">2024-04-30T08:28:00Z</dcterms:created>
  <dcterms:modified xsi:type="dcterms:W3CDTF">2024-06-14T09:29:00Z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