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Arial" w:ascii="Arial" w:hAnsi="Arial"/>
          <w:b/>
          <w:i w:val="false"/>
          <w:iCs w:val="false"/>
          <w:sz w:val="21"/>
          <w:szCs w:val="21"/>
          <w:lang w:val="pl-PL" w:eastAsia="zh-CN"/>
        </w:rPr>
        <w:t xml:space="preserve">Budowa boiska wielofunkcyjnego przy ul. Jagiellońskiej w Łebie </w:t>
      </w:r>
      <w:r>
        <w:rPr>
          <w:rFonts w:eastAsia="Times New Roman" w:cs="Arial" w:ascii="Arial" w:hAnsi="Arial"/>
          <w:b/>
          <w:bCs/>
          <w:i w:val="false"/>
          <w:iCs w:val="false"/>
          <w:sz w:val="21"/>
          <w:szCs w:val="21"/>
          <w:lang w:val="pl-PL" w:eastAsia="zh-CN"/>
        </w:rPr>
        <w:t>wraz z infrastrukturą towarzyszącą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415</Words>
  <Characters>2508</Characters>
  <CharactersWithSpaces>2920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>Marta Pasieka</cp:lastModifiedBy>
  <cp:lastPrinted>2016-07-26T10:32:00Z</cp:lastPrinted>
  <dcterms:modified xsi:type="dcterms:W3CDTF">2023-05-24T10:57:39Z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