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79020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869C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07BF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</w:r>
      <w:r w:rsidR="00407BF9" w:rsidRPr="0079190F">
        <w:rPr>
          <w:rFonts w:ascii="Arial" w:hAnsi="Arial" w:cs="Arial"/>
          <w:i/>
        </w:rPr>
        <w:t>„</w:t>
      </w:r>
      <w:r w:rsidR="00407BF9">
        <w:rPr>
          <w:rFonts w:ascii="Arial" w:hAnsi="Arial" w:cs="Arial"/>
          <w:b/>
          <w:i/>
        </w:rPr>
        <w:t>Dostawę odczynników chemicznych i laboratoryjnych</w:t>
      </w:r>
      <w:r w:rsidR="00407BF9"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07BF9" w:rsidRPr="0079190F" w:rsidRDefault="00407BF9" w:rsidP="00407BF9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MED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407BF9" w:rsidRPr="0079190F" w:rsidRDefault="00407BF9" w:rsidP="00407BF9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617442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4D0735" w:rsidRDefault="004D0735" w:rsidP="002A30AB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0735" w:rsidRDefault="004D0735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8EB" w:rsidRDefault="009258EB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ZMIANA TREŚCI </w:t>
      </w: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WARUNKÓW ZAMÓWIENIA</w:t>
      </w:r>
      <w:r w:rsidR="00A664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OGŁOSZENIA</w:t>
      </w:r>
    </w:p>
    <w:p w:rsidR="00F6197C" w:rsidRDefault="00F6197C" w:rsidP="009258E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197C" w:rsidRPr="00D30399" w:rsidRDefault="00F6197C" w:rsidP="00F61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- 11 Wojskowy Oddział Gospodarczy, ul. Gdańska 147, 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br/>
        <w:t>85 - 915 Bydgoszcz informuje, iż w związku z wpłynięciem do Zamawiającego pytań o wyjaśnienie treści Specyfikacji Warunków 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WZ) </w:t>
      </w:r>
      <w:r>
        <w:rPr>
          <w:rFonts w:ascii="Arial" w:eastAsia="Times New Roman" w:hAnsi="Arial" w:cs="Arial"/>
          <w:sz w:val="24"/>
          <w:szCs w:val="24"/>
          <w:lang w:eastAsia="pl-PL"/>
        </w:rPr>
        <w:t>oraz koniecznością prowadzenia konsultacji w zakresie udzielenia odpowiedzi z jednostką będącą na zaopatrzeniu</w:t>
      </w:r>
      <w:r w:rsidRPr="00F97C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11 WOG w Bydgoszczy,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zmianie ulega termin składania i otwarcia ofert </w:t>
      </w:r>
      <w:r>
        <w:rPr>
          <w:rFonts w:ascii="Arial" w:eastAsia="Times New Roman" w:hAnsi="Arial" w:cs="Arial"/>
          <w:sz w:val="24"/>
          <w:szCs w:val="24"/>
          <w:lang w:eastAsia="pl-PL"/>
        </w:rPr>
        <w:t>oraz ogłoszenie</w:t>
      </w:r>
      <w:r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 o zamówieniu.</w:t>
      </w:r>
    </w:p>
    <w:p w:rsidR="009258EB" w:rsidRPr="009258EB" w:rsidRDefault="009258EB" w:rsidP="009258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8EB" w:rsidRPr="009258EB" w:rsidRDefault="009258EB" w:rsidP="00925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9258EB">
        <w:rPr>
          <w:rFonts w:ascii="Arial" w:hAnsi="Arial" w:cs="Arial"/>
          <w:sz w:val="24"/>
        </w:rPr>
        <w:t xml:space="preserve">286 ust. 1 i 9 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9258EB">
        <w:rPr>
          <w:rFonts w:ascii="Arial" w:hAnsi="Arial" w:cs="Arial"/>
          <w:sz w:val="24"/>
        </w:rPr>
        <w:t>z dnia 11 września 2019 r. Prawo zamówień publicznych (</w:t>
      </w:r>
      <w:r w:rsidRPr="009258EB">
        <w:rPr>
          <w:rFonts w:ascii="Arial" w:hAnsi="Arial" w:cs="Arial"/>
          <w:bCs/>
          <w:sz w:val="24"/>
          <w:szCs w:val="24"/>
        </w:rPr>
        <w:t xml:space="preserve">Dz.U. z 2021 r. poz. </w:t>
      </w:r>
      <w:r>
        <w:rPr>
          <w:rFonts w:ascii="Arial" w:hAnsi="Arial" w:cs="Arial"/>
          <w:bCs/>
          <w:sz w:val="24"/>
          <w:szCs w:val="24"/>
        </w:rPr>
        <w:t>1129</w:t>
      </w:r>
      <w:r w:rsidR="00407BF9">
        <w:rPr>
          <w:rFonts w:ascii="Arial" w:hAnsi="Arial" w:cs="Arial"/>
          <w:bCs/>
          <w:sz w:val="24"/>
          <w:szCs w:val="24"/>
        </w:rPr>
        <w:t xml:space="preserve"> ze zm.</w:t>
      </w:r>
      <w:r w:rsidRPr="009258EB">
        <w:rPr>
          <w:rFonts w:ascii="Arial" w:hAnsi="Arial" w:cs="Arial"/>
          <w:bCs/>
          <w:sz w:val="24"/>
          <w:szCs w:val="24"/>
        </w:rPr>
        <w:t xml:space="preserve">) </w:t>
      </w:r>
      <w:r w:rsidRPr="009258EB">
        <w:rPr>
          <w:rFonts w:ascii="Arial" w:hAnsi="Arial" w:cs="Arial"/>
          <w:sz w:val="24"/>
        </w:rPr>
        <w:t>– dalej „Pzp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9258EB">
        <w:rPr>
          <w:rFonts w:ascii="Arial" w:eastAsia="Calibri" w:hAnsi="Arial" w:cs="Arial"/>
          <w:sz w:val="24"/>
          <w:szCs w:val="24"/>
        </w:rPr>
        <w:t>zmienia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9258EB" w:rsidRDefault="009258EB" w:rsidP="009258EB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15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F6197C" w:rsidRPr="00F6197C" w:rsidTr="00F6197C">
        <w:tc>
          <w:tcPr>
            <w:tcW w:w="9060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związany złożoną ofertą od dnia upływu terminu składania   ofert do dnia 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01.07.2022r.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terminu związania ofertą, o którym mowa w pkt.3 wymaga złożenia przez Wykonawcę pisemnego oświadczenia o wyrażeniu zgody na przedłużenie terminu związania ofertą.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Zamawiający żąda wniesienia wadium, przedłużenie terminu związania ofertą, następuje wraz z przedłużeniem okresu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ważności wadium, albo jeżeli nie jest to możliwe z wniesieniem nowego wadium na przedłużony okres związania ofertą.</w:t>
      </w:r>
    </w:p>
    <w:p w:rsidR="009630D9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Odmowa wyrażenia zgody na przedłużenie terminu związania ofertą nie powoduje utraty wadium.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F6197C">
        <w:trPr>
          <w:trHeight w:val="424"/>
        </w:trPr>
        <w:tc>
          <w:tcPr>
            <w:tcW w:w="9060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F6197C" w:rsidRPr="00F6197C" w:rsidRDefault="00F6197C" w:rsidP="00F6197C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Sposób i termin składania ofert </w:t>
            </w:r>
          </w:p>
        </w:tc>
      </w:tr>
    </w:tbl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za pośrednictwem Platformy Zakupowej pod adresem (otwórz hiperlink)</w:t>
      </w:r>
      <w:r w:rsidRPr="00F6197C">
        <w:rPr>
          <w:rFonts w:ascii="Arial" w:eastAsia="Calibri" w:hAnsi="Arial" w:cs="Arial"/>
          <w:sz w:val="24"/>
          <w:szCs w:val="24"/>
        </w:rPr>
        <w:t>: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6197C" w:rsidRPr="00F6197C" w:rsidRDefault="00D6310A" w:rsidP="00F6197C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9" w:history="1">
        <w:r w:rsidR="00F6197C" w:rsidRPr="00F6197C">
          <w:rPr>
            <w:rFonts w:ascii="Arial" w:eastAsia="Calibri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="00F6197C" w:rsidRPr="00F6197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F6197C" w:rsidRPr="00F6197C" w:rsidRDefault="00F6197C" w:rsidP="00F6197C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02.06.2022 r. do godz. 09:30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Do oferty należy dołączyć wszystkie wymagane w SWZ dokumenty.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 xml:space="preserve">Oferta (kosztorysy ofertowe, formularz ofertowy itp.) składana elektronicznie musi zostać podpisana elektronicznym podpisem kwalifikowanym, podpisem zaufanym lub podpisem osobistym. W procesie składania oferty za pośrednictwem </w:t>
      </w:r>
      <w:hyperlink r:id="rId10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platformazakupowa.pl</w:t>
        </w:r>
      </w:hyperlink>
      <w:r w:rsidRPr="00F6197C">
        <w:rPr>
          <w:rFonts w:ascii="Arial" w:eastAsia="Calibri" w:hAnsi="Arial" w:cs="Arial"/>
          <w:sz w:val="24"/>
          <w:szCs w:val="24"/>
        </w:rPr>
        <w:t xml:space="preserve">, Wykonawca powinien złożyć podpis bezpośrednio na dokumentach przesłanych za pośrednictwem </w:t>
      </w:r>
      <w:hyperlink r:id="rId11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platformazakupowa.pl</w:t>
        </w:r>
      </w:hyperlink>
      <w:r w:rsidRPr="00F6197C">
        <w:rPr>
          <w:rFonts w:ascii="Arial" w:eastAsia="Calibri" w:hAnsi="Arial" w:cs="Arial"/>
          <w:sz w:val="24"/>
          <w:szCs w:val="24"/>
        </w:rPr>
        <w:t>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b/>
          <w:sz w:val="24"/>
          <w:szCs w:val="24"/>
        </w:rPr>
        <w:t xml:space="preserve">Zalecamy stosowanie podpisu na każdym załączonym pliku </w:t>
      </w:r>
      <w:r w:rsidRPr="00F6197C">
        <w:rPr>
          <w:rFonts w:ascii="Arial" w:eastAsia="Calibri" w:hAnsi="Arial" w:cs="Arial"/>
          <w:b/>
          <w:sz w:val="24"/>
          <w:szCs w:val="24"/>
          <w:u w:val="single"/>
        </w:rPr>
        <w:t>osobno</w:t>
      </w:r>
      <w:r w:rsidRPr="00F6197C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6197C">
        <w:rPr>
          <w:rFonts w:ascii="Arial" w:eastAsia="Calibri" w:hAnsi="Arial" w:cs="Arial"/>
          <w:b/>
          <w:sz w:val="24"/>
          <w:szCs w:val="24"/>
        </w:rPr>
        <w:br/>
      </w:r>
      <w:r w:rsidRPr="00F6197C">
        <w:rPr>
          <w:rFonts w:ascii="Arial" w:eastAsia="Calibri" w:hAnsi="Arial" w:cs="Arial"/>
          <w:sz w:val="24"/>
          <w:szCs w:val="24"/>
        </w:rPr>
        <w:t xml:space="preserve">w szczególności wskazanych w art. 63 ust 1 o raz ust.2  Pzp, gdzie zaznaczono,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iż oferty, wnioski o dopuszczenie do udziału w postępowaniu oraz oświadczenie,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o którym mowa w art. 125 ust.1 sporządza się, pod rygorem nieważności, </w:t>
      </w:r>
      <w:r w:rsidRPr="00F6197C">
        <w:rPr>
          <w:rFonts w:ascii="Arial" w:eastAsia="Calibri" w:hAnsi="Arial" w:cs="Arial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4F81BD"/>
          <w:sz w:val="24"/>
          <w:szCs w:val="24"/>
          <w:u w:val="single"/>
          <w:lang w:eastAsia="pl-PL"/>
        </w:rPr>
      </w:pPr>
      <w:r w:rsidRPr="00F6197C">
        <w:rPr>
          <w:rFonts w:ascii="Arial" w:eastAsia="Calibri" w:hAnsi="Arial" w:cs="Arial"/>
          <w:color w:val="4F81BD"/>
          <w:sz w:val="24"/>
          <w:szCs w:val="24"/>
        </w:rPr>
        <w:t xml:space="preserve"> </w:t>
      </w:r>
      <w:r w:rsidRPr="00F6197C">
        <w:rPr>
          <w:rFonts w:ascii="Arial" w:eastAsia="Calibri" w:hAnsi="Arial" w:cs="Arial"/>
          <w:sz w:val="24"/>
          <w:szCs w:val="24"/>
        </w:rPr>
        <w:t xml:space="preserve">Szczegółowa instrukcja dla Wykonawców dotycząca złożenia, zmiany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i wycofania oferty znajduje się na stronie internetowej pod adresem:  </w:t>
      </w:r>
      <w:r w:rsidRPr="00F6197C">
        <w:rPr>
          <w:rFonts w:ascii="Arial" w:eastAsia="Calibri" w:hAnsi="Arial" w:cs="Arial"/>
          <w:sz w:val="24"/>
          <w:szCs w:val="24"/>
        </w:rPr>
        <w:br/>
      </w:r>
      <w:hyperlink r:id="rId12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https://platformazakupowa.pl/strona/45-instrukcje</w:t>
        </w:r>
      </w:hyperlink>
    </w:p>
    <w:p w:rsidR="00F6197C" w:rsidRPr="00F6197C" w:rsidRDefault="00F6197C" w:rsidP="00F6197C">
      <w:pPr>
        <w:spacing w:before="120" w:after="120" w:line="2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WYJAŚNIENIA TREŚCI SWZ</w:t>
      </w:r>
    </w:p>
    <w:p w:rsidR="00F6197C" w:rsidRPr="00F6197C" w:rsidRDefault="00F6197C" w:rsidP="00F6197C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3"/>
          <w:lang w:eastAsia="pl-PL"/>
        </w:rPr>
        <w:t>Wykonawca może zwrócić się do Zamawiającego z wnioskiem o wyjaśnienie treści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F6197C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t xml:space="preserve">, pod warunkiem 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br/>
        <w:t>że wniosek o wyjaśnienie treści SWZ wpłynął do Zamawiającego nie później niż na 4 dni przed upływem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>o którym mowa w pkt 11, Zamawiający nie ma obowiązku udzielania wyjaśnień SWZ oraz obowiązku przedłużenia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Wszelkie modyfikacje, uzupełnienia oraz zmiany, w tym zmiany terminów, jak również pytania Wykonawców wraz z wyjaśnieniami stają się integralną częścią SWZ i będą wiążące przy składaniu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tbl>
      <w:tblPr>
        <w:tblStyle w:val="Tabela-Siatka17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F6197C">
        <w:tc>
          <w:tcPr>
            <w:tcW w:w="9060" w:type="dxa"/>
            <w:shd w:val="clear" w:color="auto" w:fill="F2DBDB"/>
          </w:tcPr>
          <w:p w:rsidR="00F6197C" w:rsidRPr="00F6197C" w:rsidRDefault="00F6197C" w:rsidP="00F6197C">
            <w:pPr>
              <w:shd w:val="clear" w:color="auto" w:fill="F2DBDB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lastRenderedPageBreak/>
              <w:t>Rozdział XVII.</w:t>
            </w:r>
          </w:p>
          <w:p w:rsidR="00F6197C" w:rsidRPr="00F6197C" w:rsidRDefault="00F6197C" w:rsidP="00F6197C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02.06.2022 r. o godz. 10:00.</w:t>
      </w:r>
      <w:r w:rsidRPr="00F6197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awarii systemu, która powoduje brak możliwości otwarcia ofert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określonym przez Zamawiającego, otwarcie ofert następuje niezwłocznie po usunięciu awarii.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F6197C" w:rsidRPr="00F6197C" w:rsidRDefault="00F6197C" w:rsidP="00F6197C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97C" w:rsidRPr="00F6197C" w:rsidRDefault="00F6197C" w:rsidP="00F6197C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cenach lub kosztach zawartych w ofertach.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Informacja z otwarcia ofert zostanie opublikowana na stronie postępowania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platformazakupowa.pl w sekcji ,,Komunikaty”.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4F81BD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F6197C" w:rsidRPr="00F6197C" w:rsidRDefault="00F6197C" w:rsidP="00F6197C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6FA7" w:rsidRDefault="00996FA7" w:rsidP="00996FA7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43F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</w:t>
      </w:r>
    </w:p>
    <w:tbl>
      <w:tblPr>
        <w:tblStyle w:val="Tabela-Siatka16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F6197C" w:rsidRPr="00F6197C" w:rsidTr="00F6197C">
        <w:tc>
          <w:tcPr>
            <w:tcW w:w="9060" w:type="dxa"/>
            <w:shd w:val="clear" w:color="auto" w:fill="F2DBDB"/>
          </w:tcPr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F6197C" w:rsidRPr="00F6197C" w:rsidRDefault="00F6197C" w:rsidP="00F6197C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związany złożoną ofertą od dnia upływu terminu składania   ofert do dnia </w:t>
      </w:r>
      <w:r w:rsidR="00E56B75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0</w:t>
      </w:r>
      <w:r w:rsidR="00A66498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7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.07.2022r.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terminu związania ofertą, o którym mowa w pkt.3 wymaga złożenia przez Wykonawcę pisemnego oświadczenia o wyrażeniu zgody na przedłużenie terminu związania ofertą. 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Zamawiający żąda wniesienia wadium, przedłużenie terminu związania ofertą, następuje wraz z przedłużeniem okresu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ważności wadium, albo jeżeli nie jest to możliwe z wniesieniem nowego wadium na przedłużony okres związania ofertą.</w:t>
      </w:r>
    </w:p>
    <w:p w:rsidR="00F6197C" w:rsidRPr="00F6197C" w:rsidRDefault="00F6197C" w:rsidP="00F6197C">
      <w:pPr>
        <w:numPr>
          <w:ilvl w:val="0"/>
          <w:numId w:val="10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Odmowa wyrażenia zgody na przedłużenie terminu związania ofertą nie powoduje utraty wadium.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A75279">
        <w:trPr>
          <w:trHeight w:val="424"/>
        </w:trPr>
        <w:tc>
          <w:tcPr>
            <w:tcW w:w="9060" w:type="dxa"/>
            <w:shd w:val="clear" w:color="auto" w:fill="F2DBDB"/>
          </w:tcPr>
          <w:p w:rsidR="00F6197C" w:rsidRPr="00F6197C" w:rsidRDefault="00F6197C" w:rsidP="00A75279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F6197C" w:rsidRPr="00F6197C" w:rsidRDefault="00F6197C" w:rsidP="00A75279">
            <w:pPr>
              <w:spacing w:before="120" w:after="120" w:line="20" w:lineRule="atLeast"/>
              <w:ind w:right="87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Sposób i termin składania ofert </w:t>
            </w:r>
          </w:p>
        </w:tc>
      </w:tr>
    </w:tbl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za pośrednictwem Platformy Zakupowej pod adresem (otwórz hiperlink)</w:t>
      </w:r>
      <w:r w:rsidRPr="00F6197C">
        <w:rPr>
          <w:rFonts w:ascii="Arial" w:eastAsia="Calibri" w:hAnsi="Arial" w:cs="Arial"/>
          <w:sz w:val="24"/>
          <w:szCs w:val="24"/>
        </w:rPr>
        <w:t>: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6197C" w:rsidRPr="00F6197C" w:rsidRDefault="00D6310A" w:rsidP="00F6197C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13" w:history="1">
        <w:r w:rsidR="00F6197C" w:rsidRPr="00F6197C">
          <w:rPr>
            <w:rFonts w:ascii="Arial" w:eastAsia="Calibri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="00F6197C" w:rsidRPr="00F6197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F6197C" w:rsidRPr="00F6197C" w:rsidRDefault="00F6197C" w:rsidP="00F6197C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0</w:t>
      </w:r>
      <w:r w:rsidR="00A66498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8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.06.2022 r. do godz. 09:30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Do oferty należy dołączyć wszystkie wymagane w SWZ dokumenty.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 xml:space="preserve">Oferta (kosztorysy ofertowe, formularz ofertowy itp.) składana elektronicznie musi zostać podpisana elektronicznym podpisem kwalifikowanym, podpisem zaufanym lub podpisem osobistym. W procesie składania oferty za pośrednictwem </w:t>
      </w:r>
      <w:hyperlink r:id="rId14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platformazakupowa.pl</w:t>
        </w:r>
      </w:hyperlink>
      <w:r w:rsidRPr="00F6197C">
        <w:rPr>
          <w:rFonts w:ascii="Arial" w:eastAsia="Calibri" w:hAnsi="Arial" w:cs="Arial"/>
          <w:sz w:val="24"/>
          <w:szCs w:val="24"/>
        </w:rPr>
        <w:t xml:space="preserve">, Wykonawca powinien złożyć podpis bezpośrednio na dokumentach przesłanych za pośrednictwem </w:t>
      </w:r>
      <w:hyperlink r:id="rId15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platformazakupowa.pl</w:t>
        </w:r>
      </w:hyperlink>
      <w:r w:rsidRPr="00F6197C">
        <w:rPr>
          <w:rFonts w:ascii="Arial" w:eastAsia="Calibri" w:hAnsi="Arial" w:cs="Arial"/>
          <w:sz w:val="24"/>
          <w:szCs w:val="24"/>
        </w:rPr>
        <w:t>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b/>
          <w:sz w:val="24"/>
          <w:szCs w:val="24"/>
        </w:rPr>
        <w:t xml:space="preserve">Zalecamy stosowanie podpisu na każdym załączonym pliku </w:t>
      </w:r>
      <w:r w:rsidRPr="00F6197C">
        <w:rPr>
          <w:rFonts w:ascii="Arial" w:eastAsia="Calibri" w:hAnsi="Arial" w:cs="Arial"/>
          <w:b/>
          <w:sz w:val="24"/>
          <w:szCs w:val="24"/>
          <w:u w:val="single"/>
        </w:rPr>
        <w:t>osobno</w:t>
      </w:r>
      <w:r w:rsidRPr="00F6197C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6197C">
        <w:rPr>
          <w:rFonts w:ascii="Arial" w:eastAsia="Calibri" w:hAnsi="Arial" w:cs="Arial"/>
          <w:b/>
          <w:sz w:val="24"/>
          <w:szCs w:val="24"/>
        </w:rPr>
        <w:br/>
      </w:r>
      <w:r w:rsidRPr="00F6197C">
        <w:rPr>
          <w:rFonts w:ascii="Arial" w:eastAsia="Calibri" w:hAnsi="Arial" w:cs="Arial"/>
          <w:sz w:val="24"/>
          <w:szCs w:val="24"/>
        </w:rPr>
        <w:t xml:space="preserve">w szczególności wskazanych w art. 63 ust 1 o raz ust.2  Pzp, gdzie zaznaczono,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iż oferty, wnioski o dopuszczenie do udziału w postępowaniu oraz oświadczenie,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o którym mowa w art. 125 ust.1 sporządza się, pod rygorem nieważności, </w:t>
      </w:r>
      <w:r w:rsidRPr="00F6197C">
        <w:rPr>
          <w:rFonts w:ascii="Arial" w:eastAsia="Calibri" w:hAnsi="Arial" w:cs="Arial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Calibri" w:hAnsi="Arial" w:cs="Arial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4F81BD"/>
          <w:sz w:val="24"/>
          <w:szCs w:val="24"/>
          <w:u w:val="single"/>
          <w:lang w:eastAsia="pl-PL"/>
        </w:rPr>
      </w:pPr>
      <w:r w:rsidRPr="00F6197C">
        <w:rPr>
          <w:rFonts w:ascii="Arial" w:eastAsia="Calibri" w:hAnsi="Arial" w:cs="Arial"/>
          <w:color w:val="4F81BD"/>
          <w:sz w:val="24"/>
          <w:szCs w:val="24"/>
        </w:rPr>
        <w:t xml:space="preserve"> </w:t>
      </w:r>
      <w:r w:rsidRPr="00F6197C">
        <w:rPr>
          <w:rFonts w:ascii="Arial" w:eastAsia="Calibri" w:hAnsi="Arial" w:cs="Arial"/>
          <w:sz w:val="24"/>
          <w:szCs w:val="24"/>
        </w:rPr>
        <w:t xml:space="preserve">Szczegółowa instrukcja dla Wykonawców dotycząca złożenia, zmiany </w:t>
      </w:r>
      <w:r w:rsidRPr="00F6197C">
        <w:rPr>
          <w:rFonts w:ascii="Arial" w:eastAsia="Calibri" w:hAnsi="Arial" w:cs="Arial"/>
          <w:sz w:val="24"/>
          <w:szCs w:val="24"/>
        </w:rPr>
        <w:br/>
        <w:t xml:space="preserve">i wycofania oferty znajduje się na stronie internetowej pod adresem:  </w:t>
      </w:r>
      <w:r w:rsidRPr="00F6197C">
        <w:rPr>
          <w:rFonts w:ascii="Arial" w:eastAsia="Calibri" w:hAnsi="Arial" w:cs="Arial"/>
          <w:sz w:val="24"/>
          <w:szCs w:val="24"/>
        </w:rPr>
        <w:br/>
      </w:r>
      <w:hyperlink r:id="rId16" w:history="1">
        <w:r w:rsidRPr="00F6197C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https://platformazakupowa.pl/strona/45-instrukcje</w:t>
        </w:r>
      </w:hyperlink>
    </w:p>
    <w:p w:rsidR="00F6197C" w:rsidRPr="00F6197C" w:rsidRDefault="00F6197C" w:rsidP="00F6197C">
      <w:pPr>
        <w:spacing w:before="120" w:after="120" w:line="2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WYJAŚNIENIA TREŚCI SWZ</w:t>
      </w:r>
    </w:p>
    <w:p w:rsidR="00F6197C" w:rsidRPr="00F6197C" w:rsidRDefault="00F6197C" w:rsidP="00F6197C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3"/>
          <w:lang w:eastAsia="pl-PL"/>
        </w:rPr>
        <w:t>Wykonawca może zwrócić się do Zamawiającego z wnioskiem o wyjaśnienie treści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F6197C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t xml:space="preserve">, pod warunkiem </w:t>
      </w:r>
      <w:r w:rsidRPr="00F6197C">
        <w:rPr>
          <w:rFonts w:ascii="Arial" w:eastAsia="Times New Roman" w:hAnsi="Arial" w:cs="Arial"/>
          <w:sz w:val="24"/>
          <w:szCs w:val="23"/>
          <w:lang w:eastAsia="pl-PL"/>
        </w:rPr>
        <w:br/>
        <w:t>że wniosek o wyjaśnienie treści SWZ wpłynął do Zamawiającego nie później niż na 4 dni przed upływem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>o którym mowa w pkt 11, Zamawiający nie ma obowiązku udzielania wyjaśnień SWZ oraz obowiązku przedłużenia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Wszelkie modyfikacje, uzupełnienia oraz zmiany, w tym zmiany terminów, jak również pytania Wykonawców wraz z wyjaśnieniami stają się integralną częścią SWZ i będą wiążące przy składaniu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6197C" w:rsidRPr="00F6197C" w:rsidRDefault="00F6197C" w:rsidP="00F6197C">
      <w:pPr>
        <w:numPr>
          <w:ilvl w:val="0"/>
          <w:numId w:val="7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tbl>
      <w:tblPr>
        <w:tblStyle w:val="Tabela-Siatka17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8070"/>
      </w:tblGrid>
      <w:tr w:rsidR="00F6197C" w:rsidRPr="00F6197C" w:rsidTr="00A75279">
        <w:tc>
          <w:tcPr>
            <w:tcW w:w="9060" w:type="dxa"/>
            <w:shd w:val="clear" w:color="auto" w:fill="F2DBDB"/>
          </w:tcPr>
          <w:p w:rsidR="00F6197C" w:rsidRPr="00F6197C" w:rsidRDefault="00F6197C" w:rsidP="00A75279">
            <w:pPr>
              <w:shd w:val="clear" w:color="auto" w:fill="F2DBDB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lastRenderedPageBreak/>
              <w:t>Rozdział XVII.</w:t>
            </w:r>
          </w:p>
          <w:p w:rsidR="00F6197C" w:rsidRPr="00F6197C" w:rsidRDefault="00F6197C" w:rsidP="00A75279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619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0</w:t>
      </w:r>
      <w:r w:rsidR="00A66498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8</w:t>
      </w:r>
      <w:r w:rsidRPr="00F6197C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.06.2022 r. o godz. 10:00.</w:t>
      </w:r>
      <w:r w:rsidRPr="00F6197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W przypadku awarii systemu, która powoduje brak możliwości otwarcia ofert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określonym przez Zamawiającego, otwarcie ofert następuje niezwłocznie po usunięciu awarii.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F6197C" w:rsidRPr="00F6197C" w:rsidRDefault="00F6197C" w:rsidP="00F6197C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F6197C" w:rsidRPr="00F6197C" w:rsidRDefault="00F6197C" w:rsidP="00F6197C">
      <w:pPr>
        <w:numPr>
          <w:ilvl w:val="0"/>
          <w:numId w:val="9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cenach lub kosztach zawartych w ofertach.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 xml:space="preserve">Informacja z otwarcia ofert zostanie opublikowana na stronie postępowania </w:t>
      </w:r>
      <w:r w:rsidRPr="00F6197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platformazakupowa.pl w sekcji ,,Komunikaty”. </w:t>
      </w:r>
    </w:p>
    <w:p w:rsidR="00F6197C" w:rsidRPr="00F6197C" w:rsidRDefault="00F6197C" w:rsidP="00F6197C">
      <w:pPr>
        <w:numPr>
          <w:ilvl w:val="0"/>
          <w:numId w:val="8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4F81BD"/>
          <w:sz w:val="24"/>
          <w:szCs w:val="24"/>
          <w:lang w:eastAsia="pl-PL"/>
        </w:rPr>
      </w:pPr>
      <w:r w:rsidRPr="00F6197C">
        <w:rPr>
          <w:rFonts w:ascii="Arial" w:eastAsia="Times New Roman" w:hAnsi="Arial" w:cs="Arial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7305A4" w:rsidRDefault="007305A4" w:rsidP="00024256">
      <w:pPr>
        <w:spacing w:before="120" w:after="20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C57AC" w:rsidRDefault="004C57AC" w:rsidP="000242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7AC" w:rsidRDefault="004C57AC" w:rsidP="00905A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C57AC" w:rsidRDefault="004C57AC" w:rsidP="004C57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 xml:space="preserve">W związku z </w:t>
      </w:r>
      <w:r w:rsidR="002A30AB">
        <w:rPr>
          <w:rFonts w:ascii="Arial" w:eastAsia="Calibri" w:hAnsi="Arial" w:cs="Arial"/>
          <w:b/>
          <w:sz w:val="24"/>
          <w:szCs w:val="24"/>
        </w:rPr>
        <w:t>dużą ilością pytań. Zamawiający informuje, że odpowiedzi na pytania zostaną zamieszczone za pośrednictwem platformy zakupowej w miejscu publikacji ogłoszenia.</w:t>
      </w:r>
    </w:p>
    <w:p w:rsidR="004C57AC" w:rsidRPr="004C57AC" w:rsidRDefault="004C57AC" w:rsidP="004C57AC">
      <w:pPr>
        <w:spacing w:after="200" w:line="276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57AC" w:rsidRPr="004C57AC" w:rsidRDefault="004C57AC" w:rsidP="004C57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C57AC">
        <w:rPr>
          <w:rFonts w:ascii="Arial" w:eastAsia="Calibri" w:hAnsi="Arial" w:cs="Arial"/>
          <w:sz w:val="24"/>
          <w:szCs w:val="24"/>
          <w:u w:val="single"/>
        </w:rPr>
        <w:t>Jednocześnie Zamawiający informuje, że powyższa zmiana wymaga zmiany Ogłoszenia.</w:t>
      </w:r>
    </w:p>
    <w:p w:rsidR="004C57AC" w:rsidRDefault="004C57AC" w:rsidP="00905A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583D" w:rsidRDefault="00F6583D" w:rsidP="00F658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9C3B54" w:rsidRDefault="009C3B54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D6310A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1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19" w:rsidRDefault="00C55419">
      <w:pPr>
        <w:spacing w:after="0" w:line="240" w:lineRule="auto"/>
      </w:pPr>
      <w:r>
        <w:separator/>
      </w:r>
    </w:p>
  </w:endnote>
  <w:endnote w:type="continuationSeparator" w:id="0">
    <w:p w:rsidR="00C55419" w:rsidRDefault="00C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6310A" w:rsidRPr="00D6310A">
          <w:rPr>
            <w:rFonts w:ascii="Arial" w:eastAsiaTheme="majorEastAsia" w:hAnsi="Arial" w:cs="Arial"/>
            <w:noProof/>
            <w:sz w:val="20"/>
            <w:szCs w:val="20"/>
          </w:rPr>
          <w:t>7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D63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19" w:rsidRDefault="00C55419">
      <w:pPr>
        <w:spacing w:after="0" w:line="240" w:lineRule="auto"/>
      </w:pPr>
      <w:r>
        <w:separator/>
      </w:r>
    </w:p>
  </w:footnote>
  <w:footnote w:type="continuationSeparator" w:id="0">
    <w:p w:rsidR="00C55419" w:rsidRDefault="00C5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14DB3"/>
    <w:multiLevelType w:val="hybridMultilevel"/>
    <w:tmpl w:val="329CF90E"/>
    <w:lvl w:ilvl="0" w:tplc="39805B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0"/>
  </w:num>
  <w:num w:numId="5">
    <w:abstractNumId w:val="31"/>
  </w:num>
  <w:num w:numId="6">
    <w:abstractNumId w:val="17"/>
  </w:num>
  <w:num w:numId="7">
    <w:abstractNumId w:val="34"/>
  </w:num>
  <w:num w:numId="8">
    <w:abstractNumId w:val="11"/>
  </w:num>
  <w:num w:numId="9">
    <w:abstractNumId w:val="35"/>
  </w:num>
  <w:num w:numId="10">
    <w:abstractNumId w:val="9"/>
  </w:num>
  <w:num w:numId="11">
    <w:abstractNumId w:val="27"/>
  </w:num>
  <w:num w:numId="12">
    <w:abstractNumId w:val="38"/>
  </w:num>
  <w:num w:numId="13">
    <w:abstractNumId w:val="29"/>
  </w:num>
  <w:num w:numId="14">
    <w:abstractNumId w:val="19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37"/>
  </w:num>
  <w:num w:numId="21">
    <w:abstractNumId w:val="33"/>
  </w:num>
  <w:num w:numId="22">
    <w:abstractNumId w:val="24"/>
  </w:num>
  <w:num w:numId="23">
    <w:abstractNumId w:val="32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6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5"/>
  </w:num>
  <w:num w:numId="34">
    <w:abstractNumId w:val="36"/>
  </w:num>
  <w:num w:numId="35">
    <w:abstractNumId w:val="26"/>
  </w:num>
  <w:num w:numId="36">
    <w:abstractNumId w:val="12"/>
  </w:num>
  <w:num w:numId="37">
    <w:abstractNumId w:val="21"/>
  </w:num>
  <w:num w:numId="38">
    <w:abstractNumId w:val="2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0929"/>
    <w:rsid w:val="000161EE"/>
    <w:rsid w:val="00024256"/>
    <w:rsid w:val="00043F14"/>
    <w:rsid w:val="00073863"/>
    <w:rsid w:val="0007629A"/>
    <w:rsid w:val="00080904"/>
    <w:rsid w:val="00084162"/>
    <w:rsid w:val="000A4681"/>
    <w:rsid w:val="000A656D"/>
    <w:rsid w:val="000C1502"/>
    <w:rsid w:val="000C5382"/>
    <w:rsid w:val="000E125D"/>
    <w:rsid w:val="00114AED"/>
    <w:rsid w:val="00143FF5"/>
    <w:rsid w:val="00144212"/>
    <w:rsid w:val="0018002E"/>
    <w:rsid w:val="00184912"/>
    <w:rsid w:val="001A781D"/>
    <w:rsid w:val="001B0937"/>
    <w:rsid w:val="001C3151"/>
    <w:rsid w:val="001C7A6E"/>
    <w:rsid w:val="001D4F58"/>
    <w:rsid w:val="00215D36"/>
    <w:rsid w:val="00223A13"/>
    <w:rsid w:val="002576B1"/>
    <w:rsid w:val="0029689D"/>
    <w:rsid w:val="002A30AB"/>
    <w:rsid w:val="002B4F92"/>
    <w:rsid w:val="002E14F1"/>
    <w:rsid w:val="00301F18"/>
    <w:rsid w:val="00307B5C"/>
    <w:rsid w:val="0032524F"/>
    <w:rsid w:val="003320B6"/>
    <w:rsid w:val="00341C83"/>
    <w:rsid w:val="00345439"/>
    <w:rsid w:val="003555F7"/>
    <w:rsid w:val="003754A3"/>
    <w:rsid w:val="00376472"/>
    <w:rsid w:val="00396410"/>
    <w:rsid w:val="00397BC9"/>
    <w:rsid w:val="003A438A"/>
    <w:rsid w:val="003C449F"/>
    <w:rsid w:val="00407BF9"/>
    <w:rsid w:val="004111DF"/>
    <w:rsid w:val="00417142"/>
    <w:rsid w:val="004275DE"/>
    <w:rsid w:val="00427BC8"/>
    <w:rsid w:val="00440215"/>
    <w:rsid w:val="00446DAF"/>
    <w:rsid w:val="00454890"/>
    <w:rsid w:val="004608ED"/>
    <w:rsid w:val="00491D33"/>
    <w:rsid w:val="004A75C2"/>
    <w:rsid w:val="004C57AC"/>
    <w:rsid w:val="004D0735"/>
    <w:rsid w:val="004D362D"/>
    <w:rsid w:val="004E3254"/>
    <w:rsid w:val="00502C8C"/>
    <w:rsid w:val="0051389A"/>
    <w:rsid w:val="005225CE"/>
    <w:rsid w:val="00536CC8"/>
    <w:rsid w:val="005A1B78"/>
    <w:rsid w:val="005A546D"/>
    <w:rsid w:val="005A6E28"/>
    <w:rsid w:val="005A7EF8"/>
    <w:rsid w:val="00624D2F"/>
    <w:rsid w:val="00643091"/>
    <w:rsid w:val="00666202"/>
    <w:rsid w:val="006723DF"/>
    <w:rsid w:val="0068269D"/>
    <w:rsid w:val="006867F4"/>
    <w:rsid w:val="006911CF"/>
    <w:rsid w:val="006A3B60"/>
    <w:rsid w:val="006A6CBB"/>
    <w:rsid w:val="006E3CE6"/>
    <w:rsid w:val="006E405E"/>
    <w:rsid w:val="006E6C1A"/>
    <w:rsid w:val="006F37B0"/>
    <w:rsid w:val="00705760"/>
    <w:rsid w:val="007179A0"/>
    <w:rsid w:val="007305A4"/>
    <w:rsid w:val="0075042F"/>
    <w:rsid w:val="00790203"/>
    <w:rsid w:val="0079190F"/>
    <w:rsid w:val="007B0294"/>
    <w:rsid w:val="007B59C5"/>
    <w:rsid w:val="007B6950"/>
    <w:rsid w:val="007C051B"/>
    <w:rsid w:val="00812A25"/>
    <w:rsid w:val="0086006D"/>
    <w:rsid w:val="008611E3"/>
    <w:rsid w:val="008663B2"/>
    <w:rsid w:val="00881DCF"/>
    <w:rsid w:val="00890902"/>
    <w:rsid w:val="00892BEA"/>
    <w:rsid w:val="00895AE7"/>
    <w:rsid w:val="008B00C1"/>
    <w:rsid w:val="008B31A4"/>
    <w:rsid w:val="008B6D73"/>
    <w:rsid w:val="008D520F"/>
    <w:rsid w:val="00905A1D"/>
    <w:rsid w:val="0091100B"/>
    <w:rsid w:val="009258EB"/>
    <w:rsid w:val="00941193"/>
    <w:rsid w:val="0096173B"/>
    <w:rsid w:val="009630D9"/>
    <w:rsid w:val="009869C2"/>
    <w:rsid w:val="00996FA7"/>
    <w:rsid w:val="00997402"/>
    <w:rsid w:val="009A77E2"/>
    <w:rsid w:val="009B27F2"/>
    <w:rsid w:val="009C3B54"/>
    <w:rsid w:val="009C5159"/>
    <w:rsid w:val="009C7744"/>
    <w:rsid w:val="009D2C4A"/>
    <w:rsid w:val="00A03BC5"/>
    <w:rsid w:val="00A078B9"/>
    <w:rsid w:val="00A25A87"/>
    <w:rsid w:val="00A63329"/>
    <w:rsid w:val="00A66498"/>
    <w:rsid w:val="00A945FB"/>
    <w:rsid w:val="00AC4B68"/>
    <w:rsid w:val="00AF3847"/>
    <w:rsid w:val="00B87B85"/>
    <w:rsid w:val="00BA1701"/>
    <w:rsid w:val="00BB7631"/>
    <w:rsid w:val="00BC66A5"/>
    <w:rsid w:val="00BD3B6D"/>
    <w:rsid w:val="00BF3CC9"/>
    <w:rsid w:val="00C0207E"/>
    <w:rsid w:val="00C1653F"/>
    <w:rsid w:val="00C2540B"/>
    <w:rsid w:val="00C27665"/>
    <w:rsid w:val="00C55419"/>
    <w:rsid w:val="00C736A5"/>
    <w:rsid w:val="00C741CF"/>
    <w:rsid w:val="00C8126C"/>
    <w:rsid w:val="00D137D1"/>
    <w:rsid w:val="00D30399"/>
    <w:rsid w:val="00D6310A"/>
    <w:rsid w:val="00D63A5F"/>
    <w:rsid w:val="00D8611B"/>
    <w:rsid w:val="00DB7048"/>
    <w:rsid w:val="00DB7E73"/>
    <w:rsid w:val="00DC2F5A"/>
    <w:rsid w:val="00DE30EA"/>
    <w:rsid w:val="00DF623F"/>
    <w:rsid w:val="00E20519"/>
    <w:rsid w:val="00E31190"/>
    <w:rsid w:val="00E3230F"/>
    <w:rsid w:val="00E43295"/>
    <w:rsid w:val="00E4540D"/>
    <w:rsid w:val="00E47E44"/>
    <w:rsid w:val="00E5230C"/>
    <w:rsid w:val="00E5260E"/>
    <w:rsid w:val="00E56B75"/>
    <w:rsid w:val="00E63610"/>
    <w:rsid w:val="00E804C0"/>
    <w:rsid w:val="00E86D1E"/>
    <w:rsid w:val="00E87B24"/>
    <w:rsid w:val="00E9170A"/>
    <w:rsid w:val="00EA0B88"/>
    <w:rsid w:val="00EF7B73"/>
    <w:rsid w:val="00F25B7F"/>
    <w:rsid w:val="00F27037"/>
    <w:rsid w:val="00F6197C"/>
    <w:rsid w:val="00F61D95"/>
    <w:rsid w:val="00F6583D"/>
    <w:rsid w:val="00F74B2D"/>
    <w:rsid w:val="00F842F2"/>
    <w:rsid w:val="00F85007"/>
    <w:rsid w:val="00F97CD5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71941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6197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9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950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0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11wo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1wog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9A4C-F00A-4223-955E-38F2F80A16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2C625F-B094-44B7-B5CB-3DCB6297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64</cp:revision>
  <cp:lastPrinted>2022-05-31T10:10:00Z</cp:lastPrinted>
  <dcterms:created xsi:type="dcterms:W3CDTF">2022-05-26T07:09:00Z</dcterms:created>
  <dcterms:modified xsi:type="dcterms:W3CDTF">2022-05-31T10:10:00Z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3e8307ac-b031-452a-9802-4f421babfe42</vt:lpwstr>
  </property>
  <property fmtid="{D5CDD505-2E9C-101B-9397-08002B2CF9AE}" pid="3" name="bjSaver">
    <vt:lpwstr>WVFFfnTyXCp/JTGjVuc0t4bqysvjiXYY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