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2D202" w14:textId="6FD0D3B6" w:rsidR="00AE44C5" w:rsidRPr="001652BC" w:rsidRDefault="00BF4AA9" w:rsidP="00AE44C5">
      <w:pPr>
        <w:spacing w:line="220" w:lineRule="exact"/>
        <w:rPr>
          <w:b/>
          <w:bCs/>
        </w:rPr>
      </w:pPr>
      <w:r w:rsidRPr="001E23DE">
        <w:rPr>
          <w:b/>
          <w:bCs/>
        </w:rPr>
        <w:t>Nr sprawy MZD.</w:t>
      </w:r>
      <w:r w:rsidR="005E50E5" w:rsidRPr="001E23DE">
        <w:rPr>
          <w:b/>
          <w:bCs/>
        </w:rPr>
        <w:t>266.</w:t>
      </w:r>
      <w:r w:rsidR="001E23DE" w:rsidRPr="001E23DE">
        <w:rPr>
          <w:b/>
          <w:bCs/>
        </w:rPr>
        <w:t>8.2024</w:t>
      </w:r>
      <w:r w:rsidR="0004372D" w:rsidRPr="001E23DE">
        <w:rPr>
          <w:b/>
          <w:bCs/>
        </w:rPr>
        <w:t>.</w:t>
      </w:r>
      <w:r w:rsidR="005E50E5" w:rsidRPr="001E23DE">
        <w:rPr>
          <w:b/>
          <w:bCs/>
        </w:rPr>
        <w:t>I3/</w:t>
      </w:r>
      <w:r w:rsidRPr="001E23DE">
        <w:rPr>
          <w:b/>
          <w:bCs/>
        </w:rPr>
        <w:t>IK</w:t>
      </w:r>
      <w:r w:rsidR="00AE44C5" w:rsidRPr="001E23DE">
        <w:rPr>
          <w:b/>
          <w:bCs/>
        </w:rPr>
        <w:t xml:space="preserve">         </w:t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976A30" w:rsidRPr="001E23DE">
        <w:rPr>
          <w:b/>
          <w:bCs/>
        </w:rPr>
        <w:tab/>
      </w:r>
      <w:r w:rsidR="00F30552" w:rsidRPr="001E23DE">
        <w:rPr>
          <w:b/>
          <w:bCs/>
        </w:rPr>
        <w:tab/>
      </w:r>
      <w:r w:rsidR="00F30552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>
        <w:rPr>
          <w:b/>
          <w:bCs/>
        </w:rPr>
        <w:t xml:space="preserve">Załącznik nr </w:t>
      </w:r>
      <w:r w:rsidR="005E50E5">
        <w:rPr>
          <w:b/>
          <w:bCs/>
        </w:rPr>
        <w:t>8</w:t>
      </w:r>
      <w:r w:rsidR="00AE44C5" w:rsidRPr="001652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F56B9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F56B9C" w:rsidRDefault="00AE44C5" w:rsidP="00AE44C5">
      <w:pPr>
        <w:rPr>
          <w:b/>
          <w:bCs/>
        </w:rPr>
      </w:pPr>
    </w:p>
    <w:p w14:paraId="33E3A30B" w14:textId="77777777" w:rsidR="00AE44C5" w:rsidRPr="00F56B9C" w:rsidRDefault="00AE44C5" w:rsidP="00AE44C5">
      <w:pPr>
        <w:jc w:val="center"/>
      </w:pPr>
      <w:r w:rsidRPr="00F56B9C">
        <w:rPr>
          <w:b/>
          <w:bCs/>
        </w:rPr>
        <w:t>OPIS  PRZEDMIOTU  ZAMÓWIENIA</w:t>
      </w:r>
    </w:p>
    <w:p w14:paraId="3EF2A14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F56B9C" w:rsidRDefault="00A4047E" w:rsidP="00D57E0A">
      <w:pPr>
        <w:spacing w:line="220" w:lineRule="exact"/>
        <w:rPr>
          <w:b/>
          <w:bCs/>
        </w:rPr>
      </w:pPr>
      <w:r>
        <w:rPr>
          <w:b/>
          <w:bCs/>
        </w:rPr>
        <w:t>I</w:t>
      </w:r>
      <w:r w:rsidR="00D57E0A" w:rsidRPr="00F56B9C">
        <w:rPr>
          <w:b/>
          <w:bCs/>
        </w:rPr>
        <w:t>.  Część opisowa</w:t>
      </w:r>
    </w:p>
    <w:p w14:paraId="7BD4F86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3449C376" w14:textId="77777777" w:rsidR="00D57E0A" w:rsidRPr="00F56B9C" w:rsidRDefault="00D57E0A" w:rsidP="00D57E0A">
      <w:pPr>
        <w:spacing w:line="220" w:lineRule="exact"/>
        <w:rPr>
          <w:b/>
          <w:bCs/>
          <w:i/>
        </w:rPr>
      </w:pPr>
      <w:r w:rsidRPr="00F56B9C">
        <w:rPr>
          <w:b/>
          <w:bCs/>
          <w:i/>
        </w:rPr>
        <w:t>Opis ogólny przedmiotu zamówienia</w:t>
      </w:r>
    </w:p>
    <w:p w14:paraId="0CDC4316" w14:textId="77777777" w:rsidR="00D57E0A" w:rsidRPr="00F56B9C" w:rsidRDefault="00D57E0A" w:rsidP="00D57E0A">
      <w:pPr>
        <w:spacing w:line="220" w:lineRule="exact"/>
        <w:rPr>
          <w:b/>
          <w:bCs/>
        </w:rPr>
      </w:pPr>
      <w:r w:rsidRPr="00F56B9C">
        <w:rPr>
          <w:b/>
          <w:bCs/>
          <w:i/>
        </w:rPr>
        <w:br/>
      </w:r>
      <w:r w:rsidRPr="00F56B9C">
        <w:rPr>
          <w:b/>
          <w:bCs/>
        </w:rPr>
        <w:t>Opis przedsięwzięcia</w:t>
      </w:r>
    </w:p>
    <w:p w14:paraId="790665D3" w14:textId="77777777" w:rsidR="00AE44C5" w:rsidRPr="00F56B9C" w:rsidRDefault="00D57E0A">
      <w:pPr>
        <w:rPr>
          <w:b/>
        </w:rPr>
      </w:pPr>
      <w:bookmarkStart w:id="0" w:name="_Hlk82171120"/>
      <w:r w:rsidRPr="00F56B9C">
        <w:rPr>
          <w:b/>
        </w:rPr>
        <w:t xml:space="preserve">          </w:t>
      </w:r>
    </w:p>
    <w:p w14:paraId="7C85928D" w14:textId="29501DFF" w:rsidR="00891FDF" w:rsidRDefault="00891FDF" w:rsidP="005E566B">
      <w:pPr>
        <w:spacing w:line="276" w:lineRule="auto"/>
        <w:ind w:firstLine="708"/>
        <w:jc w:val="both"/>
      </w:pPr>
      <w:bookmarkStart w:id="1" w:name="_Hlk57932291"/>
      <w:bookmarkEnd w:id="0"/>
      <w:r>
        <w:t xml:space="preserve">Przedmiotem zamówienia jest wykonanie dokumentacji projektowo-kosztorysowej wraz </w:t>
      </w:r>
      <w:r>
        <w:br/>
        <w:t xml:space="preserve">z uzyskaniem wymaganych prawem sprawdzeń, opinii, uzgodnień i pozwoleń w zakresie obejmującym </w:t>
      </w:r>
      <w:r w:rsidR="008B0FAF">
        <w:t>rewitalizację</w:t>
      </w:r>
      <w:r w:rsidR="006370C6">
        <w:t>/zagospodarowanie</w:t>
      </w:r>
      <w:r>
        <w:t xml:space="preserve"> przestrzeni publicznych – terenów zieleni </w:t>
      </w:r>
      <w:r w:rsidR="006370C6">
        <w:br/>
      </w:r>
      <w:r>
        <w:t>w Ostrowie Wielkopolskim:</w:t>
      </w:r>
    </w:p>
    <w:p w14:paraId="2B542415" w14:textId="4BECA00A" w:rsidR="00891FDF" w:rsidRDefault="00891FDF" w:rsidP="005E566B">
      <w:pPr>
        <w:spacing w:line="276" w:lineRule="auto"/>
        <w:ind w:firstLine="567"/>
        <w:jc w:val="both"/>
      </w:pPr>
      <w:r>
        <w:t xml:space="preserve">Część I </w:t>
      </w:r>
      <w:r w:rsidR="00812AF1">
        <w:t>–</w:t>
      </w:r>
      <w:r>
        <w:t xml:space="preserve"> </w:t>
      </w:r>
      <w:r w:rsidR="00812AF1">
        <w:t>Park 3-go Maja</w:t>
      </w:r>
      <w:r>
        <w:t xml:space="preserve">, </w:t>
      </w:r>
    </w:p>
    <w:p w14:paraId="55F91304" w14:textId="5734CC32" w:rsidR="00891FDF" w:rsidRDefault="00891FDF" w:rsidP="005E566B">
      <w:pPr>
        <w:spacing w:line="276" w:lineRule="auto"/>
        <w:ind w:firstLine="567"/>
        <w:jc w:val="both"/>
      </w:pPr>
      <w:r>
        <w:t xml:space="preserve">Cześć II - Park </w:t>
      </w:r>
      <w:r w:rsidR="00812AF1">
        <w:t>im. Adama Mickiewicza</w:t>
      </w:r>
      <w:r>
        <w:t xml:space="preserve"> </w:t>
      </w:r>
    </w:p>
    <w:p w14:paraId="4F5B750A" w14:textId="72185E26" w:rsidR="00891FDF" w:rsidRDefault="00812AF1" w:rsidP="005E566B">
      <w:pPr>
        <w:spacing w:line="276" w:lineRule="auto"/>
        <w:jc w:val="both"/>
      </w:pPr>
      <w:r>
        <w:t xml:space="preserve">          </w:t>
      </w:r>
      <w:r w:rsidR="00891FDF">
        <w:t>Część III - ul. Wrocławska</w:t>
      </w:r>
      <w:r w:rsidR="005B3806">
        <w:t xml:space="preserve"> (od Ronda Bankowego </w:t>
      </w:r>
      <w:r w:rsidR="008B0FAF">
        <w:t xml:space="preserve">do </w:t>
      </w:r>
      <w:r w:rsidR="00406285">
        <w:t>Ronda Miast Partnerskich</w:t>
      </w:r>
      <w:r w:rsidR="005B3806">
        <w:t>)</w:t>
      </w:r>
    </w:p>
    <w:p w14:paraId="0936D761" w14:textId="77777777" w:rsidR="00891FDF" w:rsidRDefault="00891FDF" w:rsidP="005E566B">
      <w:pPr>
        <w:spacing w:line="276" w:lineRule="auto"/>
        <w:jc w:val="both"/>
      </w:pPr>
      <w:r>
        <w:t>w ramach zadania inwestycyjnego pn. „Rozwój zielono - niebieskiej infrastruktury w gminie Miasto Ostrów Wielkopolski”.</w:t>
      </w:r>
    </w:p>
    <w:p w14:paraId="1E0DFEB1" w14:textId="30AE1C47" w:rsidR="00FB7F05" w:rsidRPr="00F56B9C" w:rsidRDefault="00164F71" w:rsidP="005E566B">
      <w:pPr>
        <w:spacing w:line="276" w:lineRule="auto"/>
        <w:jc w:val="both"/>
      </w:pPr>
      <w:r w:rsidRPr="00F56B9C">
        <w:t xml:space="preserve">Zakres usługi </w:t>
      </w:r>
      <w:r w:rsidR="002876A5" w:rsidRPr="00F56B9C">
        <w:t xml:space="preserve">obejmuje wykonanie projektu </w:t>
      </w:r>
      <w:r w:rsidR="00891FDF">
        <w:t>zagospodarowania z projektem architektoniczno-budowlanym</w:t>
      </w:r>
      <w:r w:rsidR="002876A5" w:rsidRPr="00F56B9C">
        <w:t xml:space="preserve">, </w:t>
      </w:r>
      <w:r w:rsidRPr="00F56B9C">
        <w:t xml:space="preserve">projektów </w:t>
      </w:r>
      <w:r w:rsidR="00F670F8">
        <w:t>technicznych</w:t>
      </w:r>
      <w:r w:rsidRPr="00F56B9C">
        <w:t xml:space="preserve">, specyfikacji technicznych wykonania i odbioru robót budowlanych, przedmiaru robót, kosztorysu inwestorskiego oraz </w:t>
      </w:r>
      <w:r w:rsidR="002876A5" w:rsidRPr="00F56B9C">
        <w:t xml:space="preserve">innych dokumentów i opracowań niezbędnych do </w:t>
      </w:r>
      <w:r w:rsidR="00F670F8">
        <w:t>uzyskania zgody na prowadzenie i wykonanie robót</w:t>
      </w:r>
      <w:r w:rsidR="002876A5" w:rsidRPr="00F56B9C">
        <w:t>.</w:t>
      </w:r>
    </w:p>
    <w:bookmarkEnd w:id="1"/>
    <w:p w14:paraId="453224E2" w14:textId="42D2461C" w:rsidR="00F670F8" w:rsidRPr="00F56B9C" w:rsidRDefault="00FB7F05" w:rsidP="005E566B">
      <w:pPr>
        <w:spacing w:line="276" w:lineRule="auto"/>
        <w:jc w:val="both"/>
        <w:rPr>
          <w:rFonts w:eastAsia="Calibri"/>
          <w:lang w:eastAsia="en-US"/>
        </w:rPr>
      </w:pPr>
      <w:r w:rsidRPr="00F56B9C">
        <w:rPr>
          <w:rFonts w:eastAsia="Calibri"/>
          <w:lang w:eastAsia="en-US"/>
        </w:rPr>
        <w:t>Zamierzenie obejmuje</w:t>
      </w:r>
      <w:r w:rsidR="00B901DB" w:rsidRPr="00F56B9C">
        <w:rPr>
          <w:rFonts w:eastAsia="Calibri"/>
          <w:lang w:eastAsia="en-US"/>
        </w:rPr>
        <w:t xml:space="preserve"> </w:t>
      </w:r>
      <w:r w:rsidR="00F670F8">
        <w:rPr>
          <w:rFonts w:eastAsia="Calibri"/>
          <w:lang w:eastAsia="en-US"/>
        </w:rPr>
        <w:t>zagospodarowanie przestrzeni publicznej</w:t>
      </w:r>
      <w:r w:rsidR="00F30552">
        <w:rPr>
          <w:rFonts w:eastAsia="Calibri"/>
          <w:lang w:eastAsia="en-US"/>
        </w:rPr>
        <w:t xml:space="preserve"> - terenów zieleni</w:t>
      </w:r>
      <w:r w:rsidRPr="00F56B9C">
        <w:rPr>
          <w:rFonts w:eastAsia="Calibri"/>
          <w:lang w:eastAsia="en-US"/>
        </w:rPr>
        <w:t>:</w:t>
      </w:r>
    </w:p>
    <w:p w14:paraId="7C3CF27E" w14:textId="6A8833B8" w:rsidR="00F670F8" w:rsidRPr="00080AED" w:rsidRDefault="008322C0" w:rsidP="005E566B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Parku 3-go Maja</w:t>
      </w:r>
      <w:r w:rsidR="00F30552" w:rsidRPr="00080A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70F8" w:rsidRPr="00080AED">
        <w:rPr>
          <w:rFonts w:ascii="Times New Roman" w:eastAsia="Calibri" w:hAnsi="Times New Roman" w:cs="Times New Roman"/>
          <w:sz w:val="24"/>
          <w:szCs w:val="24"/>
        </w:rPr>
        <w:t xml:space="preserve">w Ostrowie Wielkopolskim </w:t>
      </w:r>
      <w:r w:rsidR="007A25DD" w:rsidRPr="00080AED">
        <w:rPr>
          <w:rFonts w:ascii="Times New Roman" w:eastAsia="Calibri" w:hAnsi="Times New Roman" w:cs="Times New Roman"/>
          <w:sz w:val="24"/>
          <w:szCs w:val="24"/>
        </w:rPr>
        <w:t xml:space="preserve">w zakresie </w:t>
      </w:r>
      <w:r w:rsidR="00F30552" w:rsidRPr="00080AED">
        <w:rPr>
          <w:rFonts w:ascii="Times New Roman" w:eastAsia="Calibri" w:hAnsi="Times New Roman" w:cs="Times New Roman"/>
          <w:sz w:val="24"/>
          <w:szCs w:val="24"/>
        </w:rPr>
        <w:t>dział</w:t>
      </w:r>
      <w:r w:rsidR="00022B8A">
        <w:rPr>
          <w:rFonts w:ascii="Times New Roman" w:eastAsia="Calibri" w:hAnsi="Times New Roman" w:cs="Times New Roman"/>
          <w:sz w:val="24"/>
          <w:szCs w:val="24"/>
        </w:rPr>
        <w:t>ek</w:t>
      </w:r>
      <w:r w:rsidR="0072060F" w:rsidRPr="00080A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" w:name="_Hlk82860007"/>
      <w:r w:rsidR="0072060F" w:rsidRPr="00080AED">
        <w:rPr>
          <w:rFonts w:ascii="Times New Roman" w:eastAsia="Calibri" w:hAnsi="Times New Roman" w:cs="Times New Roman"/>
          <w:sz w:val="24"/>
          <w:szCs w:val="24"/>
        </w:rPr>
        <w:t xml:space="preserve">nr: </w:t>
      </w:r>
      <w:r w:rsidR="00855774">
        <w:rPr>
          <w:rFonts w:ascii="Times New Roman" w:eastAsia="Calibri" w:hAnsi="Times New Roman" w:cs="Times New Roman"/>
          <w:sz w:val="24"/>
          <w:szCs w:val="24"/>
        </w:rPr>
        <w:t xml:space="preserve">1/1, </w:t>
      </w:r>
      <w:r w:rsidR="00916A1D">
        <w:rPr>
          <w:rFonts w:ascii="Times New Roman" w:eastAsia="Calibri" w:hAnsi="Times New Roman" w:cs="Times New Roman"/>
          <w:sz w:val="24"/>
          <w:szCs w:val="24"/>
        </w:rPr>
        <w:t>1/2</w:t>
      </w:r>
      <w:r w:rsidR="0072060F" w:rsidRPr="00080AED">
        <w:rPr>
          <w:rFonts w:ascii="Times New Roman" w:eastAsia="Calibri" w:hAnsi="Times New Roman" w:cs="Times New Roman"/>
          <w:sz w:val="24"/>
          <w:szCs w:val="24"/>
        </w:rPr>
        <w:t xml:space="preserve"> obręb </w:t>
      </w:r>
      <w:r w:rsidR="00916A1D">
        <w:rPr>
          <w:rFonts w:ascii="Times New Roman" w:eastAsia="Calibri" w:hAnsi="Times New Roman" w:cs="Times New Roman"/>
          <w:sz w:val="24"/>
          <w:szCs w:val="24"/>
        </w:rPr>
        <w:t xml:space="preserve">0097 </w:t>
      </w:r>
      <w:r w:rsidR="0072060F" w:rsidRPr="00080AED">
        <w:rPr>
          <w:rFonts w:ascii="Times New Roman" w:eastAsia="Calibri" w:hAnsi="Times New Roman" w:cs="Times New Roman"/>
          <w:sz w:val="24"/>
          <w:szCs w:val="24"/>
        </w:rPr>
        <w:t xml:space="preserve">Ostrów Wielkopolski 0081 </w:t>
      </w:r>
      <w:bookmarkEnd w:id="2"/>
      <w:r w:rsidR="00F413AA">
        <w:rPr>
          <w:rFonts w:ascii="Times New Roman" w:eastAsia="Calibri" w:hAnsi="Times New Roman" w:cs="Times New Roman"/>
          <w:sz w:val="24"/>
          <w:szCs w:val="24"/>
        </w:rPr>
        <w:t>wraz z przyległymi do parku częściami pasa drogowego</w:t>
      </w:r>
      <w:r w:rsidR="005A22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5774">
        <w:rPr>
          <w:rFonts w:ascii="Times New Roman" w:eastAsia="Calibri" w:hAnsi="Times New Roman" w:cs="Times New Roman"/>
          <w:sz w:val="24"/>
          <w:szCs w:val="24"/>
        </w:rPr>
        <w:br/>
      </w:r>
      <w:r w:rsidR="005A224E">
        <w:rPr>
          <w:rFonts w:ascii="Times New Roman" w:eastAsia="Calibri" w:hAnsi="Times New Roman" w:cs="Times New Roman"/>
          <w:sz w:val="24"/>
          <w:szCs w:val="24"/>
        </w:rPr>
        <w:t>ul. Kościuszki, ul. 3 -go Maja, ul. Miłej</w:t>
      </w:r>
      <w:r w:rsidR="00F670F8" w:rsidRPr="00080AED">
        <w:rPr>
          <w:rFonts w:ascii="Times New Roman" w:eastAsia="Calibri" w:hAnsi="Times New Roman" w:cs="Times New Roman"/>
          <w:sz w:val="24"/>
          <w:szCs w:val="24"/>
        </w:rPr>
        <w:t xml:space="preserve">; powierzchnia objęta opracowaniem </w:t>
      </w:r>
      <w:r w:rsidR="00080AED" w:rsidRPr="00080AED">
        <w:rPr>
          <w:rFonts w:ascii="Times New Roman" w:eastAsia="Calibri" w:hAnsi="Times New Roman" w:cs="Times New Roman"/>
          <w:sz w:val="24"/>
          <w:szCs w:val="24"/>
        </w:rPr>
        <w:t xml:space="preserve">wynosi </w:t>
      </w:r>
      <w:r w:rsidR="00E672C6">
        <w:rPr>
          <w:rFonts w:ascii="Times New Roman" w:eastAsia="Calibri" w:hAnsi="Times New Roman" w:cs="Times New Roman"/>
          <w:sz w:val="24"/>
          <w:szCs w:val="24"/>
        </w:rPr>
        <w:br/>
      </w:r>
      <w:r w:rsidR="00F670F8" w:rsidRPr="00080AED">
        <w:rPr>
          <w:rFonts w:ascii="Times New Roman" w:eastAsia="Calibri" w:hAnsi="Times New Roman" w:cs="Times New Roman"/>
          <w:sz w:val="24"/>
          <w:szCs w:val="24"/>
        </w:rPr>
        <w:t xml:space="preserve">ok. </w:t>
      </w:r>
      <w:r w:rsidR="00E672C6" w:rsidRPr="00E672C6">
        <w:rPr>
          <w:rFonts w:ascii="Times New Roman" w:eastAsia="Calibri" w:hAnsi="Times New Roman" w:cs="Times New Roman"/>
          <w:sz w:val="24"/>
          <w:szCs w:val="24"/>
        </w:rPr>
        <w:t>7</w:t>
      </w:r>
      <w:r w:rsidR="00C11919">
        <w:rPr>
          <w:rFonts w:ascii="Times New Roman" w:eastAsia="Calibri" w:hAnsi="Times New Roman" w:cs="Times New Roman"/>
          <w:sz w:val="24"/>
          <w:szCs w:val="24"/>
        </w:rPr>
        <w:t>0</w:t>
      </w:r>
      <w:r w:rsidR="00E672C6" w:rsidRPr="00E672C6">
        <w:rPr>
          <w:rFonts w:ascii="Times New Roman" w:eastAsia="Calibri" w:hAnsi="Times New Roman" w:cs="Times New Roman"/>
          <w:sz w:val="24"/>
          <w:szCs w:val="24"/>
        </w:rPr>
        <w:t xml:space="preserve"> 000</w:t>
      </w:r>
      <w:r w:rsidR="0072060F" w:rsidRPr="00E672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70F8" w:rsidRPr="00080AED">
        <w:rPr>
          <w:rFonts w:ascii="Times New Roman" w:eastAsia="Calibri" w:hAnsi="Times New Roman" w:cs="Times New Roman"/>
          <w:sz w:val="24"/>
          <w:szCs w:val="24"/>
        </w:rPr>
        <w:t>m2</w:t>
      </w:r>
      <w:r w:rsidR="007A25DD" w:rsidRPr="00080AE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7050B0" w14:textId="6A66B5A3" w:rsidR="00A16548" w:rsidRPr="00F413AA" w:rsidRDefault="007A25DD" w:rsidP="005E566B">
      <w:pPr>
        <w:spacing w:line="276" w:lineRule="auto"/>
        <w:ind w:left="426"/>
        <w:contextualSpacing/>
        <w:jc w:val="both"/>
        <w:rPr>
          <w:rFonts w:eastAsia="Calibri"/>
          <w:lang w:eastAsia="en-US"/>
        </w:rPr>
      </w:pPr>
      <w:bookmarkStart w:id="3" w:name="_Hlk66188072"/>
      <w:r>
        <w:rPr>
          <w:rFonts w:eastAsia="Calibri"/>
          <w:lang w:eastAsia="en-US"/>
        </w:rPr>
        <w:t>Przewiduje się wymianę istniejących nawierzchni na nawierzchnie</w:t>
      </w:r>
      <w:r w:rsidR="00F26297">
        <w:rPr>
          <w:rFonts w:eastAsia="Calibri"/>
          <w:lang w:eastAsia="en-US"/>
        </w:rPr>
        <w:t xml:space="preserve"> </w:t>
      </w:r>
      <w:r w:rsidR="00022B8A">
        <w:rPr>
          <w:rFonts w:eastAsia="Calibri"/>
          <w:lang w:eastAsia="en-US"/>
        </w:rPr>
        <w:t xml:space="preserve">mineralne, </w:t>
      </w:r>
      <w:r>
        <w:rPr>
          <w:rFonts w:eastAsia="Calibri"/>
          <w:lang w:eastAsia="en-US"/>
        </w:rPr>
        <w:t xml:space="preserve"> </w:t>
      </w:r>
      <w:r w:rsidR="00F26297">
        <w:rPr>
          <w:rFonts w:eastAsia="Calibri"/>
          <w:lang w:eastAsia="en-US"/>
        </w:rPr>
        <w:t xml:space="preserve">uporządkowanie istniejącej zieleni wysokiej, </w:t>
      </w:r>
      <w:r>
        <w:rPr>
          <w:rFonts w:eastAsia="Calibri"/>
          <w:lang w:eastAsia="en-US"/>
        </w:rPr>
        <w:t xml:space="preserve">zagospodarowanie zielenią poprzez wykonanie nowych </w:t>
      </w:r>
      <w:proofErr w:type="spellStart"/>
      <w:r>
        <w:rPr>
          <w:rFonts w:eastAsia="Calibri"/>
          <w:lang w:eastAsia="en-US"/>
        </w:rPr>
        <w:t>nasadzeń</w:t>
      </w:r>
      <w:proofErr w:type="spellEnd"/>
      <w:r>
        <w:rPr>
          <w:rFonts w:eastAsia="Calibri"/>
          <w:lang w:eastAsia="en-US"/>
        </w:rPr>
        <w:t xml:space="preserve"> zieleni wysokiej i niskiej, </w:t>
      </w:r>
      <w:r w:rsidR="00D60FAF">
        <w:rPr>
          <w:rFonts w:eastAsia="Calibri"/>
          <w:lang w:eastAsia="en-US"/>
        </w:rPr>
        <w:t>założenie łąk kwiet</w:t>
      </w:r>
      <w:r w:rsidR="00A4047E">
        <w:rPr>
          <w:rFonts w:eastAsia="Calibri"/>
          <w:lang w:eastAsia="en-US"/>
        </w:rPr>
        <w:t>n</w:t>
      </w:r>
      <w:r w:rsidR="00D60FAF">
        <w:rPr>
          <w:rFonts w:eastAsia="Calibri"/>
          <w:lang w:eastAsia="en-US"/>
        </w:rPr>
        <w:t>ych</w:t>
      </w:r>
      <w:r>
        <w:rPr>
          <w:rFonts w:eastAsia="Calibri"/>
          <w:lang w:eastAsia="en-US"/>
        </w:rPr>
        <w:t>, wprowadzenie oświetlenia dekoracyjnego</w:t>
      </w:r>
      <w:r w:rsidR="00F26297">
        <w:rPr>
          <w:rFonts w:eastAsia="Calibri"/>
          <w:lang w:eastAsia="en-US"/>
        </w:rPr>
        <w:t xml:space="preserve"> i parkowego</w:t>
      </w:r>
      <w:r>
        <w:rPr>
          <w:rFonts w:eastAsia="Calibri"/>
          <w:lang w:eastAsia="en-US"/>
        </w:rPr>
        <w:t xml:space="preserve">; </w:t>
      </w:r>
      <w:r w:rsidRPr="003904C1">
        <w:rPr>
          <w:rFonts w:eastAsia="Calibri"/>
          <w:lang w:eastAsia="en-US"/>
        </w:rPr>
        <w:t>wprowadzenie automatycznego systemu nawadniania</w:t>
      </w:r>
      <w:r w:rsidR="00F30552">
        <w:rPr>
          <w:rFonts w:eastAsia="Calibri"/>
          <w:lang w:eastAsia="en-US"/>
        </w:rPr>
        <w:t>; wprowadzenie elementów małej architektury</w:t>
      </w:r>
      <w:r w:rsidR="00E672C6">
        <w:rPr>
          <w:rFonts w:eastAsia="Calibri"/>
          <w:lang w:eastAsia="en-US"/>
        </w:rPr>
        <w:t xml:space="preserve"> (w tym wymianę/rozbudowę istniejącego placu zabaw oraz siłowni zewnętrznej)</w:t>
      </w:r>
      <w:r>
        <w:rPr>
          <w:rFonts w:eastAsia="Calibri"/>
          <w:lang w:eastAsia="en-US"/>
        </w:rPr>
        <w:t xml:space="preserve">. </w:t>
      </w:r>
      <w:bookmarkEnd w:id="3"/>
    </w:p>
    <w:p w14:paraId="1E284429" w14:textId="77777777" w:rsidR="00622CF6" w:rsidRDefault="00622CF6" w:rsidP="005E566B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14:paraId="027AC0C1" w14:textId="10870E5C" w:rsidR="00080AED" w:rsidRPr="00080AED" w:rsidRDefault="00F413AA" w:rsidP="005E566B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Park Adama Mickiewicza</w:t>
      </w:r>
      <w:r w:rsidR="00F670F8" w:rsidRPr="00080AED">
        <w:rPr>
          <w:rFonts w:ascii="Times New Roman" w:eastAsia="Calibri" w:hAnsi="Times New Roman" w:cs="Times New Roman"/>
          <w:sz w:val="24"/>
          <w:szCs w:val="24"/>
        </w:rPr>
        <w:t xml:space="preserve"> w Ostrowie Wielkopolskim </w:t>
      </w:r>
      <w:bookmarkStart w:id="4" w:name="_Hlk82860108"/>
      <w:r>
        <w:rPr>
          <w:rFonts w:ascii="Times New Roman" w:eastAsia="Calibri" w:hAnsi="Times New Roman" w:cs="Times New Roman"/>
          <w:sz w:val="24"/>
          <w:szCs w:val="24"/>
        </w:rPr>
        <w:t xml:space="preserve">w zakresie działek </w:t>
      </w:r>
      <w:r w:rsidR="00F30552" w:rsidRPr="00080AED">
        <w:rPr>
          <w:rFonts w:ascii="Times New Roman" w:eastAsia="Calibri" w:hAnsi="Times New Roman" w:cs="Times New Roman"/>
          <w:sz w:val="24"/>
          <w:szCs w:val="24"/>
        </w:rPr>
        <w:t xml:space="preserve"> nr: </w:t>
      </w:r>
      <w:r w:rsidR="005A224E">
        <w:rPr>
          <w:rFonts w:ascii="Times New Roman" w:eastAsia="Calibri" w:hAnsi="Times New Roman" w:cs="Times New Roman"/>
          <w:sz w:val="24"/>
          <w:szCs w:val="24"/>
        </w:rPr>
        <w:t xml:space="preserve">87, 88, 89, 92, 93/2, 130, część dz. 109 </w:t>
      </w:r>
      <w:r w:rsidR="00F30552" w:rsidRPr="00080AED">
        <w:rPr>
          <w:rFonts w:ascii="Times New Roman" w:eastAsia="Calibri" w:hAnsi="Times New Roman" w:cs="Times New Roman"/>
          <w:sz w:val="24"/>
          <w:szCs w:val="24"/>
        </w:rPr>
        <w:t xml:space="preserve">obręb </w:t>
      </w:r>
      <w:r w:rsidR="005A224E">
        <w:rPr>
          <w:rFonts w:ascii="Times New Roman" w:eastAsia="Calibri" w:hAnsi="Times New Roman" w:cs="Times New Roman"/>
          <w:sz w:val="24"/>
          <w:szCs w:val="24"/>
        </w:rPr>
        <w:t xml:space="preserve">0098 </w:t>
      </w:r>
      <w:r w:rsidR="00F30552" w:rsidRPr="00080AED">
        <w:rPr>
          <w:rFonts w:ascii="Times New Roman" w:eastAsia="Calibri" w:hAnsi="Times New Roman" w:cs="Times New Roman"/>
          <w:sz w:val="24"/>
          <w:szCs w:val="24"/>
        </w:rPr>
        <w:t>Ostrów Wielkopolski</w:t>
      </w:r>
      <w:bookmarkEnd w:id="4"/>
      <w:r w:rsidR="00D60FAF" w:rsidRPr="00080AED">
        <w:rPr>
          <w:rFonts w:ascii="Times New Roman" w:eastAsia="Calibri" w:hAnsi="Times New Roman" w:cs="Times New Roman"/>
          <w:sz w:val="24"/>
          <w:szCs w:val="24"/>
        </w:rPr>
        <w:t xml:space="preserve">; powierzchnia objęta opracowaniem </w:t>
      </w:r>
      <w:r w:rsidR="00080AED" w:rsidRPr="00080AED">
        <w:rPr>
          <w:rFonts w:ascii="Times New Roman" w:eastAsia="Calibri" w:hAnsi="Times New Roman" w:cs="Times New Roman"/>
          <w:sz w:val="24"/>
          <w:szCs w:val="24"/>
        </w:rPr>
        <w:t xml:space="preserve">wynosi </w:t>
      </w:r>
      <w:r w:rsidR="00D60FAF" w:rsidRPr="00080AED">
        <w:rPr>
          <w:rFonts w:ascii="Times New Roman" w:eastAsia="Calibri" w:hAnsi="Times New Roman" w:cs="Times New Roman"/>
          <w:sz w:val="24"/>
          <w:szCs w:val="24"/>
        </w:rPr>
        <w:t xml:space="preserve">ok. </w:t>
      </w:r>
      <w:r w:rsidR="005A224E">
        <w:rPr>
          <w:rFonts w:ascii="Times New Roman" w:eastAsia="Calibri" w:hAnsi="Times New Roman" w:cs="Times New Roman"/>
          <w:sz w:val="24"/>
          <w:szCs w:val="24"/>
        </w:rPr>
        <w:t>14000</w:t>
      </w:r>
      <w:r w:rsidR="00D60FAF" w:rsidRPr="00080AED">
        <w:rPr>
          <w:rFonts w:ascii="Times New Roman" w:eastAsia="Calibri" w:hAnsi="Times New Roman" w:cs="Times New Roman"/>
          <w:sz w:val="24"/>
          <w:szCs w:val="24"/>
        </w:rPr>
        <w:t>m2.</w:t>
      </w:r>
    </w:p>
    <w:p w14:paraId="1D5122AF" w14:textId="6BA0F677" w:rsidR="007A25DD" w:rsidRPr="001E23DE" w:rsidRDefault="007A25DD" w:rsidP="005E566B">
      <w:pPr>
        <w:pStyle w:val="Akapitzlist"/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AED">
        <w:rPr>
          <w:rFonts w:ascii="Times New Roman" w:eastAsia="Calibri" w:hAnsi="Times New Roman" w:cs="Times New Roman"/>
          <w:sz w:val="24"/>
          <w:szCs w:val="24"/>
        </w:rPr>
        <w:t xml:space="preserve">Przewiduje się wymianę istniejących nawierzchni na nawierzchnie mineralne,  </w:t>
      </w:r>
      <w:r w:rsidR="005760FF" w:rsidRPr="00080AED">
        <w:rPr>
          <w:rFonts w:ascii="Times New Roman" w:eastAsia="Calibri" w:hAnsi="Times New Roman" w:cs="Times New Roman"/>
          <w:sz w:val="24"/>
          <w:szCs w:val="24"/>
        </w:rPr>
        <w:t>uporządkowanie istniejącej zieleni wysokiej</w:t>
      </w:r>
      <w:r w:rsidR="00F413AA">
        <w:rPr>
          <w:rFonts w:ascii="Times New Roman" w:eastAsia="Calibri" w:hAnsi="Times New Roman" w:cs="Times New Roman"/>
          <w:sz w:val="24"/>
          <w:szCs w:val="24"/>
        </w:rPr>
        <w:t xml:space="preserve"> i krzewów</w:t>
      </w:r>
      <w:r w:rsidR="005760FF" w:rsidRPr="00080A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0AED">
        <w:rPr>
          <w:rFonts w:ascii="Times New Roman" w:eastAsia="Calibri" w:hAnsi="Times New Roman" w:cs="Times New Roman"/>
          <w:sz w:val="24"/>
          <w:szCs w:val="24"/>
        </w:rPr>
        <w:t xml:space="preserve">zagospodarowanie zielenią poprzez wykonanie nowych </w:t>
      </w:r>
      <w:proofErr w:type="spellStart"/>
      <w:r w:rsidRPr="00080AED">
        <w:rPr>
          <w:rFonts w:ascii="Times New Roman" w:eastAsia="Calibri" w:hAnsi="Times New Roman" w:cs="Times New Roman"/>
          <w:sz w:val="24"/>
          <w:szCs w:val="24"/>
        </w:rPr>
        <w:t>nasadzeń</w:t>
      </w:r>
      <w:proofErr w:type="spellEnd"/>
      <w:r w:rsidRPr="00080AED">
        <w:rPr>
          <w:rFonts w:ascii="Times New Roman" w:eastAsia="Calibri" w:hAnsi="Times New Roman" w:cs="Times New Roman"/>
          <w:sz w:val="24"/>
          <w:szCs w:val="24"/>
        </w:rPr>
        <w:t xml:space="preserve"> zieleni wysokiej i niskiej, wprowadzenie elementów małej architektury (</w:t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ławki, kosze na śmieci, stojaki na rowery itp.), wprowadzenie oświetlenia dekoracyjnego  </w:t>
      </w:r>
      <w:r w:rsidR="00791D91" w:rsidRPr="001E23DE">
        <w:rPr>
          <w:rFonts w:ascii="Times New Roman" w:eastAsia="Calibri" w:hAnsi="Times New Roman" w:cs="Times New Roman"/>
          <w:sz w:val="24"/>
          <w:szCs w:val="24"/>
        </w:rPr>
        <w:br/>
      </w:r>
      <w:r w:rsidRPr="001E23DE">
        <w:rPr>
          <w:rFonts w:ascii="Times New Roman" w:eastAsia="Calibri" w:hAnsi="Times New Roman" w:cs="Times New Roman"/>
          <w:sz w:val="24"/>
          <w:szCs w:val="24"/>
        </w:rPr>
        <w:t>i wymianę oświetlenia parkowego; wprowadzenie automatycznego systemu nawadniania</w:t>
      </w:r>
      <w:r w:rsidR="005760FF" w:rsidRPr="001E23DE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F413AA" w:rsidRPr="001E23DE">
        <w:rPr>
          <w:rFonts w:ascii="Times New Roman" w:eastAsia="Calibri" w:hAnsi="Times New Roman" w:cs="Times New Roman"/>
          <w:sz w:val="24"/>
          <w:szCs w:val="24"/>
        </w:rPr>
        <w:t>przebu</w:t>
      </w:r>
      <w:r w:rsidR="005760FF" w:rsidRPr="001E23DE">
        <w:rPr>
          <w:rFonts w:ascii="Times New Roman" w:eastAsia="Calibri" w:hAnsi="Times New Roman" w:cs="Times New Roman"/>
          <w:sz w:val="24"/>
          <w:szCs w:val="24"/>
        </w:rPr>
        <w:t xml:space="preserve">dowę </w:t>
      </w:r>
      <w:r w:rsidR="00F413AA" w:rsidRPr="001E23DE">
        <w:rPr>
          <w:rFonts w:ascii="Times New Roman" w:eastAsia="Calibri" w:hAnsi="Times New Roman" w:cs="Times New Roman"/>
          <w:sz w:val="24"/>
          <w:szCs w:val="24"/>
        </w:rPr>
        <w:t xml:space="preserve"> istniejącego </w:t>
      </w:r>
      <w:r w:rsidR="005760FF" w:rsidRPr="001E23DE">
        <w:rPr>
          <w:rFonts w:ascii="Times New Roman" w:eastAsia="Calibri" w:hAnsi="Times New Roman" w:cs="Times New Roman"/>
          <w:sz w:val="24"/>
          <w:szCs w:val="24"/>
        </w:rPr>
        <w:t>zbiornika wodnego z fontanną</w:t>
      </w:r>
      <w:r w:rsidR="003904C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3904C1">
        <w:rPr>
          <w:rFonts w:ascii="Times New Roman" w:eastAsia="Calibri" w:hAnsi="Times New Roman" w:cs="Times New Roman"/>
          <w:sz w:val="24"/>
          <w:szCs w:val="24"/>
        </w:rPr>
        <w:t>renaturalizacja</w:t>
      </w:r>
      <w:proofErr w:type="spellEnd"/>
      <w:r w:rsidR="003904C1">
        <w:rPr>
          <w:rFonts w:ascii="Times New Roman" w:eastAsia="Calibri" w:hAnsi="Times New Roman" w:cs="Times New Roman"/>
          <w:sz w:val="24"/>
          <w:szCs w:val="24"/>
        </w:rPr>
        <w:t>, pogłębienie)</w:t>
      </w:r>
      <w:r w:rsidR="005760FF" w:rsidRPr="001E23D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2BF804" w14:textId="77777777" w:rsidR="005A224E" w:rsidRPr="001E23DE" w:rsidRDefault="005A224E" w:rsidP="005E566B">
      <w:pPr>
        <w:pStyle w:val="Akapitzlist"/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34D845" w14:textId="51C9F2D7" w:rsidR="001E23DE" w:rsidRPr="001E23DE" w:rsidRDefault="00F30552" w:rsidP="005E566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eastAsia="Calibri"/>
        </w:rPr>
      </w:pPr>
      <w:r w:rsidRPr="001E23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ul. Wrocławskiej </w:t>
      </w:r>
      <w:r w:rsidR="008322C0" w:rsidRPr="001E23DE">
        <w:rPr>
          <w:rFonts w:ascii="Times New Roman" w:eastAsia="Calibri" w:hAnsi="Times New Roman" w:cs="Times New Roman"/>
          <w:sz w:val="24"/>
          <w:szCs w:val="24"/>
        </w:rPr>
        <w:t xml:space="preserve">na odcinku od przejścia dla pieszych w rejonie ul. </w:t>
      </w:r>
      <w:proofErr w:type="spellStart"/>
      <w:r w:rsidR="008322C0" w:rsidRPr="001E23DE">
        <w:rPr>
          <w:rFonts w:ascii="Times New Roman" w:eastAsia="Calibri" w:hAnsi="Times New Roman" w:cs="Times New Roman"/>
          <w:sz w:val="24"/>
          <w:szCs w:val="24"/>
        </w:rPr>
        <w:t>Klonowicza</w:t>
      </w:r>
      <w:proofErr w:type="spellEnd"/>
      <w:r w:rsidR="008322C0" w:rsidRPr="001E23DE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1E23DE" w:rsidRPr="001E23DE">
        <w:rPr>
          <w:rFonts w:ascii="Times New Roman" w:eastAsia="Calibri" w:hAnsi="Times New Roman" w:cs="Times New Roman"/>
          <w:sz w:val="24"/>
          <w:szCs w:val="24"/>
        </w:rPr>
        <w:t>r</w:t>
      </w:r>
      <w:r w:rsidR="00406285" w:rsidRPr="001E23DE">
        <w:rPr>
          <w:rFonts w:ascii="Times New Roman" w:eastAsia="Calibri" w:hAnsi="Times New Roman" w:cs="Times New Roman"/>
          <w:sz w:val="24"/>
          <w:szCs w:val="24"/>
        </w:rPr>
        <w:t>onda Miast Partnerskich</w:t>
      </w:r>
      <w:r w:rsidR="008322C0" w:rsidRPr="001E23DE">
        <w:rPr>
          <w:rFonts w:ascii="Times New Roman" w:eastAsia="Calibri" w:hAnsi="Times New Roman" w:cs="Times New Roman"/>
          <w:sz w:val="24"/>
          <w:szCs w:val="24"/>
        </w:rPr>
        <w:t xml:space="preserve"> (odc. dł. ok. </w:t>
      </w:r>
      <w:r w:rsidR="000C528A" w:rsidRPr="001E23DE">
        <w:rPr>
          <w:rFonts w:ascii="Times New Roman" w:eastAsia="Calibri" w:hAnsi="Times New Roman" w:cs="Times New Roman"/>
          <w:sz w:val="24"/>
          <w:szCs w:val="24"/>
        </w:rPr>
        <w:t>900m</w:t>
      </w:r>
      <w:r w:rsidR="008322C0" w:rsidRPr="001E23D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w Ostrowie Wielkopolskim w zakresie działek nr: </w:t>
      </w:r>
      <w:bookmarkStart w:id="5" w:name="_Hlk82860185"/>
      <w:r w:rsidR="000C528A" w:rsidRPr="001E23DE">
        <w:rPr>
          <w:rFonts w:ascii="Times New Roman" w:eastAsia="Calibri" w:hAnsi="Times New Roman" w:cs="Times New Roman"/>
          <w:sz w:val="24"/>
          <w:szCs w:val="24"/>
        </w:rPr>
        <w:br/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7, </w:t>
      </w:r>
      <w:r w:rsidR="000C528A" w:rsidRPr="001E23DE">
        <w:rPr>
          <w:rFonts w:ascii="Times New Roman" w:eastAsia="Calibri" w:hAnsi="Times New Roman" w:cs="Times New Roman"/>
          <w:sz w:val="24"/>
          <w:szCs w:val="24"/>
        </w:rPr>
        <w:t xml:space="preserve">4/3, 6/2, </w:t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19, 20/2 obręb Ostrów Wielkopolski 0081; </w:t>
      </w:r>
      <w:r w:rsidR="000C528A" w:rsidRPr="001E23DE">
        <w:rPr>
          <w:rFonts w:ascii="Times New Roman" w:eastAsia="Calibri" w:hAnsi="Times New Roman" w:cs="Times New Roman"/>
          <w:sz w:val="24"/>
          <w:szCs w:val="24"/>
        </w:rPr>
        <w:t xml:space="preserve">3/2, 5/2, 6/2, 12/6, 13/2, 16/8, 16/6, 16/4, 18/1, </w:t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51, 20/3, 50/3, 19/3, 46/3 obręb Ostrów Wielkopolski 0096; </w:t>
      </w:r>
      <w:r w:rsidR="00FF0A32" w:rsidRPr="001E23DE">
        <w:rPr>
          <w:rFonts w:ascii="Times New Roman" w:eastAsia="Calibri" w:hAnsi="Times New Roman" w:cs="Times New Roman"/>
          <w:sz w:val="24"/>
          <w:szCs w:val="24"/>
        </w:rPr>
        <w:t xml:space="preserve">11, </w:t>
      </w:r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18/2, 18/3, 19/5, 20/1, 21/1, 23/1, </w:t>
      </w:r>
      <w:r w:rsidR="00FF0A32" w:rsidRPr="001E23DE">
        <w:rPr>
          <w:rFonts w:ascii="Times New Roman" w:eastAsia="Calibri" w:hAnsi="Times New Roman" w:cs="Times New Roman"/>
          <w:sz w:val="24"/>
          <w:szCs w:val="24"/>
        </w:rPr>
        <w:t xml:space="preserve">51, </w:t>
      </w:r>
      <w:r w:rsidRPr="001E23DE">
        <w:rPr>
          <w:rFonts w:ascii="Times New Roman" w:eastAsia="Calibri" w:hAnsi="Times New Roman" w:cs="Times New Roman"/>
          <w:sz w:val="24"/>
          <w:szCs w:val="24"/>
        </w:rPr>
        <w:t>70/1, 71/3, 72/2, 73/2, 74/1,</w:t>
      </w:r>
      <w:r w:rsidR="00FF0A32" w:rsidRPr="001E23DE">
        <w:rPr>
          <w:rFonts w:ascii="Times New Roman" w:eastAsia="Calibri" w:hAnsi="Times New Roman" w:cs="Times New Roman"/>
          <w:sz w:val="24"/>
          <w:szCs w:val="24"/>
        </w:rPr>
        <w:t xml:space="preserve"> 125, </w:t>
      </w:r>
      <w:r w:rsidRPr="001E23DE">
        <w:rPr>
          <w:rFonts w:ascii="Times New Roman" w:eastAsia="Calibri" w:hAnsi="Times New Roman" w:cs="Times New Roman"/>
          <w:sz w:val="24"/>
          <w:szCs w:val="24"/>
        </w:rPr>
        <w:t>129/1, 133/2, 134/1, 150 obręb Ostrów Wielkopolski 0097</w:t>
      </w:r>
      <w:bookmarkEnd w:id="5"/>
      <w:r w:rsidRPr="001E23DE">
        <w:rPr>
          <w:rFonts w:ascii="Times New Roman" w:eastAsia="Calibri" w:hAnsi="Times New Roman" w:cs="Times New Roman"/>
          <w:sz w:val="24"/>
          <w:szCs w:val="24"/>
        </w:rPr>
        <w:t xml:space="preserve">; powierzchnia objęta opracowaniem ok. </w:t>
      </w:r>
      <w:r w:rsidR="001E23DE" w:rsidRPr="001E23DE">
        <w:rPr>
          <w:rFonts w:ascii="Times New Roman" w:eastAsia="Calibri" w:hAnsi="Times New Roman" w:cs="Times New Roman"/>
          <w:sz w:val="24"/>
          <w:szCs w:val="24"/>
        </w:rPr>
        <w:t>25 000 m2</w:t>
      </w:r>
    </w:p>
    <w:p w14:paraId="13CF670F" w14:textId="3EDAAD3D" w:rsidR="00F30552" w:rsidRPr="001E23DE" w:rsidRDefault="002908CB" w:rsidP="005E566B">
      <w:pPr>
        <w:pStyle w:val="Akapitzlist"/>
        <w:spacing w:line="276" w:lineRule="auto"/>
        <w:ind w:left="426"/>
        <w:jc w:val="both"/>
        <w:rPr>
          <w:rFonts w:ascii="Times New Roman" w:eastAsia="Calibri" w:hAnsi="Times New Roman" w:cs="Times New Roman"/>
        </w:rPr>
      </w:pPr>
      <w:r w:rsidRPr="001E23DE">
        <w:rPr>
          <w:rFonts w:ascii="Times New Roman" w:eastAsia="Calibri" w:hAnsi="Times New Roman" w:cs="Times New Roman"/>
        </w:rPr>
        <w:t>Planuje</w:t>
      </w:r>
      <w:r w:rsidR="00F30552" w:rsidRPr="001E23DE">
        <w:rPr>
          <w:rFonts w:ascii="Times New Roman" w:eastAsia="Calibri" w:hAnsi="Times New Roman" w:cs="Times New Roman"/>
        </w:rPr>
        <w:t xml:space="preserve"> się </w:t>
      </w:r>
      <w:r w:rsidR="00E672C6" w:rsidRPr="001E23DE">
        <w:rPr>
          <w:rFonts w:ascii="Times New Roman" w:eastAsia="Calibri" w:hAnsi="Times New Roman" w:cs="Times New Roman"/>
        </w:rPr>
        <w:t xml:space="preserve">przebudowę drogi </w:t>
      </w:r>
      <w:r w:rsidR="005559D0" w:rsidRPr="001E23DE">
        <w:rPr>
          <w:rFonts w:ascii="Times New Roman" w:eastAsia="Calibri" w:hAnsi="Times New Roman" w:cs="Times New Roman"/>
        </w:rPr>
        <w:t xml:space="preserve">do przekroju 1x2, </w:t>
      </w:r>
      <w:r w:rsidR="00E672C6" w:rsidRPr="001E23DE">
        <w:rPr>
          <w:rFonts w:ascii="Times New Roman" w:eastAsia="Calibri" w:hAnsi="Times New Roman" w:cs="Times New Roman"/>
        </w:rPr>
        <w:t>likwidację pasa rozdziału na rzecz utworzenia pas</w:t>
      </w:r>
      <w:r w:rsidR="005559D0" w:rsidRPr="001E23DE">
        <w:rPr>
          <w:rFonts w:ascii="Times New Roman" w:eastAsia="Calibri" w:hAnsi="Times New Roman" w:cs="Times New Roman"/>
        </w:rPr>
        <w:t>ów</w:t>
      </w:r>
      <w:r w:rsidR="00E672C6" w:rsidRPr="001E23DE">
        <w:rPr>
          <w:rFonts w:ascii="Times New Roman" w:eastAsia="Calibri" w:hAnsi="Times New Roman" w:cs="Times New Roman"/>
        </w:rPr>
        <w:t xml:space="preserve"> zieleni w przestrzeni pomiędzy jezdnią a chodnikami</w:t>
      </w:r>
      <w:r w:rsidR="005559D0" w:rsidRPr="001E23DE">
        <w:rPr>
          <w:rFonts w:ascii="Times New Roman" w:eastAsia="Calibri" w:hAnsi="Times New Roman" w:cs="Times New Roman"/>
        </w:rPr>
        <w:t>,</w:t>
      </w:r>
      <w:r w:rsidR="00E672C6" w:rsidRPr="001E23DE">
        <w:rPr>
          <w:rFonts w:ascii="Times New Roman" w:eastAsia="Calibri" w:hAnsi="Times New Roman" w:cs="Times New Roman"/>
        </w:rPr>
        <w:t xml:space="preserve"> </w:t>
      </w:r>
      <w:r w:rsidR="00F30552" w:rsidRPr="001E23DE">
        <w:rPr>
          <w:rFonts w:ascii="Times New Roman" w:eastAsia="Calibri" w:hAnsi="Times New Roman" w:cs="Times New Roman"/>
        </w:rPr>
        <w:t xml:space="preserve">wymianę istniejących nawierzchni na nawierzchnie z kamiennych płyt granitowych oraz z kostki </w:t>
      </w:r>
      <w:r w:rsidR="005760FF" w:rsidRPr="001E23DE">
        <w:rPr>
          <w:rFonts w:ascii="Times New Roman" w:eastAsia="Calibri" w:hAnsi="Times New Roman" w:cs="Times New Roman"/>
        </w:rPr>
        <w:t>betonowej</w:t>
      </w:r>
      <w:r w:rsidR="005559D0" w:rsidRPr="001E23DE">
        <w:rPr>
          <w:rFonts w:ascii="Times New Roman" w:eastAsia="Calibri" w:hAnsi="Times New Roman" w:cs="Times New Roman"/>
        </w:rPr>
        <w:t xml:space="preserve"> (lub płytek betonowych)</w:t>
      </w:r>
      <w:r w:rsidR="005760FF" w:rsidRPr="001E23DE">
        <w:rPr>
          <w:rFonts w:ascii="Times New Roman" w:eastAsia="Calibri" w:hAnsi="Times New Roman" w:cs="Times New Roman"/>
        </w:rPr>
        <w:t>, wymianę krawężników drogowych</w:t>
      </w:r>
      <w:r w:rsidR="00F30552" w:rsidRPr="001E23DE">
        <w:rPr>
          <w:rFonts w:ascii="Times New Roman" w:eastAsia="Calibri" w:hAnsi="Times New Roman" w:cs="Times New Roman"/>
        </w:rPr>
        <w:t>,</w:t>
      </w:r>
      <w:r w:rsidR="005760FF" w:rsidRPr="001E23DE">
        <w:rPr>
          <w:rFonts w:ascii="Times New Roman" w:eastAsia="Calibri" w:hAnsi="Times New Roman" w:cs="Times New Roman"/>
        </w:rPr>
        <w:t xml:space="preserve"> uporządkowanie istniejącej zieleni wysokiej,</w:t>
      </w:r>
      <w:r w:rsidR="00F30552" w:rsidRPr="001E23DE">
        <w:rPr>
          <w:rFonts w:ascii="Times New Roman" w:eastAsia="Calibri" w:hAnsi="Times New Roman" w:cs="Times New Roman"/>
        </w:rPr>
        <w:t xml:space="preserve"> </w:t>
      </w:r>
      <w:r w:rsidR="003E25A2" w:rsidRPr="001E23DE">
        <w:rPr>
          <w:rFonts w:ascii="Times New Roman" w:eastAsia="Calibri" w:hAnsi="Times New Roman" w:cs="Times New Roman"/>
        </w:rPr>
        <w:t xml:space="preserve"> </w:t>
      </w:r>
      <w:r w:rsidR="00F30552" w:rsidRPr="001E23DE">
        <w:rPr>
          <w:rFonts w:ascii="Times New Roman" w:eastAsia="Calibri" w:hAnsi="Times New Roman" w:cs="Times New Roman"/>
        </w:rPr>
        <w:t xml:space="preserve">zagospodarowanie zielenią poprzez wykonanie nowych </w:t>
      </w:r>
      <w:proofErr w:type="spellStart"/>
      <w:r w:rsidR="00F30552" w:rsidRPr="001E23DE">
        <w:rPr>
          <w:rFonts w:ascii="Times New Roman" w:eastAsia="Calibri" w:hAnsi="Times New Roman" w:cs="Times New Roman"/>
        </w:rPr>
        <w:t>nasadzeń</w:t>
      </w:r>
      <w:proofErr w:type="spellEnd"/>
      <w:r w:rsidR="00F30552" w:rsidRPr="001E23DE">
        <w:rPr>
          <w:rFonts w:ascii="Times New Roman" w:eastAsia="Calibri" w:hAnsi="Times New Roman" w:cs="Times New Roman"/>
        </w:rPr>
        <w:t xml:space="preserve"> zieleni wysokiej i niskiej, wprowadzenie automatycznego systemu nawadniania</w:t>
      </w:r>
      <w:r w:rsidR="005559D0" w:rsidRPr="001E23DE">
        <w:rPr>
          <w:rFonts w:ascii="Times New Roman" w:eastAsia="Calibri" w:hAnsi="Times New Roman" w:cs="Times New Roman"/>
        </w:rPr>
        <w:t>, montaż elementów małej architektury</w:t>
      </w:r>
      <w:r w:rsidRPr="001E23DE">
        <w:rPr>
          <w:rFonts w:ascii="Times New Roman" w:eastAsia="Calibri" w:hAnsi="Times New Roman" w:cs="Times New Roman"/>
        </w:rPr>
        <w:t>.</w:t>
      </w:r>
      <w:r w:rsidR="00F30552" w:rsidRPr="001E23DE">
        <w:rPr>
          <w:rFonts w:ascii="Times New Roman" w:eastAsia="Calibri" w:hAnsi="Times New Roman" w:cs="Times New Roman"/>
        </w:rPr>
        <w:t xml:space="preserve"> </w:t>
      </w:r>
    </w:p>
    <w:p w14:paraId="03761601" w14:textId="3C2843C9" w:rsidR="00AF2716" w:rsidRPr="00420B3A" w:rsidRDefault="00420B3A" w:rsidP="005E566B">
      <w:pPr>
        <w:pStyle w:val="Nagwek3"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Celem inwestycji jest </w:t>
      </w:r>
      <w:r w:rsidR="001E23DE" w:rsidRPr="00420B3A">
        <w:rPr>
          <w:rFonts w:ascii="Times New Roman" w:eastAsia="Calibri" w:hAnsi="Times New Roman" w:cs="Times New Roman"/>
          <w:color w:val="auto"/>
          <w:lang w:eastAsia="en-US"/>
        </w:rPr>
        <w:t>popraw</w:t>
      </w:r>
      <w:r>
        <w:rPr>
          <w:rFonts w:ascii="Times New Roman" w:eastAsia="Calibri" w:hAnsi="Times New Roman" w:cs="Times New Roman"/>
          <w:color w:val="auto"/>
          <w:lang w:eastAsia="en-US"/>
        </w:rPr>
        <w:t>a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jakości środowiska naturalnego na terenie intensywnie zurbanizowanego centrum miasta, poprzez zwiększenie obszarów zieleni, przywracanie do właściwego stanu siedlisk przyrodniczych, zapewnienie bioróżnorodności, stosowanie rozwiązań naturalnych lub bazujących na naturalnych, retencjonowanie i zagospodarowanie wody opadowej</w:t>
      </w:r>
      <w:r w:rsidR="00DF6CEF" w:rsidRPr="00420B3A">
        <w:rPr>
          <w:rFonts w:ascii="Times New Roman" w:eastAsia="Calibri" w:hAnsi="Times New Roman" w:cs="Times New Roman"/>
          <w:color w:val="auto"/>
          <w:lang w:eastAsia="en-US"/>
        </w:rPr>
        <w:t>/roztopowej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DF6CEF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w miejscu jej opadu 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>(</w:t>
      </w:r>
      <w:proofErr w:type="spellStart"/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>renaturalizacja</w:t>
      </w:r>
      <w:proofErr w:type="spellEnd"/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, </w:t>
      </w:r>
      <w:r w:rsidR="009E6F32">
        <w:rPr>
          <w:rFonts w:ascii="Times New Roman" w:eastAsia="Calibri" w:hAnsi="Times New Roman" w:cs="Times New Roman"/>
          <w:color w:val="auto"/>
          <w:lang w:eastAsia="en-US"/>
        </w:rPr>
        <w:t>stosowanie</w:t>
      </w:r>
      <w:r w:rsidR="00AF2716" w:rsidRPr="00420B3A">
        <w:rPr>
          <w:rFonts w:ascii="Times New Roman" w:eastAsia="Calibri" w:hAnsi="Times New Roman" w:cs="Times New Roman"/>
          <w:color w:val="auto"/>
          <w:lang w:eastAsia="en-US"/>
        </w:rPr>
        <w:t xml:space="preserve"> nawierzchni przepuszczalnych)</w:t>
      </w:r>
      <w:r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165BA74F" w14:textId="77777777" w:rsidR="00AF2716" w:rsidRDefault="00AF2716" w:rsidP="005E566B">
      <w:pPr>
        <w:spacing w:line="276" w:lineRule="auto"/>
        <w:rPr>
          <w:b/>
        </w:rPr>
      </w:pPr>
    </w:p>
    <w:p w14:paraId="5E3963EB" w14:textId="7B122854" w:rsidR="00BC6DF9" w:rsidRDefault="00BC6DF9" w:rsidP="005E566B">
      <w:pPr>
        <w:spacing w:line="276" w:lineRule="auto"/>
        <w:rPr>
          <w:b/>
        </w:rPr>
      </w:pPr>
      <w:r>
        <w:rPr>
          <w:b/>
        </w:rPr>
        <w:t>Zamawiający p]</w:t>
      </w:r>
    </w:p>
    <w:p w14:paraId="0121E537" w14:textId="04DB4230" w:rsidR="002876A5" w:rsidRDefault="00D60C7D" w:rsidP="005E566B">
      <w:pPr>
        <w:spacing w:line="276" w:lineRule="auto"/>
        <w:rPr>
          <w:b/>
        </w:rPr>
      </w:pPr>
      <w:r w:rsidRPr="00F56B9C">
        <w:rPr>
          <w:b/>
        </w:rPr>
        <w:t>Opis stanu istniejącego</w:t>
      </w:r>
    </w:p>
    <w:p w14:paraId="550B49B0" w14:textId="77777777" w:rsidR="00420B3A" w:rsidRPr="00420B3A" w:rsidRDefault="00420B3A" w:rsidP="005E566B">
      <w:pPr>
        <w:spacing w:line="276" w:lineRule="auto"/>
        <w:rPr>
          <w:b/>
        </w:rPr>
      </w:pPr>
    </w:p>
    <w:p w14:paraId="0C6317D2" w14:textId="77777777" w:rsidR="00D60C7D" w:rsidRPr="00F56B9C" w:rsidRDefault="00D60C7D" w:rsidP="005E566B">
      <w:pPr>
        <w:spacing w:line="276" w:lineRule="auto"/>
        <w:rPr>
          <w:u w:val="single"/>
        </w:rPr>
      </w:pPr>
      <w:r w:rsidRPr="00F56B9C">
        <w:rPr>
          <w:u w:val="single"/>
        </w:rPr>
        <w:t>Ogólna charakterystyka terenu inwestycji</w:t>
      </w:r>
    </w:p>
    <w:p w14:paraId="5D28C3E3" w14:textId="77777777" w:rsidR="00420B3A" w:rsidRDefault="00420B3A" w:rsidP="005E566B">
      <w:pPr>
        <w:spacing w:line="276" w:lineRule="auto"/>
        <w:jc w:val="both"/>
      </w:pPr>
    </w:p>
    <w:p w14:paraId="5E29A8B1" w14:textId="2D16C24D" w:rsidR="005A224E" w:rsidRDefault="005A224E" w:rsidP="005E566B">
      <w:pPr>
        <w:spacing w:line="276" w:lineRule="auto"/>
        <w:jc w:val="both"/>
      </w:pPr>
      <w:r>
        <w:t>CZĘŚĆ I</w:t>
      </w:r>
    </w:p>
    <w:p w14:paraId="25CADA1B" w14:textId="455FC428" w:rsidR="00F413AA" w:rsidRPr="00F413AA" w:rsidRDefault="00F413AA" w:rsidP="005E566B">
      <w:pPr>
        <w:spacing w:line="276" w:lineRule="auto"/>
        <w:jc w:val="both"/>
      </w:pPr>
      <w:r w:rsidRPr="00F413AA">
        <w:t xml:space="preserve">Park 3 Maja (os. Powstańców Wielkopolskich). Dawny Park 1 Maja, powstały na przełomie XIX i XX wieku, największy w śródmieściu, </w:t>
      </w:r>
      <w:r w:rsidR="00505A31">
        <w:t xml:space="preserve">znajduje się w nim </w:t>
      </w:r>
      <w:r w:rsidRPr="00F413AA">
        <w:t xml:space="preserve">wiele drzew pomnikowych. Spośród parków ostrowskich posiada najwyższą wartość zabytkową, rewaloryzowany. </w:t>
      </w:r>
    </w:p>
    <w:p w14:paraId="34D8A8BE" w14:textId="77777777" w:rsidR="00F413AA" w:rsidRPr="00F413AA" w:rsidRDefault="00F413AA" w:rsidP="005E566B">
      <w:pPr>
        <w:spacing w:line="276" w:lineRule="auto"/>
        <w:jc w:val="both"/>
      </w:pPr>
      <w:r w:rsidRPr="00F413AA">
        <w:t>Zabytek chroniony prawem 207/</w:t>
      </w:r>
      <w:proofErr w:type="spellStart"/>
      <w:r w:rsidRPr="00F413AA">
        <w:t>Wlkp</w:t>
      </w:r>
      <w:proofErr w:type="spellEnd"/>
      <w:r w:rsidRPr="00F413AA">
        <w:t>/A z 23.11.2004.</w:t>
      </w:r>
    </w:p>
    <w:p w14:paraId="4DD5D628" w14:textId="28835FB4" w:rsidR="00916A1D" w:rsidRPr="00AE1182" w:rsidRDefault="00882407" w:rsidP="005E566B">
      <w:pPr>
        <w:spacing w:line="276" w:lineRule="auto"/>
        <w:jc w:val="both"/>
      </w:pPr>
      <w:r w:rsidRPr="00F413AA">
        <w:t xml:space="preserve">Teren, na którym planowana jest inwestycja znajduje się w </w:t>
      </w:r>
      <w:r w:rsidR="000B005C" w:rsidRPr="00F413AA">
        <w:t xml:space="preserve">południowej </w:t>
      </w:r>
      <w:r w:rsidRPr="00F413AA">
        <w:t xml:space="preserve">części miasta Ostrowa </w:t>
      </w:r>
      <w:r w:rsidRPr="00AE1182">
        <w:t>Wielkopolskiego</w:t>
      </w:r>
      <w:r w:rsidR="000B005C" w:rsidRPr="00AE1182">
        <w:t>,</w:t>
      </w:r>
      <w:r w:rsidRPr="00AE1182">
        <w:t xml:space="preserve"> w strefie ochrony archeologicznej</w:t>
      </w:r>
      <w:r w:rsidR="002908CB" w:rsidRPr="00AE1182">
        <w:t>,</w:t>
      </w:r>
      <w:r w:rsidR="00916A1D" w:rsidRPr="00AE1182">
        <w:t xml:space="preserve"> na terenie Osiedla Powstańców Wielkopolskich, w obszarze rewitalizacji – II podobszar.</w:t>
      </w:r>
    </w:p>
    <w:p w14:paraId="13574AC4" w14:textId="09BE2ECA" w:rsidR="00B07EF4" w:rsidRPr="00AE1182" w:rsidRDefault="00916A1D" w:rsidP="005E566B">
      <w:pPr>
        <w:spacing w:line="276" w:lineRule="auto"/>
        <w:jc w:val="both"/>
      </w:pPr>
      <w:r w:rsidRPr="00AE1182">
        <w:t xml:space="preserve">Działka </w:t>
      </w:r>
      <w:r w:rsidR="00F413AA" w:rsidRPr="00AE1182">
        <w:t>nie jest objęta</w:t>
      </w:r>
      <w:r w:rsidRPr="00AE1182">
        <w:t xml:space="preserve"> miejscowym planem zagospodarowania </w:t>
      </w:r>
      <w:r w:rsidR="00882407" w:rsidRPr="00AE1182">
        <w:t>.</w:t>
      </w:r>
    </w:p>
    <w:p w14:paraId="16DC0F48" w14:textId="77777777" w:rsidR="00B07EF4" w:rsidRPr="00AE1182" w:rsidRDefault="00B07EF4" w:rsidP="005E566B">
      <w:pPr>
        <w:spacing w:line="276" w:lineRule="auto"/>
      </w:pPr>
      <w:r w:rsidRPr="00AE1182">
        <w:t>W obrębie inwestycji zlokalizowano następujące urządzenia uzbrojenia podziemnego:</w:t>
      </w:r>
    </w:p>
    <w:p w14:paraId="0BA2F6AE" w14:textId="05CE5AE3" w:rsidR="00892D4E" w:rsidRPr="00AE1182" w:rsidRDefault="00892D4E" w:rsidP="005E566B">
      <w:pPr>
        <w:spacing w:line="276" w:lineRule="auto"/>
        <w:ind w:left="284" w:hanging="284"/>
      </w:pPr>
      <w:r w:rsidRPr="00AE1182">
        <w:t xml:space="preserve">- </w:t>
      </w:r>
      <w:r w:rsidR="00312F7F" w:rsidRPr="00AE1182">
        <w:tab/>
      </w:r>
      <w:r w:rsidRPr="00AE1182">
        <w:t>sieć wodociągowa</w:t>
      </w:r>
    </w:p>
    <w:p w14:paraId="588173AE" w14:textId="2E8770FE" w:rsidR="00040769" w:rsidRPr="00AE1182" w:rsidRDefault="00040769" w:rsidP="005E566B">
      <w:pPr>
        <w:spacing w:line="276" w:lineRule="auto"/>
        <w:ind w:left="284" w:hanging="284"/>
      </w:pPr>
      <w:r w:rsidRPr="00AE1182">
        <w:t>-</w:t>
      </w:r>
      <w:r w:rsidRPr="00AE1182">
        <w:tab/>
        <w:t>sieć ciepłownicza</w:t>
      </w:r>
    </w:p>
    <w:p w14:paraId="70C009E0" w14:textId="5E2BE548" w:rsidR="00892D4E" w:rsidRPr="00AE1182" w:rsidRDefault="00892D4E" w:rsidP="005E566B">
      <w:pPr>
        <w:spacing w:line="276" w:lineRule="auto"/>
        <w:ind w:left="284" w:hanging="284"/>
      </w:pPr>
      <w:r w:rsidRPr="00AE1182">
        <w:t xml:space="preserve">- </w:t>
      </w:r>
      <w:r w:rsidR="00312F7F" w:rsidRPr="00AE1182">
        <w:tab/>
      </w:r>
      <w:r w:rsidRPr="00AE1182">
        <w:t xml:space="preserve">linie energetyczne </w:t>
      </w:r>
      <w:proofErr w:type="spellStart"/>
      <w:r w:rsidRPr="00AE1182">
        <w:t>nn</w:t>
      </w:r>
      <w:proofErr w:type="spellEnd"/>
      <w:r w:rsidRPr="00AE1182">
        <w:t xml:space="preserve"> 0,4 </w:t>
      </w:r>
      <w:proofErr w:type="spellStart"/>
      <w:r w:rsidRPr="00AE1182">
        <w:t>kV</w:t>
      </w:r>
      <w:proofErr w:type="spellEnd"/>
      <w:r w:rsidRPr="00AE1182">
        <w:t xml:space="preserve"> i SN 15 </w:t>
      </w:r>
      <w:proofErr w:type="spellStart"/>
      <w:r w:rsidRPr="00AE1182">
        <w:t>kV</w:t>
      </w:r>
      <w:proofErr w:type="spellEnd"/>
    </w:p>
    <w:p w14:paraId="348EA260" w14:textId="77777777" w:rsidR="00F413AA" w:rsidRPr="00AE1182" w:rsidRDefault="00F413AA" w:rsidP="005E566B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AE1182">
        <w:rPr>
          <w:rFonts w:eastAsia="Calibri"/>
          <w:lang w:eastAsia="en-US"/>
        </w:rPr>
        <w:t>W parku znajduje się siłowania zewnętrzna oraz plac zabaw dla dzieci.</w:t>
      </w:r>
    </w:p>
    <w:p w14:paraId="675611B7" w14:textId="3B9FD596" w:rsidR="00F7680F" w:rsidRPr="00AE1182" w:rsidRDefault="00F7680F" w:rsidP="005E566B">
      <w:pPr>
        <w:spacing w:line="276" w:lineRule="auto"/>
        <w:ind w:left="284" w:hanging="284"/>
        <w:jc w:val="both"/>
        <w:rPr>
          <w:rFonts w:eastAsia="Calibri"/>
          <w:bCs/>
          <w:sz w:val="28"/>
          <w:szCs w:val="28"/>
          <w:lang w:eastAsia="en-US"/>
        </w:rPr>
      </w:pPr>
    </w:p>
    <w:p w14:paraId="131442FA" w14:textId="418919CD" w:rsidR="005A224E" w:rsidRPr="00AE1182" w:rsidRDefault="005A224E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>CZĘŚĆ II</w:t>
      </w:r>
    </w:p>
    <w:p w14:paraId="55A3935F" w14:textId="77777777" w:rsidR="005A224E" w:rsidRPr="00AE1182" w:rsidRDefault="005A224E" w:rsidP="005E566B">
      <w:pPr>
        <w:spacing w:line="276" w:lineRule="auto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 xml:space="preserve">Park Adama Mickiewicza (os. Powstańców Wielkopolskich) pochodzący z końca XIX wieku. </w:t>
      </w:r>
    </w:p>
    <w:p w14:paraId="07696244" w14:textId="58429D83" w:rsidR="005A224E" w:rsidRPr="00AE1182" w:rsidRDefault="005A224E" w:rsidP="005E566B">
      <w:pPr>
        <w:spacing w:line="276" w:lineRule="auto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>W parku znajduje się staw z fontanną. Na terenie parku, na wydzielonej działce, znajduje się zabytkowa wieża ciśnień z pocz</w:t>
      </w:r>
      <w:r w:rsidR="00505A31" w:rsidRPr="00AE1182">
        <w:rPr>
          <w:rFonts w:eastAsia="Calibri"/>
          <w:bCs/>
          <w:lang w:eastAsia="en-US"/>
        </w:rPr>
        <w:t>ątku</w:t>
      </w:r>
      <w:r w:rsidRPr="00AE1182">
        <w:rPr>
          <w:rFonts w:eastAsia="Calibri"/>
          <w:bCs/>
          <w:lang w:eastAsia="en-US"/>
        </w:rPr>
        <w:t xml:space="preserve"> XX wieku (poza opracowaniem).</w:t>
      </w:r>
    </w:p>
    <w:p w14:paraId="42D5CA87" w14:textId="77777777" w:rsidR="005559D0" w:rsidRPr="00AE1182" w:rsidRDefault="005559D0" w:rsidP="005E566B">
      <w:pPr>
        <w:tabs>
          <w:tab w:val="left" w:pos="0"/>
        </w:tabs>
        <w:spacing w:line="276" w:lineRule="auto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>Teren, na którym planowana jest inwestycja znajduje się w południowej części miasta Ostrowa Wielkopolskiego, w strefie ochrony archeologicznej na terenie Osiedla Powstańców Wielkopolskich, w obszarze rewitalizacji – II podobszar.</w:t>
      </w:r>
    </w:p>
    <w:p w14:paraId="1EC763ED" w14:textId="77777777" w:rsidR="005559D0" w:rsidRPr="00AE1182" w:rsidRDefault="005559D0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lastRenderedPageBreak/>
        <w:t>Działka nie jest objęta miejscowym planem zagospodarowania .</w:t>
      </w:r>
    </w:p>
    <w:p w14:paraId="62514E7E" w14:textId="77777777" w:rsidR="005559D0" w:rsidRPr="00AE1182" w:rsidRDefault="005559D0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>W obrębie inwestycji zlokalizowano następujące urządzenia uzbrojenia podziemnego:</w:t>
      </w:r>
    </w:p>
    <w:p w14:paraId="16CDDAB8" w14:textId="77777777" w:rsidR="005559D0" w:rsidRPr="00AE1182" w:rsidRDefault="005559D0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 xml:space="preserve">- </w:t>
      </w:r>
      <w:r w:rsidRPr="00AE1182">
        <w:rPr>
          <w:rFonts w:eastAsia="Calibri"/>
          <w:bCs/>
          <w:lang w:eastAsia="en-US"/>
        </w:rPr>
        <w:tab/>
        <w:t>sieć wodociągowa</w:t>
      </w:r>
    </w:p>
    <w:p w14:paraId="6281A658" w14:textId="77777777" w:rsidR="005559D0" w:rsidRPr="00AE1182" w:rsidRDefault="005559D0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AE1182">
        <w:rPr>
          <w:rFonts w:eastAsia="Calibri"/>
          <w:bCs/>
          <w:lang w:eastAsia="en-US"/>
        </w:rPr>
        <w:t xml:space="preserve">- </w:t>
      </w:r>
      <w:r w:rsidRPr="00AE1182">
        <w:rPr>
          <w:rFonts w:eastAsia="Calibri"/>
          <w:bCs/>
          <w:lang w:eastAsia="en-US"/>
        </w:rPr>
        <w:tab/>
        <w:t xml:space="preserve">linie energetyczne </w:t>
      </w:r>
      <w:proofErr w:type="spellStart"/>
      <w:r w:rsidRPr="00AE1182">
        <w:rPr>
          <w:rFonts w:eastAsia="Calibri"/>
          <w:bCs/>
          <w:lang w:eastAsia="en-US"/>
        </w:rPr>
        <w:t>nn</w:t>
      </w:r>
      <w:proofErr w:type="spellEnd"/>
      <w:r w:rsidRPr="00AE1182">
        <w:rPr>
          <w:rFonts w:eastAsia="Calibri"/>
          <w:bCs/>
          <w:lang w:eastAsia="en-US"/>
        </w:rPr>
        <w:t xml:space="preserve"> 0,4 </w:t>
      </w:r>
      <w:proofErr w:type="spellStart"/>
      <w:r w:rsidRPr="00AE1182">
        <w:rPr>
          <w:rFonts w:eastAsia="Calibri"/>
          <w:bCs/>
          <w:lang w:eastAsia="en-US"/>
        </w:rPr>
        <w:t>kV</w:t>
      </w:r>
      <w:proofErr w:type="spellEnd"/>
      <w:r w:rsidRPr="00AE1182">
        <w:rPr>
          <w:rFonts w:eastAsia="Calibri"/>
          <w:bCs/>
          <w:lang w:eastAsia="en-US"/>
        </w:rPr>
        <w:t xml:space="preserve"> i SN 15 </w:t>
      </w:r>
      <w:proofErr w:type="spellStart"/>
      <w:r w:rsidRPr="00AE1182">
        <w:rPr>
          <w:rFonts w:eastAsia="Calibri"/>
          <w:bCs/>
          <w:lang w:eastAsia="en-US"/>
        </w:rPr>
        <w:t>kV</w:t>
      </w:r>
      <w:proofErr w:type="spellEnd"/>
    </w:p>
    <w:p w14:paraId="01B311D2" w14:textId="77777777" w:rsidR="00AE1182" w:rsidRPr="00AE1182" w:rsidRDefault="00AE1182" w:rsidP="005E566B">
      <w:pPr>
        <w:spacing w:line="276" w:lineRule="auto"/>
        <w:ind w:left="284" w:hanging="284"/>
      </w:pPr>
      <w:r w:rsidRPr="00AE1182">
        <w:t xml:space="preserve">- </w:t>
      </w:r>
      <w:r w:rsidRPr="00AE1182">
        <w:tab/>
        <w:t>linie teletechniczne</w:t>
      </w:r>
    </w:p>
    <w:p w14:paraId="77A669C2" w14:textId="77777777" w:rsidR="005A224E" w:rsidRDefault="005A224E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</w:p>
    <w:p w14:paraId="27BB01FA" w14:textId="3590C047" w:rsidR="00505A31" w:rsidRDefault="00505A31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  <w:r w:rsidRPr="005A224E">
        <w:rPr>
          <w:rFonts w:eastAsia="Calibri"/>
          <w:bCs/>
          <w:lang w:eastAsia="en-US"/>
        </w:rPr>
        <w:t>CZĘŚĆ II</w:t>
      </w:r>
      <w:r>
        <w:rPr>
          <w:rFonts w:eastAsia="Calibri"/>
          <w:bCs/>
          <w:lang w:eastAsia="en-US"/>
        </w:rPr>
        <w:t>I</w:t>
      </w:r>
    </w:p>
    <w:p w14:paraId="34B19398" w14:textId="29B22705" w:rsidR="00420B3A" w:rsidRDefault="00505A31" w:rsidP="005E566B">
      <w:pPr>
        <w:spacing w:line="276" w:lineRule="auto"/>
        <w:jc w:val="both"/>
      </w:pPr>
      <w:r>
        <w:rPr>
          <w:rFonts w:eastAsia="Calibri"/>
          <w:bCs/>
          <w:lang w:eastAsia="en-US"/>
        </w:rPr>
        <w:t xml:space="preserve">Ul. Wrocławska – posiada przekrój </w:t>
      </w:r>
      <w:r w:rsidR="00AE1182">
        <w:rPr>
          <w:rFonts w:eastAsia="Calibri"/>
          <w:bCs/>
          <w:lang w:eastAsia="en-US"/>
        </w:rPr>
        <w:t xml:space="preserve">1x2 z pasem rozdziału. </w:t>
      </w:r>
      <w:r w:rsidR="00AE1182" w:rsidRPr="00AE1182">
        <w:rPr>
          <w:rFonts w:eastAsia="Calibri"/>
          <w:bCs/>
          <w:lang w:eastAsia="en-US"/>
        </w:rPr>
        <w:t>Teren, na którym planowana jest inwestycja znajduje się w południowej części miasta Ostrowa Wielkopolskiego</w:t>
      </w:r>
      <w:r w:rsidR="00420B3A">
        <w:rPr>
          <w:rFonts w:eastAsia="Calibri"/>
          <w:bCs/>
          <w:lang w:eastAsia="en-US"/>
        </w:rPr>
        <w:t>;</w:t>
      </w:r>
      <w:r w:rsidR="00AE1182" w:rsidRPr="00AE1182">
        <w:rPr>
          <w:rFonts w:eastAsia="Calibri"/>
          <w:bCs/>
          <w:lang w:eastAsia="en-US"/>
        </w:rPr>
        <w:t xml:space="preserve"> nie jest objęta miejscowym planem zagospodarowania.</w:t>
      </w:r>
      <w:r w:rsidR="00420B3A" w:rsidRPr="00420B3A">
        <w:t xml:space="preserve"> </w:t>
      </w:r>
    </w:p>
    <w:p w14:paraId="2FF53389" w14:textId="1B780118" w:rsidR="00AE1182" w:rsidRPr="00420B3A" w:rsidRDefault="00420B3A" w:rsidP="005E566B">
      <w:pPr>
        <w:spacing w:line="276" w:lineRule="auto"/>
      </w:pPr>
      <w:r w:rsidRPr="00AE1182">
        <w:t>W obrębie inwestycji zlokalizowano następujące urządzenia uzbrojenia podziemnego:</w:t>
      </w:r>
    </w:p>
    <w:p w14:paraId="63427BD0" w14:textId="1C5C3672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kanał deszczowy</w:t>
      </w:r>
      <w:r>
        <w:t>, sanitarny</w:t>
      </w:r>
    </w:p>
    <w:p w14:paraId="0894CBEF" w14:textId="77777777" w:rsidR="00420B3A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sieć wodociągowa</w:t>
      </w:r>
    </w:p>
    <w:p w14:paraId="4F603C7B" w14:textId="77777777" w:rsidR="00420B3A" w:rsidRPr="00F56B9C" w:rsidRDefault="00420B3A" w:rsidP="005E566B">
      <w:pPr>
        <w:spacing w:line="276" w:lineRule="auto"/>
        <w:ind w:left="284" w:hanging="284"/>
      </w:pPr>
      <w:r>
        <w:t>-</w:t>
      </w:r>
      <w:r>
        <w:tab/>
        <w:t>sieć ciepłownicza</w:t>
      </w:r>
    </w:p>
    <w:p w14:paraId="39FD1E6A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sieć gazowa</w:t>
      </w:r>
    </w:p>
    <w:p w14:paraId="3E849948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>linie teletechniczne</w:t>
      </w:r>
    </w:p>
    <w:p w14:paraId="7FF931A6" w14:textId="77777777" w:rsidR="00420B3A" w:rsidRPr="00F56B9C" w:rsidRDefault="00420B3A" w:rsidP="005E566B">
      <w:pPr>
        <w:spacing w:line="276" w:lineRule="auto"/>
        <w:ind w:left="284" w:hanging="284"/>
      </w:pPr>
      <w:r w:rsidRPr="00F56B9C">
        <w:t xml:space="preserve">- </w:t>
      </w:r>
      <w:r w:rsidRPr="00F56B9C">
        <w:tab/>
        <w:t xml:space="preserve">linie energetyczne </w:t>
      </w:r>
      <w:proofErr w:type="spellStart"/>
      <w:r w:rsidRPr="00F56B9C">
        <w:t>nn</w:t>
      </w:r>
      <w:proofErr w:type="spellEnd"/>
      <w:r w:rsidRPr="00F56B9C">
        <w:t xml:space="preserve"> 0,4 </w:t>
      </w:r>
      <w:proofErr w:type="spellStart"/>
      <w:r w:rsidRPr="00F56B9C">
        <w:t>kV</w:t>
      </w:r>
      <w:proofErr w:type="spellEnd"/>
      <w:r w:rsidRPr="00F56B9C">
        <w:t xml:space="preserve"> i SN 15 </w:t>
      </w:r>
      <w:proofErr w:type="spellStart"/>
      <w:r w:rsidRPr="00F56B9C">
        <w:t>kV</w:t>
      </w:r>
      <w:proofErr w:type="spellEnd"/>
    </w:p>
    <w:p w14:paraId="529D011C" w14:textId="77777777" w:rsidR="00505A31" w:rsidRPr="005A224E" w:rsidRDefault="00505A31" w:rsidP="005E566B">
      <w:pPr>
        <w:spacing w:line="276" w:lineRule="auto"/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D60FAF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D60FAF" w:rsidRDefault="007F669F" w:rsidP="005E566B">
            <w:pPr>
              <w:spacing w:line="276" w:lineRule="auto"/>
              <w:rPr>
                <w:b/>
              </w:rPr>
            </w:pPr>
            <w:r w:rsidRPr="00D60FAF">
              <w:rPr>
                <w:b/>
              </w:rPr>
              <w:t>II. Zakres opracowania</w:t>
            </w:r>
          </w:p>
          <w:p w14:paraId="44E69163" w14:textId="0BA2832C" w:rsidR="007F669F" w:rsidRPr="00D60FAF" w:rsidRDefault="007F669F" w:rsidP="005E566B">
            <w:pPr>
              <w:spacing w:line="276" w:lineRule="auto"/>
              <w:ind w:left="746" w:hanging="709"/>
              <w:jc w:val="both"/>
            </w:pPr>
            <w:r w:rsidRPr="00D60FAF">
              <w:t xml:space="preserve">    1.  </w:t>
            </w:r>
            <w:r w:rsidR="0048728C" w:rsidRPr="00D60FAF">
              <w:t xml:space="preserve"> W skład zamawianej dokumentacji projektowej wchodzą następujące opracowania, które są przedmiotem niniejszego opisu przedmiotu zamówienia </w:t>
            </w:r>
            <w:r w:rsidRPr="00D60FAF">
              <w:t>:</w:t>
            </w:r>
          </w:p>
          <w:p w14:paraId="025D1F15" w14:textId="2F8BA14D" w:rsidR="00040769" w:rsidRDefault="00040769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>Inwentaryzację stanu istniejącego</w:t>
            </w:r>
            <w:r w:rsidR="00916A1D">
              <w:t xml:space="preserve"> (w tym inwentaryzację dendrologiczną)</w:t>
            </w:r>
          </w:p>
          <w:p w14:paraId="5C6452E9" w14:textId="0EC6F978" w:rsidR="007F669F" w:rsidRPr="00D60FAF" w:rsidRDefault="00EB483B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D60FAF">
              <w:t xml:space="preserve">Projekt koncepcyjny </w:t>
            </w:r>
            <w:r w:rsidR="00D60FAF" w:rsidRPr="00D60FAF">
              <w:t>arch</w:t>
            </w:r>
            <w:r w:rsidR="002C6824">
              <w:t>itektoniczny (z architekturą krajobrazu)</w:t>
            </w:r>
          </w:p>
          <w:p w14:paraId="58CB430E" w14:textId="7891E4EC" w:rsidR="00D60FAF" w:rsidRPr="00D60FAF" w:rsidRDefault="00D60FAF" w:rsidP="005E566B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D60FAF">
              <w:t xml:space="preserve">Projekt </w:t>
            </w:r>
            <w:r w:rsidR="007348BD">
              <w:t xml:space="preserve">zagospodarowania terenu oraz projekt architektoniczno-budowlany wraz </w:t>
            </w:r>
            <w:r w:rsidR="002C6824">
              <w:br/>
            </w:r>
            <w:r w:rsidR="007348BD">
              <w:t xml:space="preserve">z opiniami, uzgodnieniami, pozwoleniami i innymi dokumentami, których obowiązek wynika z przepisów odrębnych </w:t>
            </w:r>
          </w:p>
          <w:p w14:paraId="01F6DA28" w14:textId="693706E5" w:rsidR="007348BD" w:rsidRDefault="007348BD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ecyzję  o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warunkach  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lokalizacji inwestycji celu publicznego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 jeżeli  jest  ona wymagana zgodnie z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przepisami o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planowaniu i</w:t>
            </w:r>
            <w:r w:rsidR="002C6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348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zagospodarowaniu przestrzennym</w:t>
            </w:r>
          </w:p>
          <w:p w14:paraId="3D470DF1" w14:textId="3B2ED157" w:rsidR="00BC6DF9" w:rsidRDefault="00BC6DF9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Kartę informacyjną przedsięwzięcia wraz z wnioskiem w sprawie wydania decyzji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o środowiskowych uwarunkowaniach</w:t>
            </w:r>
          </w:p>
          <w:p w14:paraId="13751E71" w14:textId="50055A0E" w:rsidR="0048728C" w:rsidRPr="00D60FAF" w:rsidRDefault="0048728C" w:rsidP="005E566B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D60FAF"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techniczny</w:t>
            </w:r>
            <w:r w:rsidRPr="00D60F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6F35CC7E" w14:textId="15F8506B" w:rsidR="000D383E" w:rsidRPr="001514F6" w:rsidRDefault="000D383E" w:rsidP="005E566B">
            <w:pPr>
              <w:spacing w:line="276" w:lineRule="auto"/>
              <w:ind w:left="742"/>
            </w:pPr>
            <w:r w:rsidRPr="001514F6">
              <w:rPr>
                <w:u w:val="single"/>
              </w:rPr>
              <w:t xml:space="preserve">Część I </w:t>
            </w:r>
            <w:r w:rsidR="00505A31" w:rsidRPr="001514F6">
              <w:rPr>
                <w:u w:val="single"/>
              </w:rPr>
              <w:t>–</w:t>
            </w:r>
            <w:r w:rsidRPr="001514F6">
              <w:rPr>
                <w:u w:val="single"/>
              </w:rPr>
              <w:t xml:space="preserve"> </w:t>
            </w:r>
            <w:r w:rsidR="00505A31" w:rsidRPr="001514F6">
              <w:rPr>
                <w:u w:val="single"/>
              </w:rPr>
              <w:t>Park 3-go Maja</w:t>
            </w:r>
            <w:r w:rsidRPr="001514F6">
              <w:t xml:space="preserve"> :</w:t>
            </w:r>
          </w:p>
          <w:p w14:paraId="26349140" w14:textId="77777777" w:rsidR="001514F6" w:rsidRPr="001514F6" w:rsidRDefault="001514F6" w:rsidP="005E566B">
            <w:pPr>
              <w:spacing w:line="276" w:lineRule="auto"/>
              <w:ind w:left="1029" w:hanging="283"/>
              <w:jc w:val="both"/>
            </w:pPr>
            <w:r w:rsidRPr="001514F6">
              <w:t>-   branża architektury/architektury krajobrazu (zieleni)</w:t>
            </w:r>
          </w:p>
          <w:p w14:paraId="3D065CB6" w14:textId="09768CE5" w:rsidR="000D383E" w:rsidRPr="001514F6" w:rsidRDefault="000D383E" w:rsidP="005E566B">
            <w:pPr>
              <w:spacing w:line="276" w:lineRule="auto"/>
              <w:ind w:left="1029" w:hanging="283"/>
              <w:jc w:val="both"/>
            </w:pPr>
            <w:r w:rsidRPr="001514F6">
              <w:t xml:space="preserve">- </w:t>
            </w:r>
            <w:r w:rsidR="00A53F93" w:rsidRPr="001514F6">
              <w:t xml:space="preserve">  </w:t>
            </w:r>
            <w:r w:rsidRPr="001514F6">
              <w:t>branża sanitarna (przyłącze wody + system automatycznego nawadniania)</w:t>
            </w:r>
          </w:p>
          <w:p w14:paraId="70D5B6DE" w14:textId="2C59A8C5" w:rsidR="000D383E" w:rsidRPr="001514F6" w:rsidRDefault="000D383E" w:rsidP="005E566B">
            <w:pPr>
              <w:spacing w:line="276" w:lineRule="auto"/>
              <w:ind w:left="1029" w:hanging="283"/>
              <w:jc w:val="both"/>
            </w:pPr>
            <w:r w:rsidRPr="001514F6">
              <w:t>-   branża elektryczna</w:t>
            </w:r>
          </w:p>
          <w:p w14:paraId="680079FC" w14:textId="65BCE02F" w:rsidR="000D383E" w:rsidRPr="001514F6" w:rsidRDefault="002C6824" w:rsidP="005E566B">
            <w:pPr>
              <w:spacing w:line="276" w:lineRule="auto"/>
            </w:pPr>
            <w:r w:rsidRPr="001514F6">
              <w:t xml:space="preserve"> </w:t>
            </w:r>
            <w:r w:rsidR="000D383E" w:rsidRPr="001514F6">
              <w:t xml:space="preserve">          </w:t>
            </w:r>
            <w:r w:rsidR="000D383E" w:rsidRPr="001514F6">
              <w:rPr>
                <w:u w:val="single"/>
              </w:rPr>
              <w:t xml:space="preserve">Część II  -  Park </w:t>
            </w:r>
            <w:r w:rsidR="00505A31" w:rsidRPr="001514F6">
              <w:rPr>
                <w:u w:val="single"/>
              </w:rPr>
              <w:t>im. Adama Mickiewicza</w:t>
            </w:r>
            <w:r w:rsidR="000D383E" w:rsidRPr="001514F6">
              <w:t>:</w:t>
            </w:r>
          </w:p>
          <w:p w14:paraId="7554AC75" w14:textId="49B95BD7" w:rsidR="000D383E" w:rsidRPr="001514F6" w:rsidRDefault="000D383E" w:rsidP="005E566B">
            <w:pPr>
              <w:spacing w:line="276" w:lineRule="auto"/>
              <w:ind w:left="1029" w:hanging="283"/>
              <w:jc w:val="both"/>
            </w:pPr>
            <w:r w:rsidRPr="001514F6">
              <w:t>-   branża architektury</w:t>
            </w:r>
            <w:r w:rsidR="00420B3A" w:rsidRPr="001514F6">
              <w:t>/architektury</w:t>
            </w:r>
            <w:r w:rsidRPr="001514F6">
              <w:t xml:space="preserve"> krajobrazu (zieleni)</w:t>
            </w:r>
          </w:p>
          <w:p w14:paraId="4BF42D13" w14:textId="54816F59" w:rsidR="006370C6" w:rsidRDefault="000D383E" w:rsidP="005E566B">
            <w:pPr>
              <w:spacing w:line="276" w:lineRule="auto"/>
              <w:ind w:left="1029" w:hanging="283"/>
              <w:jc w:val="both"/>
            </w:pPr>
            <w:r w:rsidRPr="001514F6">
              <w:t xml:space="preserve">- </w:t>
            </w:r>
            <w:r w:rsidR="00420B3A" w:rsidRPr="001514F6">
              <w:t xml:space="preserve">  </w:t>
            </w:r>
            <w:r w:rsidRPr="001514F6">
              <w:t xml:space="preserve">branża </w:t>
            </w:r>
            <w:r w:rsidR="006370C6" w:rsidRPr="006370C6">
              <w:t xml:space="preserve"> </w:t>
            </w:r>
            <w:r w:rsidR="006370C6">
              <w:t>hydrotechniczna (</w:t>
            </w:r>
            <w:proofErr w:type="spellStart"/>
            <w:r w:rsidR="006370C6" w:rsidRPr="006370C6">
              <w:t>pogłęnienie</w:t>
            </w:r>
            <w:proofErr w:type="spellEnd"/>
            <w:r w:rsidR="006370C6" w:rsidRPr="006370C6">
              <w:t>/przebudowa stawu</w:t>
            </w:r>
            <w:r w:rsidR="006370C6">
              <w:t>)</w:t>
            </w:r>
          </w:p>
          <w:p w14:paraId="7A8D35D6" w14:textId="7D880082" w:rsidR="000D383E" w:rsidRPr="001514F6" w:rsidRDefault="006370C6" w:rsidP="005E566B">
            <w:pPr>
              <w:spacing w:line="276" w:lineRule="auto"/>
              <w:ind w:left="1029" w:hanging="283"/>
              <w:jc w:val="both"/>
            </w:pPr>
            <w:r>
              <w:t xml:space="preserve">-   branża </w:t>
            </w:r>
            <w:r w:rsidR="000D383E" w:rsidRPr="001514F6">
              <w:t>sanitarna (przyłącze wody +</w:t>
            </w:r>
            <w:r w:rsidR="00420B3A" w:rsidRPr="001514F6">
              <w:t xml:space="preserve"> </w:t>
            </w:r>
            <w:r w:rsidR="000D383E" w:rsidRPr="001514F6">
              <w:t>technologia fontanny</w:t>
            </w:r>
            <w:r w:rsidR="001514F6" w:rsidRPr="001514F6">
              <w:t xml:space="preserve"> + system automatycznego nawadniania</w:t>
            </w:r>
            <w:r w:rsidR="000D383E" w:rsidRPr="001514F6">
              <w:t>)</w:t>
            </w:r>
          </w:p>
          <w:p w14:paraId="16573EDE" w14:textId="77777777" w:rsidR="000D383E" w:rsidRPr="001514F6" w:rsidRDefault="000D383E" w:rsidP="005E566B">
            <w:pPr>
              <w:spacing w:line="276" w:lineRule="auto"/>
              <w:ind w:left="1029" w:hanging="283"/>
              <w:jc w:val="both"/>
            </w:pPr>
            <w:r w:rsidRPr="001514F6">
              <w:t>-   branża elektryczna</w:t>
            </w:r>
          </w:p>
          <w:p w14:paraId="300F26E2" w14:textId="1F5A4C52" w:rsidR="00A53F93" w:rsidRPr="001514F6" w:rsidRDefault="00A53F93" w:rsidP="005E566B">
            <w:pPr>
              <w:spacing w:line="276" w:lineRule="auto"/>
              <w:ind w:left="742"/>
            </w:pPr>
            <w:r w:rsidRPr="001514F6">
              <w:rPr>
                <w:u w:val="single"/>
              </w:rPr>
              <w:t>Część III -  ul. Wrocławska</w:t>
            </w:r>
            <w:r w:rsidR="00505A31" w:rsidRPr="001514F6">
              <w:rPr>
                <w:u w:val="single"/>
              </w:rPr>
              <w:t xml:space="preserve"> (</w:t>
            </w:r>
            <w:r w:rsidR="00420B3A" w:rsidRPr="001514F6">
              <w:rPr>
                <w:rFonts w:eastAsia="Calibri"/>
              </w:rPr>
              <w:t xml:space="preserve"> </w:t>
            </w:r>
            <w:r w:rsidR="00420B3A" w:rsidRPr="001514F6">
              <w:rPr>
                <w:u w:val="single"/>
              </w:rPr>
              <w:t xml:space="preserve">od przejścia dla pieszych w rejonie ul. </w:t>
            </w:r>
            <w:proofErr w:type="spellStart"/>
            <w:r w:rsidR="00420B3A" w:rsidRPr="001514F6">
              <w:rPr>
                <w:u w:val="single"/>
              </w:rPr>
              <w:t>Klonowicza</w:t>
            </w:r>
            <w:proofErr w:type="spellEnd"/>
            <w:r w:rsidR="00420B3A" w:rsidRPr="001514F6">
              <w:rPr>
                <w:u w:val="single"/>
              </w:rPr>
              <w:t xml:space="preserve"> do ronda Miast Partnerskich </w:t>
            </w:r>
            <w:r w:rsidR="00505A31" w:rsidRPr="001514F6">
              <w:rPr>
                <w:u w:val="single"/>
              </w:rPr>
              <w:t>)</w:t>
            </w:r>
            <w:r w:rsidRPr="001514F6">
              <w:t>:</w:t>
            </w:r>
          </w:p>
          <w:p w14:paraId="5053802C" w14:textId="68EBC327" w:rsidR="00A53F93" w:rsidRDefault="001514F6" w:rsidP="005E566B">
            <w:pPr>
              <w:spacing w:line="276" w:lineRule="auto"/>
              <w:ind w:left="1029" w:hanging="283"/>
              <w:jc w:val="both"/>
            </w:pPr>
            <w:r w:rsidRPr="00D60FAF">
              <w:t xml:space="preserve">-  </w:t>
            </w:r>
            <w:r>
              <w:t xml:space="preserve"> branża architektury/architektury krajobrazu (zieleni)</w:t>
            </w:r>
          </w:p>
          <w:p w14:paraId="2E68EA2F" w14:textId="77777777" w:rsidR="00A53F93" w:rsidRDefault="00A53F93" w:rsidP="005E566B">
            <w:pPr>
              <w:spacing w:line="276" w:lineRule="auto"/>
              <w:ind w:left="1029" w:hanging="283"/>
              <w:jc w:val="both"/>
            </w:pPr>
            <w:r>
              <w:t>-   branża drogowa</w:t>
            </w:r>
          </w:p>
          <w:p w14:paraId="35712FC8" w14:textId="6E5ABE8F" w:rsidR="000D383E" w:rsidRDefault="00A53F93" w:rsidP="005E566B">
            <w:pPr>
              <w:spacing w:line="276" w:lineRule="auto"/>
              <w:ind w:left="1029" w:hanging="283"/>
              <w:jc w:val="both"/>
            </w:pPr>
            <w:r>
              <w:t>-   branża sanitarna (przyłącze wody + system automatycznego nawadniania)</w:t>
            </w:r>
          </w:p>
          <w:p w14:paraId="773D1B9F" w14:textId="280D7119" w:rsidR="00505A31" w:rsidRDefault="00505A31" w:rsidP="005E566B">
            <w:pPr>
              <w:spacing w:line="276" w:lineRule="auto"/>
              <w:ind w:left="1029" w:hanging="283"/>
              <w:jc w:val="both"/>
            </w:pPr>
            <w:r>
              <w:lastRenderedPageBreak/>
              <w:t>-   kolizje energetyczne</w:t>
            </w:r>
          </w:p>
          <w:p w14:paraId="101C15F3" w14:textId="463AC9F5" w:rsidR="00420B3A" w:rsidRDefault="00420B3A" w:rsidP="005E566B">
            <w:pPr>
              <w:spacing w:line="276" w:lineRule="auto"/>
              <w:ind w:left="1029" w:hanging="283"/>
              <w:jc w:val="both"/>
            </w:pPr>
            <w:r>
              <w:t>-   kolizje gazowe</w:t>
            </w:r>
          </w:p>
          <w:p w14:paraId="5AC1DE21" w14:textId="1B9C4D08" w:rsidR="00420B3A" w:rsidRDefault="00420B3A" w:rsidP="005E566B">
            <w:pPr>
              <w:spacing w:line="276" w:lineRule="auto"/>
              <w:ind w:left="1029" w:hanging="283"/>
              <w:jc w:val="both"/>
            </w:pPr>
            <w:r>
              <w:t>-   kolizje teletechniczne</w:t>
            </w:r>
          </w:p>
          <w:p w14:paraId="01521EF1" w14:textId="368469A8" w:rsidR="005377FA" w:rsidRPr="00A53F93" w:rsidRDefault="00040769" w:rsidP="005E566B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A53F93">
              <w:rPr>
                <w:rFonts w:ascii="Times New Roman" w:hAnsi="Times New Roman" w:cs="Times New Roman"/>
                <w:sz w:val="24"/>
                <w:szCs w:val="24"/>
              </w:rPr>
              <w:t xml:space="preserve">Specyfikacje techniczne wykonania i odbioru robót </w:t>
            </w:r>
          </w:p>
          <w:p w14:paraId="05D89820" w14:textId="77777777" w:rsidR="007F669F" w:rsidRDefault="005377FA" w:rsidP="005E566B">
            <w:pPr>
              <w:numPr>
                <w:ilvl w:val="0"/>
                <w:numId w:val="1"/>
              </w:numPr>
              <w:spacing w:line="276" w:lineRule="auto"/>
            </w:pPr>
            <w:r w:rsidRPr="00D60FAF">
              <w:t>Kosztorysy, przedmiary</w:t>
            </w:r>
          </w:p>
          <w:p w14:paraId="3A8AD021" w14:textId="3CFE60E9" w:rsidR="00B56C3B" w:rsidRPr="00D60FAF" w:rsidRDefault="00B56C3B" w:rsidP="005E566B">
            <w:pPr>
              <w:spacing w:line="276" w:lineRule="auto"/>
              <w:ind w:left="742"/>
            </w:pPr>
          </w:p>
        </w:tc>
      </w:tr>
      <w:tr w:rsidR="007F669F" w:rsidRPr="00D60FAF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4C9B977" w14:textId="75EDA090" w:rsidR="00B56C3B" w:rsidRPr="00B56C3B" w:rsidRDefault="00B56C3B" w:rsidP="005E566B">
            <w:pPr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B56C3B">
              <w:rPr>
                <w:color w:val="000000"/>
                <w:lang w:eastAsia="ar-SA"/>
              </w:rPr>
              <w:lastRenderedPageBreak/>
              <w:t>2.   Zakres rzeczowy usługi obejmuje:</w:t>
            </w:r>
          </w:p>
          <w:p w14:paraId="49DCB983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Opracowanie dokumentacji geodezyjnej (mapa do celów projektowych, mapa ewidencyjna, wypisy i wyrysy</w:t>
            </w:r>
          </w:p>
          <w:p w14:paraId="33C5A1AB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Sporządzenie inwentaryzacji i projektu wycinki drzew (jeżeli będzie wymagane)</w:t>
            </w:r>
          </w:p>
          <w:p w14:paraId="3FD7F71C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      </w:r>
          </w:p>
          <w:p w14:paraId="5B2FCCC7" w14:textId="0AD9EEF1" w:rsid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t>U</w:t>
            </w:r>
            <w:r w:rsidRPr="00B56C3B">
              <w:rPr>
                <w:lang w:eastAsia="ar-SA"/>
              </w:rPr>
              <w:t xml:space="preserve">zyskanie w imieniu Zamawiającego wymaganych decyzji administracyjnych </w:t>
            </w:r>
            <w:r w:rsidR="00917411">
              <w:rPr>
                <w:lang w:eastAsia="ar-SA"/>
              </w:rPr>
              <w:br/>
            </w:r>
            <w:r w:rsidRPr="00B56C3B">
              <w:rPr>
                <w:lang w:eastAsia="ar-SA"/>
              </w:rPr>
              <w:t>i uzgodnień i opinii (m.in. wymagane  uzgodnienia ZUDP, uzgodnienia branżowe, pozwolenie wodnoprawne, konserwatorskie czy inne wynikające z lokalizacji przedmiotu umowy i jego zakresu)</w:t>
            </w:r>
          </w:p>
          <w:p w14:paraId="2CF148AA" w14:textId="44596300" w:rsidR="00BC6DF9" w:rsidRPr="00BC6DF9" w:rsidRDefault="00BC6DF9" w:rsidP="00BC6DF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Opracowanie 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informacyjn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przedsięwzięcia wraz z wnioskiem w sprawie wydania decyzji o środowiskowych uwarunkowaniach</w:t>
            </w:r>
          </w:p>
          <w:p w14:paraId="53CFE5CD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 xml:space="preserve">Wykonanie projektu zagospodarowania terenu oraz architektoniczno-budowlanego </w:t>
            </w:r>
          </w:p>
          <w:p w14:paraId="69AFDECF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 xml:space="preserve">Wykonanie projektów technicznych poszczególnych branż </w:t>
            </w:r>
          </w:p>
          <w:p w14:paraId="1B039646" w14:textId="77777777" w:rsidR="00B56C3B" w:rsidRPr="00B56C3B" w:rsidRDefault="00B56C3B" w:rsidP="00BC6DF9">
            <w:pPr>
              <w:widowControl w:val="0"/>
              <w:numPr>
                <w:ilvl w:val="0"/>
                <w:numId w:val="15"/>
              </w:numPr>
              <w:suppressAutoHyphens/>
              <w:spacing w:line="276" w:lineRule="auto"/>
              <w:ind w:left="746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Opracowanie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11BB88E" w14:textId="1A5D8A0C" w:rsidR="00B56C3B" w:rsidRPr="00BC6DF9" w:rsidRDefault="00BC6DF9" w:rsidP="00BC6DF9">
            <w:pPr>
              <w:suppressAutoHyphens/>
              <w:spacing w:line="276" w:lineRule="auto"/>
              <w:ind w:left="462" w:hanging="425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3.    </w:t>
            </w:r>
            <w:r w:rsidR="00B56C3B" w:rsidRPr="00BC6DF9">
              <w:rPr>
                <w:color w:val="000000"/>
                <w:lang w:eastAsia="ar-SA"/>
              </w:rPr>
              <w:t>Przedmiot umowy należy wykonać zgodnie z obowiązującymi przepisami prawa.</w:t>
            </w:r>
          </w:p>
          <w:p w14:paraId="34B7C3B1" w14:textId="3B25C711" w:rsidR="007F669F" w:rsidRPr="00BC6DF9" w:rsidRDefault="00BC6DF9" w:rsidP="00BC6DF9">
            <w:pPr>
              <w:suppressAutoHyphens/>
              <w:spacing w:line="276" w:lineRule="auto"/>
              <w:ind w:left="462" w:hanging="425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4.   </w:t>
            </w:r>
            <w:r w:rsidR="009F4F00">
              <w:rPr>
                <w:color w:val="000000"/>
                <w:lang w:eastAsia="ar-SA"/>
              </w:rPr>
              <w:t xml:space="preserve">Na podstawie wykonanych opracowań projektowych Zamawiający będzie ubiegał się </w:t>
            </w:r>
            <w:r w:rsidR="009F4F00">
              <w:rPr>
                <w:color w:val="000000"/>
                <w:lang w:eastAsia="ar-SA"/>
              </w:rPr>
              <w:br/>
              <w:t xml:space="preserve">o dofinansowanie na realizację inwestycji z funduszy europejskich na lata 2021-2027. </w:t>
            </w:r>
            <w:r w:rsidR="00B56C3B" w:rsidRPr="00BC6DF9">
              <w:rPr>
                <w:color w:val="000000"/>
                <w:lang w:eastAsia="ar-SA"/>
              </w:rPr>
              <w:t xml:space="preserve">Przedmiot umowy musi zapewniać możliwość wydatkowania środków przeznaczonych na realizację i późniejszą eksploatację obiektu w sposób celowy i oszczędny, </w:t>
            </w:r>
            <w:r>
              <w:rPr>
                <w:color w:val="000000"/>
                <w:lang w:eastAsia="ar-SA"/>
              </w:rPr>
              <w:br/>
            </w:r>
            <w:r w:rsidR="00B56C3B" w:rsidRPr="00BC6DF9">
              <w:rPr>
                <w:color w:val="000000"/>
                <w:lang w:eastAsia="ar-SA"/>
              </w:rPr>
              <w:t>z zachowaniem zasady uzyskania najlepszych efektów z danych nakładów</w:t>
            </w:r>
            <w:r>
              <w:rPr>
                <w:color w:val="000000"/>
                <w:lang w:eastAsia="ar-SA"/>
              </w:rPr>
              <w:t xml:space="preserve"> </w:t>
            </w:r>
            <w:r w:rsidRPr="00BC6DF9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oraz </w:t>
            </w:r>
            <w:r w:rsidRPr="00BC6DF9">
              <w:rPr>
                <w:color w:val="000000"/>
                <w:lang w:eastAsia="ar-SA"/>
              </w:rPr>
              <w:t>zasady DHNS (</w:t>
            </w:r>
            <w:hyperlink r:id="rId8" w:history="1">
              <w:r w:rsidRPr="00BC6DF9">
                <w:rPr>
                  <w:rStyle w:val="Hipercze"/>
                  <w:lang w:eastAsia="ar-SA"/>
                </w:rPr>
                <w:t>https://www.funduszeeuropejskie.gov.pl/strony/o-funduszach/fundusze-na-lata-2021-2027/krajowy-plan-odbudowy/dla-instytucji/dnsh-zasada-nieczynienia-powaznej-szkody-srodowisku-do-no-significant-harm</w:t>
              </w:r>
            </w:hyperlink>
            <w:r w:rsidR="00B56C3B" w:rsidRPr="00BC6DF9">
              <w:rPr>
                <w:color w:val="000000"/>
                <w:lang w:eastAsia="ar-SA"/>
              </w:rPr>
              <w:t>.</w:t>
            </w:r>
          </w:p>
        </w:tc>
      </w:tr>
    </w:tbl>
    <w:p w14:paraId="44CE0311" w14:textId="77777777" w:rsidR="00BC6DF9" w:rsidRDefault="00BC6DF9" w:rsidP="005E566B">
      <w:pPr>
        <w:pStyle w:val="Lista3"/>
        <w:spacing w:line="276" w:lineRule="auto"/>
        <w:ind w:left="0" w:firstLine="0"/>
        <w:jc w:val="both"/>
        <w:rPr>
          <w:b/>
          <w:bCs/>
          <w:sz w:val="24"/>
          <w:szCs w:val="24"/>
        </w:rPr>
      </w:pPr>
    </w:p>
    <w:p w14:paraId="6638FBBB" w14:textId="1BD13AEB" w:rsidR="00697E3A" w:rsidRPr="00A4047E" w:rsidRDefault="00D60FAF" w:rsidP="005E566B">
      <w:pPr>
        <w:pStyle w:val="Lista3"/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A4047E">
        <w:rPr>
          <w:b/>
          <w:bCs/>
          <w:sz w:val="24"/>
          <w:szCs w:val="24"/>
        </w:rPr>
        <w:t xml:space="preserve">III. </w:t>
      </w:r>
      <w:r w:rsidR="00697E3A" w:rsidRPr="00A4047E">
        <w:rPr>
          <w:b/>
          <w:bCs/>
          <w:sz w:val="24"/>
          <w:szCs w:val="24"/>
        </w:rPr>
        <w:t xml:space="preserve"> Płatności</w:t>
      </w:r>
    </w:p>
    <w:p w14:paraId="574DF399" w14:textId="3965F979" w:rsidR="00697E3A" w:rsidRPr="00F56B9C" w:rsidRDefault="00697E3A" w:rsidP="005E566B">
      <w:pPr>
        <w:pStyle w:val="Lista3"/>
        <w:spacing w:line="276" w:lineRule="auto"/>
        <w:ind w:left="0" w:firstLine="0"/>
        <w:jc w:val="both"/>
        <w:rPr>
          <w:sz w:val="24"/>
          <w:szCs w:val="24"/>
        </w:rPr>
      </w:pPr>
      <w:bookmarkStart w:id="6" w:name="_Hlk57936650"/>
      <w:r w:rsidRPr="00F56B9C">
        <w:rPr>
          <w:sz w:val="24"/>
          <w:szCs w:val="24"/>
        </w:rPr>
        <w:t xml:space="preserve">     Dopuszcza się płatności częściowe po wykonaniu danego elementu </w:t>
      </w:r>
      <w:r w:rsidR="00A4047E">
        <w:rPr>
          <w:sz w:val="24"/>
          <w:szCs w:val="24"/>
        </w:rPr>
        <w:t>dokumentacji projektowej.</w:t>
      </w:r>
    </w:p>
    <w:bookmarkEnd w:id="6"/>
    <w:p w14:paraId="355D40F7" w14:textId="77777777" w:rsidR="00A4047E" w:rsidRDefault="00A4047E" w:rsidP="005E566B">
      <w:pPr>
        <w:pStyle w:val="Lista3"/>
        <w:spacing w:line="276" w:lineRule="auto"/>
        <w:ind w:left="0" w:firstLine="0"/>
        <w:rPr>
          <w:sz w:val="24"/>
          <w:szCs w:val="24"/>
        </w:rPr>
      </w:pPr>
    </w:p>
    <w:p w14:paraId="186F78C8" w14:textId="1E265BC7" w:rsidR="007F669F" w:rsidRPr="00A4047E" w:rsidRDefault="007F669F" w:rsidP="005E566B">
      <w:pPr>
        <w:pStyle w:val="Lista3"/>
        <w:spacing w:line="276" w:lineRule="auto"/>
        <w:ind w:left="0" w:firstLine="0"/>
        <w:rPr>
          <w:rFonts w:eastAsiaTheme="minorHAnsi"/>
          <w:b/>
          <w:sz w:val="24"/>
          <w:szCs w:val="24"/>
          <w:lang w:eastAsia="en-US"/>
        </w:rPr>
      </w:pPr>
      <w:r w:rsidRPr="00F56B9C"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474CC386" w14:textId="3A94048E" w:rsidR="005E566B" w:rsidRDefault="005E566B" w:rsidP="005E566B">
      <w:pPr>
        <w:spacing w:line="276" w:lineRule="auto"/>
        <w:ind w:left="284" w:hanging="284"/>
        <w:jc w:val="both"/>
        <w:rPr>
          <w:rFonts w:eastAsiaTheme="minorHAnsi"/>
          <w:lang w:eastAsia="en-US"/>
        </w:rPr>
      </w:pPr>
      <w:r w:rsidRPr="00F56B9C">
        <w:t xml:space="preserve">  </w:t>
      </w:r>
      <w:r w:rsidRPr="00F56B9C">
        <w:tab/>
        <w:t>P</w:t>
      </w:r>
      <w:r w:rsidRPr="00F56B9C">
        <w:rPr>
          <w:rFonts w:eastAsiaTheme="minorHAnsi"/>
          <w:lang w:eastAsia="en-US"/>
        </w:rPr>
        <w:t>rojekt budowlany winien</w:t>
      </w:r>
      <w:r>
        <w:rPr>
          <w:rFonts w:eastAsiaTheme="minorHAnsi"/>
          <w:lang w:eastAsia="en-US"/>
        </w:rPr>
        <w:t xml:space="preserve"> </w:t>
      </w:r>
      <w:r w:rsidRPr="00F56B9C">
        <w:rPr>
          <w:rFonts w:eastAsiaTheme="minorHAnsi"/>
          <w:lang w:eastAsia="en-US"/>
        </w:rPr>
        <w:t>posiadać wszystkie niezbędne uzgodnienia i zatwierdzenia oraz być   sporządzony zgodnie z:</w:t>
      </w:r>
    </w:p>
    <w:p w14:paraId="66F5CE5C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bookmarkStart w:id="7" w:name="_Hlk173319253"/>
      <w:r>
        <w:t xml:space="preserve">Ustawą </w:t>
      </w:r>
      <w:r w:rsidRPr="00593079">
        <w:t>z dnia 7 lipca 1994 r. – Prawo budowlane (</w:t>
      </w:r>
      <w:r>
        <w:t xml:space="preserve">Dz. U. z </w:t>
      </w:r>
      <w:r w:rsidRPr="00D515C5">
        <w:t>20</w:t>
      </w:r>
      <w:r>
        <w:t>23 r. poz. 682</w:t>
      </w:r>
      <w:r w:rsidRPr="00593079">
        <w:t xml:space="preserve"> </w:t>
      </w:r>
      <w:r>
        <w:t>ze zm.),</w:t>
      </w:r>
    </w:p>
    <w:p w14:paraId="7EFA81B9" w14:textId="77777777" w:rsidR="005E566B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U</w:t>
      </w:r>
      <w:r w:rsidRPr="00593079">
        <w:t>stawą z dnia 3 października 2008 r. o udostępnianiu informacji o środowisku i jego ochronie, udziale społeczeństwa w ochronie środowiska oraz o ocenach oddziaływania na środowisko (</w:t>
      </w:r>
      <w:r>
        <w:t>Dz. U. z 2022 r. poz. 1029</w:t>
      </w:r>
      <w:r w:rsidRPr="00593079">
        <w:t>)</w:t>
      </w:r>
      <w:r>
        <w:t>,</w:t>
      </w:r>
    </w:p>
    <w:p w14:paraId="6B4FA265" w14:textId="77777777" w:rsidR="005E566B" w:rsidRPr="00637824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lastRenderedPageBreak/>
        <w:t>R</w:t>
      </w:r>
      <w:r w:rsidRPr="00637824">
        <w:rPr>
          <w:color w:val="auto"/>
        </w:rPr>
        <w:t>ozporządzeniem Ministra Infrastruktury z dnia 24.06.2022r. w sprawie przepisów techniczno-budowlanych dotyczących dróg publicznych (Dz.U. 2022 poz. 1518)</w:t>
      </w:r>
      <w:r>
        <w:rPr>
          <w:color w:val="auto"/>
        </w:rPr>
        <w:t>,</w:t>
      </w:r>
    </w:p>
    <w:p w14:paraId="6915F732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593079">
        <w:t>ozporządzeniem Rady Ministrów z dnia 10</w:t>
      </w:r>
      <w:r>
        <w:t xml:space="preserve"> </w:t>
      </w:r>
      <w:r w:rsidRPr="00593079">
        <w:t>września 2019r. w sprawie przedsięwzięć mogących znacząco oddziaływać na środowi</w:t>
      </w:r>
      <w:r>
        <w:t>sko (Dz. U. z 2019r., poz.1839),</w:t>
      </w:r>
    </w:p>
    <w:p w14:paraId="0AB938C5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593079">
        <w:t>ozporządzeniem Ministra Rozwoju z dnia 11 września 2020 r. w sprawie szczegółowego zakresu i formy projektu budowlanego (Dz.U. 202</w:t>
      </w:r>
      <w:r>
        <w:t>2</w:t>
      </w:r>
      <w:r w:rsidRPr="00593079">
        <w:t xml:space="preserve"> poz. 16</w:t>
      </w:r>
      <w:r>
        <w:t>79</w:t>
      </w:r>
      <w:r w:rsidRPr="00593079">
        <w:t>)</w:t>
      </w:r>
      <w:r>
        <w:t>,</w:t>
      </w:r>
    </w:p>
    <w:p w14:paraId="7EC39DDA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>
        <w:t>R</w:t>
      </w:r>
      <w:r w:rsidRPr="0033049C">
        <w:t>ozporządzenie Ministra Rozwoju i Technologii</w:t>
      </w:r>
      <w:r>
        <w:t xml:space="preserve"> </w:t>
      </w:r>
      <w:r w:rsidRPr="0033049C">
        <w:t xml:space="preserve">z dnia 20 grudnia 2021 r. w sprawie szczegółowego zakresu i formy dokumentacji projektowej, specyfikacji technicznych wykonania i odbioru robót budowlanych oraz programu funkcjonalno-użytkowego </w:t>
      </w:r>
      <w:r w:rsidRPr="00593079">
        <w:t>(</w:t>
      </w:r>
      <w:r w:rsidRPr="0033049C">
        <w:t>Dz.U. 2021 poz. 2454</w:t>
      </w:r>
      <w:r>
        <w:t>),</w:t>
      </w:r>
    </w:p>
    <w:p w14:paraId="318BAE8E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 xml:space="preserve">Rozporządzeniem Ministra Transportu, Budownictwa i Gospodarki Morskiej z dnia 25 kwietnia 2012r. w sprawie ustalania geotechnicznych warunków </w:t>
      </w:r>
      <w:proofErr w:type="spellStart"/>
      <w:r w:rsidRPr="00593079">
        <w:t>posadawiania</w:t>
      </w:r>
      <w:proofErr w:type="spellEnd"/>
      <w:r w:rsidRPr="00593079">
        <w:t xml:space="preserve"> obiekt</w:t>
      </w:r>
      <w:r>
        <w:t xml:space="preserve">ów budowlanych (Dz.U.2012.463), </w:t>
      </w:r>
    </w:p>
    <w:p w14:paraId="56B448E3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5D5D1B5B" w14:textId="77777777" w:rsidR="005E566B" w:rsidRPr="00593079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ustaleniami z zamawiającym,</w:t>
      </w:r>
    </w:p>
    <w:p w14:paraId="57EF6BAB" w14:textId="59AE2636" w:rsidR="005E566B" w:rsidRDefault="005E566B" w:rsidP="005E566B">
      <w:pPr>
        <w:pStyle w:val="Default"/>
        <w:numPr>
          <w:ilvl w:val="1"/>
          <w:numId w:val="17"/>
        </w:numPr>
        <w:spacing w:after="46" w:line="276" w:lineRule="auto"/>
        <w:ind w:left="567" w:hanging="283"/>
        <w:jc w:val="both"/>
      </w:pPr>
      <w:r w:rsidRPr="00593079">
        <w:t>Polskimi Normami, normami zharmon</w:t>
      </w:r>
      <w:r>
        <w:t>izowanymi, normami europejskimi</w:t>
      </w:r>
      <w:r w:rsidR="008B0FAF">
        <w:t>.</w:t>
      </w:r>
    </w:p>
    <w:bookmarkEnd w:id="7"/>
    <w:p w14:paraId="33F289E4" w14:textId="77777777" w:rsidR="005E566B" w:rsidRDefault="005E566B" w:rsidP="005E566B">
      <w:pPr>
        <w:pStyle w:val="Lista3"/>
        <w:spacing w:line="276" w:lineRule="auto"/>
        <w:ind w:left="0" w:firstLine="0"/>
        <w:rPr>
          <w:rFonts w:eastAsiaTheme="minorHAnsi"/>
          <w:sz w:val="24"/>
          <w:szCs w:val="24"/>
          <w:u w:val="single"/>
          <w:lang w:eastAsia="en-US"/>
        </w:rPr>
      </w:pPr>
    </w:p>
    <w:p w14:paraId="43923C8F" w14:textId="572EA811" w:rsidR="005E566B" w:rsidRPr="005E566B" w:rsidRDefault="007F669F" w:rsidP="005E566B">
      <w:pPr>
        <w:pStyle w:val="Lista3"/>
        <w:spacing w:line="276" w:lineRule="auto"/>
        <w:ind w:left="0" w:firstLine="0"/>
        <w:rPr>
          <w:b/>
          <w:sz w:val="24"/>
          <w:szCs w:val="24"/>
          <w:u w:val="single"/>
        </w:rPr>
      </w:pPr>
      <w:r w:rsidRPr="00F56B9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69BA61F" w14:textId="77777777" w:rsidR="00697E3A" w:rsidRPr="00F56B9C" w:rsidRDefault="00697E3A" w:rsidP="005E566B">
      <w:pPr>
        <w:spacing w:line="276" w:lineRule="auto"/>
        <w:jc w:val="both"/>
      </w:pPr>
      <w:r w:rsidRPr="00F56B9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F56B9C" w:rsidRDefault="00697E3A" w:rsidP="005E566B">
      <w:pPr>
        <w:spacing w:line="276" w:lineRule="auto"/>
        <w:jc w:val="both"/>
      </w:pPr>
      <w:r w:rsidRPr="00F56B9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F56B9C" w:rsidRDefault="00697E3A" w:rsidP="005E566B">
      <w:pPr>
        <w:spacing w:line="276" w:lineRule="auto"/>
        <w:jc w:val="both"/>
      </w:pPr>
      <w:r w:rsidRPr="00F56B9C">
        <w:t>Obiekt budowlany należy projektować zgodnie z przepisami, w tym techniczno-budowlanymi</w:t>
      </w:r>
      <w:r w:rsidR="00A4047E">
        <w:t xml:space="preserve"> </w:t>
      </w:r>
      <w:r w:rsidR="00A4047E">
        <w:br/>
      </w:r>
      <w:r w:rsidRPr="00F56B9C">
        <w:t>(w tym z aktualnymi rozporządzeniami) oraz zasadami wiedzy  technicznej.</w:t>
      </w:r>
    </w:p>
    <w:p w14:paraId="33C71051" w14:textId="05787B9C" w:rsidR="00697E3A" w:rsidRPr="00F56B9C" w:rsidRDefault="00697E3A" w:rsidP="005E566B">
      <w:pPr>
        <w:spacing w:line="276" w:lineRule="auto"/>
        <w:jc w:val="both"/>
      </w:pPr>
      <w:r w:rsidRPr="00F56B9C">
        <w:t xml:space="preserve">Obiekty budowlane należy projektować tak, aby zapewnić optymalną ekonomiczność budowy </w:t>
      </w:r>
      <w:r w:rsidRPr="00F56B9C">
        <w:br/>
        <w:t xml:space="preserve">i eksploatacji. Obiekty budowlane należy projektować z zastosowaniem nowoczesnych technologii robót i materiałów - kierując się zasadą projektowania optymalnych rozwiązań dla osiągnięcia  założonych celów. </w:t>
      </w:r>
    </w:p>
    <w:p w14:paraId="34F1911A" w14:textId="594FB698" w:rsidR="00697E3A" w:rsidRPr="00F56B9C" w:rsidRDefault="00697E3A" w:rsidP="005E566B">
      <w:pPr>
        <w:spacing w:line="276" w:lineRule="auto"/>
        <w:jc w:val="both"/>
      </w:pPr>
      <w:r w:rsidRPr="00F56B9C">
        <w:t xml:space="preserve">Wykonawca zobowiązany jest </w:t>
      </w:r>
      <w:r w:rsidR="00755FD3">
        <w:t>stosować</w:t>
      </w:r>
      <w:r w:rsidRPr="00F56B9C">
        <w:t xml:space="preserve"> wszystkie przepisy wydane przez władze centralne </w:t>
      </w:r>
      <w:r w:rsidR="00226B29">
        <w:br/>
      </w:r>
      <w:r w:rsidRPr="00F56B9C">
        <w:t xml:space="preserve">i lokalne (w tym MPZP) oraz inne przepisy, regulaminy i wytyczne, które są w jakikolwiek sposób związane z wykonywanymi opracowaniami projektowymi i będzie w pełni odpowiedzialny za przestrzeganie ich postanowień podczas wykonywania opracowań projektowych. Dodatkowo </w:t>
      </w:r>
    </w:p>
    <w:p w14:paraId="4645B0CE" w14:textId="609D42B0" w:rsidR="00AE44C5" w:rsidRPr="00F56B9C" w:rsidRDefault="00697E3A" w:rsidP="005E566B">
      <w:pPr>
        <w:spacing w:line="276" w:lineRule="auto"/>
        <w:jc w:val="both"/>
      </w:pPr>
      <w:r w:rsidRPr="00F56B9C">
        <w:t>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5E566B">
        <w:t>.</w:t>
      </w:r>
    </w:p>
    <w:sectPr w:rsidR="00AE44C5" w:rsidRPr="00F56B9C" w:rsidSect="00B07CD6">
      <w:pgSz w:w="11906" w:h="16838"/>
      <w:pgMar w:top="1134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87DF3" w14:textId="77777777" w:rsidR="0059098B" w:rsidRDefault="0059098B" w:rsidP="006D0ABF">
      <w:r>
        <w:separator/>
      </w:r>
    </w:p>
  </w:endnote>
  <w:endnote w:type="continuationSeparator" w:id="0">
    <w:p w14:paraId="037130D1" w14:textId="77777777" w:rsidR="0059098B" w:rsidRDefault="0059098B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1A135" w14:textId="77777777" w:rsidR="0059098B" w:rsidRDefault="0059098B" w:rsidP="006D0ABF">
      <w:r>
        <w:separator/>
      </w:r>
    </w:p>
  </w:footnote>
  <w:footnote w:type="continuationSeparator" w:id="0">
    <w:p w14:paraId="21482AB5" w14:textId="77777777" w:rsidR="0059098B" w:rsidRDefault="0059098B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4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8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0D6B1C"/>
    <w:multiLevelType w:val="hybridMultilevel"/>
    <w:tmpl w:val="DA188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66B748EE"/>
    <w:multiLevelType w:val="hybridMultilevel"/>
    <w:tmpl w:val="0C6E4610"/>
    <w:lvl w:ilvl="0" w:tplc="04150001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6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3660">
    <w:abstractNumId w:val="15"/>
  </w:num>
  <w:num w:numId="2" w16cid:durableId="1799565871">
    <w:abstractNumId w:val="4"/>
  </w:num>
  <w:num w:numId="3" w16cid:durableId="511534876">
    <w:abstractNumId w:val="11"/>
  </w:num>
  <w:num w:numId="4" w16cid:durableId="151339608">
    <w:abstractNumId w:val="5"/>
  </w:num>
  <w:num w:numId="5" w16cid:durableId="671371826">
    <w:abstractNumId w:val="3"/>
  </w:num>
  <w:num w:numId="6" w16cid:durableId="912814361">
    <w:abstractNumId w:val="8"/>
  </w:num>
  <w:num w:numId="7" w16cid:durableId="510528056">
    <w:abstractNumId w:val="9"/>
  </w:num>
  <w:num w:numId="8" w16cid:durableId="1855726053">
    <w:abstractNumId w:val="2"/>
  </w:num>
  <w:num w:numId="9" w16cid:durableId="1473014866">
    <w:abstractNumId w:val="17"/>
  </w:num>
  <w:num w:numId="10" w16cid:durableId="805198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2703736">
    <w:abstractNumId w:val="10"/>
  </w:num>
  <w:num w:numId="12" w16cid:durableId="939798229">
    <w:abstractNumId w:val="0"/>
  </w:num>
  <w:num w:numId="13" w16cid:durableId="1513256106">
    <w:abstractNumId w:val="16"/>
  </w:num>
  <w:num w:numId="14" w16cid:durableId="589701194">
    <w:abstractNumId w:val="1"/>
  </w:num>
  <w:num w:numId="15" w16cid:durableId="793671360">
    <w:abstractNumId w:val="13"/>
  </w:num>
  <w:num w:numId="16" w16cid:durableId="1494682686">
    <w:abstractNumId w:val="12"/>
  </w:num>
  <w:num w:numId="17" w16cid:durableId="400644091">
    <w:abstractNumId w:val="14"/>
  </w:num>
  <w:num w:numId="18" w16cid:durableId="699361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4C5"/>
    <w:rsid w:val="00022B8A"/>
    <w:rsid w:val="00035365"/>
    <w:rsid w:val="00040769"/>
    <w:rsid w:val="0004372D"/>
    <w:rsid w:val="00080AED"/>
    <w:rsid w:val="000B005C"/>
    <w:rsid w:val="000B5AB3"/>
    <w:rsid w:val="000C0835"/>
    <w:rsid w:val="000C528A"/>
    <w:rsid w:val="000C76BB"/>
    <w:rsid w:val="000D383E"/>
    <w:rsid w:val="000D493C"/>
    <w:rsid w:val="000F285B"/>
    <w:rsid w:val="00107F9D"/>
    <w:rsid w:val="001364C1"/>
    <w:rsid w:val="001514F6"/>
    <w:rsid w:val="00164F71"/>
    <w:rsid w:val="001652BC"/>
    <w:rsid w:val="001D61DC"/>
    <w:rsid w:val="001E23DE"/>
    <w:rsid w:val="001F44B9"/>
    <w:rsid w:val="001F57B8"/>
    <w:rsid w:val="00217C11"/>
    <w:rsid w:val="00222C17"/>
    <w:rsid w:val="00226B29"/>
    <w:rsid w:val="002876A5"/>
    <w:rsid w:val="002908CB"/>
    <w:rsid w:val="002C160B"/>
    <w:rsid w:val="002C6824"/>
    <w:rsid w:val="00312F7F"/>
    <w:rsid w:val="00315541"/>
    <w:rsid w:val="00351036"/>
    <w:rsid w:val="0035601E"/>
    <w:rsid w:val="003904C1"/>
    <w:rsid w:val="003E25A2"/>
    <w:rsid w:val="003F1C3D"/>
    <w:rsid w:val="00406285"/>
    <w:rsid w:val="00420B3A"/>
    <w:rsid w:val="00434F24"/>
    <w:rsid w:val="0048728C"/>
    <w:rsid w:val="004A4598"/>
    <w:rsid w:val="004E10E2"/>
    <w:rsid w:val="004E12F2"/>
    <w:rsid w:val="00505A31"/>
    <w:rsid w:val="005377FA"/>
    <w:rsid w:val="005559D0"/>
    <w:rsid w:val="00562F95"/>
    <w:rsid w:val="005760FF"/>
    <w:rsid w:val="0059098B"/>
    <w:rsid w:val="00591E6B"/>
    <w:rsid w:val="005A224E"/>
    <w:rsid w:val="005B3806"/>
    <w:rsid w:val="005C0EAE"/>
    <w:rsid w:val="005C60E6"/>
    <w:rsid w:val="005E50E5"/>
    <w:rsid w:val="005E566B"/>
    <w:rsid w:val="00622CF6"/>
    <w:rsid w:val="006370C6"/>
    <w:rsid w:val="006510FA"/>
    <w:rsid w:val="00663947"/>
    <w:rsid w:val="00694309"/>
    <w:rsid w:val="00697E3A"/>
    <w:rsid w:val="006C10D2"/>
    <w:rsid w:val="006D0ABF"/>
    <w:rsid w:val="006D0FAC"/>
    <w:rsid w:val="006D2260"/>
    <w:rsid w:val="00703914"/>
    <w:rsid w:val="00704DAB"/>
    <w:rsid w:val="0072060F"/>
    <w:rsid w:val="00731A04"/>
    <w:rsid w:val="007348BD"/>
    <w:rsid w:val="00755FD3"/>
    <w:rsid w:val="0076278D"/>
    <w:rsid w:val="007714C9"/>
    <w:rsid w:val="00791D91"/>
    <w:rsid w:val="007A25DD"/>
    <w:rsid w:val="007F669F"/>
    <w:rsid w:val="00812AF1"/>
    <w:rsid w:val="008322C0"/>
    <w:rsid w:val="0084483D"/>
    <w:rsid w:val="00855774"/>
    <w:rsid w:val="0086039E"/>
    <w:rsid w:val="00882407"/>
    <w:rsid w:val="00891FDF"/>
    <w:rsid w:val="00892D4E"/>
    <w:rsid w:val="008B0FAF"/>
    <w:rsid w:val="008C2F83"/>
    <w:rsid w:val="00916A1D"/>
    <w:rsid w:val="00917411"/>
    <w:rsid w:val="00965E82"/>
    <w:rsid w:val="009755B2"/>
    <w:rsid w:val="00976A30"/>
    <w:rsid w:val="009913FB"/>
    <w:rsid w:val="009A3B93"/>
    <w:rsid w:val="009E4E4B"/>
    <w:rsid w:val="009E6F32"/>
    <w:rsid w:val="009F4F00"/>
    <w:rsid w:val="00A16548"/>
    <w:rsid w:val="00A4047E"/>
    <w:rsid w:val="00A46A14"/>
    <w:rsid w:val="00A53F93"/>
    <w:rsid w:val="00A74722"/>
    <w:rsid w:val="00AE1182"/>
    <w:rsid w:val="00AE44C5"/>
    <w:rsid w:val="00AF2716"/>
    <w:rsid w:val="00B07CD6"/>
    <w:rsid w:val="00B07EF4"/>
    <w:rsid w:val="00B266C5"/>
    <w:rsid w:val="00B337AE"/>
    <w:rsid w:val="00B56C3B"/>
    <w:rsid w:val="00B901DB"/>
    <w:rsid w:val="00BC6DF9"/>
    <w:rsid w:val="00BE0333"/>
    <w:rsid w:val="00BF4AA9"/>
    <w:rsid w:val="00BF68F8"/>
    <w:rsid w:val="00C11919"/>
    <w:rsid w:val="00C327FE"/>
    <w:rsid w:val="00C47509"/>
    <w:rsid w:val="00CA379D"/>
    <w:rsid w:val="00D57E0A"/>
    <w:rsid w:val="00D60C7D"/>
    <w:rsid w:val="00D60FAF"/>
    <w:rsid w:val="00D63FF2"/>
    <w:rsid w:val="00D66585"/>
    <w:rsid w:val="00DD6CCD"/>
    <w:rsid w:val="00DF6CEF"/>
    <w:rsid w:val="00E60F69"/>
    <w:rsid w:val="00E672C6"/>
    <w:rsid w:val="00EB483B"/>
    <w:rsid w:val="00EB614C"/>
    <w:rsid w:val="00F07BF4"/>
    <w:rsid w:val="00F26297"/>
    <w:rsid w:val="00F30552"/>
    <w:rsid w:val="00F413AA"/>
    <w:rsid w:val="00F56B9C"/>
    <w:rsid w:val="00F670F8"/>
    <w:rsid w:val="00F7680F"/>
    <w:rsid w:val="00FA79ED"/>
    <w:rsid w:val="00FB2D60"/>
    <w:rsid w:val="00FB7F05"/>
    <w:rsid w:val="00FC437C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0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420B3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Default">
    <w:name w:val="Default"/>
    <w:rsid w:val="005E5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C6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krajowy-plan-odbudowy/dla-instytucji/dnsh-zasada-nieczynienia-powaznej-szkody-srodowisku-do-no-significant-ha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9108-28D9-4B38-9879-D726983E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5</Pages>
  <Words>1946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nowa komputery</cp:lastModifiedBy>
  <cp:revision>16</cp:revision>
  <cp:lastPrinted>2020-12-04T08:18:00Z</cp:lastPrinted>
  <dcterms:created xsi:type="dcterms:W3CDTF">2023-10-09T10:40:00Z</dcterms:created>
  <dcterms:modified xsi:type="dcterms:W3CDTF">2024-08-02T05:56:00Z</dcterms:modified>
</cp:coreProperties>
</file>