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3A796FB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(Dz. U. z 20</w:t>
      </w:r>
      <w:r w:rsidR="00EB3305">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1129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5CF85EBF"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81488513"/>
      <w:r w:rsidR="00CF5627" w:rsidRPr="00CF5627">
        <w:rPr>
          <w:rFonts w:ascii="Arial" w:eastAsia="Arial" w:hAnsi="Arial" w:cs="Arial"/>
          <w:b/>
          <w:i/>
          <w:sz w:val="28"/>
          <w:szCs w:val="28"/>
          <w:lang w:eastAsia="pl-PL"/>
        </w:rPr>
        <w:t xml:space="preserve">Budowa </w:t>
      </w:r>
      <w:r w:rsidR="00CF5627">
        <w:rPr>
          <w:rFonts w:ascii="Arial" w:eastAsia="Arial" w:hAnsi="Arial" w:cs="Arial"/>
          <w:b/>
          <w:i/>
          <w:sz w:val="28"/>
          <w:szCs w:val="28"/>
          <w:lang w:eastAsia="pl-PL"/>
        </w:rPr>
        <w:t>g</w:t>
      </w:r>
      <w:r w:rsidR="00CF5627" w:rsidRPr="00CF5627">
        <w:rPr>
          <w:rFonts w:ascii="Arial" w:eastAsia="Arial" w:hAnsi="Arial" w:cs="Arial"/>
          <w:b/>
          <w:i/>
          <w:sz w:val="28"/>
          <w:szCs w:val="28"/>
          <w:lang w:eastAsia="pl-PL"/>
        </w:rPr>
        <w:t>arażu wraz z zagospodarowaniem terenu przy Remizie  OSP W  Tokarach</w:t>
      </w:r>
      <w:bookmarkEnd w:id="1"/>
      <w:r w:rsidRPr="003C6699">
        <w:rPr>
          <w:rFonts w:ascii="Arial" w:eastAsia="Arial" w:hAnsi="Arial" w:cs="Arial"/>
          <w:b/>
          <w:sz w:val="28"/>
          <w:szCs w:val="28"/>
          <w:lang w:val="pl" w:eastAsia="pl-PL"/>
        </w:rPr>
        <w:t>”</w:t>
      </w:r>
    </w:p>
    <w:p w14:paraId="6EF21556" w14:textId="4915630B" w:rsidR="002C7C32" w:rsidRPr="002C7C32" w:rsidRDefault="002C7C32" w:rsidP="002C7C32">
      <w:pPr>
        <w:spacing w:after="0" w:line="276" w:lineRule="auto"/>
        <w:jc w:val="center"/>
        <w:rPr>
          <w:rFonts w:ascii="Arial" w:eastAsia="Arial" w:hAnsi="Arial" w:cs="Arial"/>
          <w:bCs/>
          <w:sz w:val="24"/>
          <w:szCs w:val="24"/>
          <w:lang w:eastAsia="pl-PL"/>
        </w:rPr>
      </w:pPr>
      <w:r w:rsidRPr="002C7C32">
        <w:rPr>
          <w:rFonts w:ascii="Arial" w:eastAsia="Arial" w:hAnsi="Arial" w:cs="Arial"/>
          <w:bCs/>
          <w:sz w:val="24"/>
          <w:szCs w:val="24"/>
          <w:lang w:eastAsia="pl-PL"/>
        </w:rPr>
        <w:t>Inwestycja dofinansowana ze środków Funduszu Przeciwdziałania COVID-19 dla  gmin z przeznaczeniem na inwestycje realizowane w miejscowościach, w których funkcjonowały zlikwidowane państwowe przedsiębiorstwa gospodarki rolnej</w:t>
      </w:r>
    </w:p>
    <w:p w14:paraId="3F579D34" w14:textId="77777777" w:rsidR="002C7C32" w:rsidRPr="003C6699" w:rsidRDefault="002C7C32" w:rsidP="003C6699">
      <w:pPr>
        <w:spacing w:after="0" w:line="276" w:lineRule="auto"/>
        <w:jc w:val="center"/>
        <w:rPr>
          <w:rFonts w:ascii="Arial" w:eastAsia="Arial" w:hAnsi="Arial" w:cs="Arial"/>
          <w:b/>
          <w:sz w:val="28"/>
          <w:szCs w:val="28"/>
          <w:lang w:val="pl" w:eastAsia="pl-PL"/>
        </w:rPr>
      </w:pPr>
    </w:p>
    <w:bookmarkEnd w:id="0"/>
    <w:p w14:paraId="5BB0D890" w14:textId="77777777" w:rsidR="003C6699" w:rsidRPr="003C6699" w:rsidRDefault="003C6699" w:rsidP="003C6699">
      <w:pPr>
        <w:spacing w:after="0" w:line="276" w:lineRule="auto"/>
        <w:jc w:val="center"/>
        <w:rPr>
          <w:rFonts w:ascii="Arial" w:eastAsia="Arial" w:hAnsi="Arial" w:cs="Arial"/>
          <w:sz w:val="16"/>
          <w:szCs w:val="16"/>
          <w:lang w:val="pl" w:eastAsia="pl-PL"/>
        </w:rPr>
      </w:pPr>
    </w:p>
    <w:p w14:paraId="2A70F9C9" w14:textId="33EDDB4D"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CF5627">
        <w:rPr>
          <w:rFonts w:ascii="Arial" w:eastAsia="Arial" w:hAnsi="Arial" w:cs="Arial"/>
          <w:sz w:val="20"/>
          <w:szCs w:val="20"/>
          <w:lang w:val="pl" w:eastAsia="pl-PL"/>
        </w:rPr>
        <w:t>1</w:t>
      </w:r>
      <w:r w:rsidR="00FE16CE">
        <w:rPr>
          <w:rFonts w:ascii="Arial" w:eastAsia="Arial" w:hAnsi="Arial" w:cs="Arial"/>
          <w:sz w:val="20"/>
          <w:szCs w:val="20"/>
          <w:lang w:val="pl" w:eastAsia="pl-PL"/>
        </w:rPr>
        <w:t>9</w:t>
      </w:r>
      <w:r w:rsidRPr="003C6699">
        <w:rPr>
          <w:rFonts w:ascii="Arial" w:eastAsia="Arial" w:hAnsi="Arial" w:cs="Arial"/>
          <w:sz w:val="20"/>
          <w:szCs w:val="20"/>
          <w:lang w:val="pl" w:eastAsia="pl-PL"/>
        </w:rPr>
        <w:t>.2021</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35566829" w:rsidR="003C6699" w:rsidRPr="003C6699" w:rsidRDefault="00FE16CE"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24</w:t>
      </w:r>
      <w:r w:rsidR="003C6699" w:rsidRPr="003C6699">
        <w:rPr>
          <w:rFonts w:ascii="Arial" w:eastAsia="Arial" w:hAnsi="Arial" w:cs="Arial"/>
          <w:b/>
          <w:lang w:val="pl" w:eastAsia="pl-PL"/>
        </w:rPr>
        <w:t xml:space="preserve"> </w:t>
      </w:r>
      <w:r w:rsidR="00CF5627">
        <w:rPr>
          <w:rFonts w:ascii="Arial" w:eastAsia="Arial" w:hAnsi="Arial" w:cs="Arial"/>
          <w:b/>
          <w:lang w:val="pl" w:eastAsia="pl-PL"/>
        </w:rPr>
        <w:t>września</w:t>
      </w:r>
      <w:r w:rsidR="003C6699" w:rsidRPr="003C6699">
        <w:rPr>
          <w:rFonts w:ascii="Arial" w:eastAsia="Arial" w:hAnsi="Arial" w:cs="Arial"/>
          <w:b/>
          <w:lang w:val="pl" w:eastAsia="pl-PL"/>
        </w:rPr>
        <w:t xml:space="preserve"> 2021</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Arial" w:eastAsia="Arial" w:hAnsi="Arial" w:cs="Arial"/>
          <w:lang w:val="pl" w:eastAsia="pl-PL"/>
        </w:rPr>
        <w:id w:val="1862394268"/>
        <w:docPartObj>
          <w:docPartGallery w:val="Table of Contents"/>
          <w:docPartUnique/>
        </w:docPartObj>
      </w:sdtPr>
      <w:sdtEndPr/>
      <w:sdtContent>
        <w:p w14:paraId="196A1DA6" w14:textId="70E1A31F" w:rsidR="003C6699" w:rsidRPr="003C6699" w:rsidRDefault="003C6699" w:rsidP="003C6699">
          <w:pPr>
            <w:tabs>
              <w:tab w:val="right" w:pos="9019"/>
            </w:tabs>
            <w:spacing w:after="100" w:line="276" w:lineRule="auto"/>
            <w:ind w:left="220"/>
            <w:rPr>
              <w:rFonts w:ascii="Cambria" w:eastAsia="Times New Roman" w:hAnsi="Cambria" w:cs="Times New Roman"/>
              <w:noProof/>
              <w:lang w:eastAsia="pl-PL"/>
            </w:rPr>
          </w:pPr>
          <w:r w:rsidRPr="003C6699">
            <w:rPr>
              <w:rFonts w:ascii="Arial" w:eastAsia="Arial" w:hAnsi="Arial" w:cs="Arial"/>
              <w:lang w:val="pl" w:eastAsia="pl-PL"/>
            </w:rPr>
            <w:fldChar w:fldCharType="begin"/>
          </w:r>
          <w:r w:rsidRPr="003C6699">
            <w:rPr>
              <w:rFonts w:ascii="Arial" w:eastAsia="Arial" w:hAnsi="Arial" w:cs="Arial"/>
              <w:lang w:val="pl" w:eastAsia="pl-PL"/>
            </w:rPr>
            <w:instrText xml:space="preserve"> TOC \h \u \z </w:instrText>
          </w:r>
          <w:r w:rsidRPr="003C6699">
            <w:rPr>
              <w:rFonts w:ascii="Arial" w:eastAsia="Arial" w:hAnsi="Arial" w:cs="Arial"/>
              <w:lang w:val="pl" w:eastAsia="pl-PL"/>
            </w:rPr>
            <w:fldChar w:fldCharType="separate"/>
          </w:r>
          <w:hyperlink w:anchor="_Toc71890560" w:history="1">
            <w:r w:rsidRPr="003C6699">
              <w:rPr>
                <w:rFonts w:ascii="Arial" w:eastAsia="Arial" w:hAnsi="Arial" w:cs="Arial"/>
                <w:noProof/>
                <w:color w:val="0000FF"/>
                <w:u w:val="single"/>
                <w:lang w:val="pl" w:eastAsia="pl-PL"/>
              </w:rPr>
              <w:t>I. Nazwa oraz adres Zamawiającego</w:t>
            </w:r>
            <w:r w:rsidRPr="003C6699">
              <w:rPr>
                <w:rFonts w:ascii="Arial" w:eastAsia="Arial" w:hAnsi="Arial" w:cs="Arial"/>
                <w:noProof/>
                <w:webHidden/>
                <w:lang w:val="pl" w:eastAsia="pl-PL"/>
              </w:rPr>
              <w:tab/>
            </w:r>
            <w:r w:rsidRPr="003C6699">
              <w:rPr>
                <w:rFonts w:ascii="Arial" w:eastAsia="Arial" w:hAnsi="Arial" w:cs="Arial"/>
                <w:noProof/>
                <w:webHidden/>
                <w:lang w:val="pl" w:eastAsia="pl-PL"/>
              </w:rPr>
              <w:fldChar w:fldCharType="begin"/>
            </w:r>
            <w:r w:rsidRPr="003C6699">
              <w:rPr>
                <w:rFonts w:ascii="Arial" w:eastAsia="Arial" w:hAnsi="Arial" w:cs="Arial"/>
                <w:noProof/>
                <w:webHidden/>
                <w:lang w:val="pl" w:eastAsia="pl-PL"/>
              </w:rPr>
              <w:instrText xml:space="preserve"> PAGEREF _Toc71890560 \h </w:instrText>
            </w:r>
            <w:r w:rsidRPr="003C6699">
              <w:rPr>
                <w:rFonts w:ascii="Arial" w:eastAsia="Arial" w:hAnsi="Arial" w:cs="Arial"/>
                <w:noProof/>
                <w:webHidden/>
                <w:lang w:val="pl" w:eastAsia="pl-PL"/>
              </w:rPr>
            </w:r>
            <w:r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w:t>
            </w:r>
            <w:r w:rsidRPr="003C6699">
              <w:rPr>
                <w:rFonts w:ascii="Arial" w:eastAsia="Arial" w:hAnsi="Arial" w:cs="Arial"/>
                <w:noProof/>
                <w:webHidden/>
                <w:lang w:val="pl" w:eastAsia="pl-PL"/>
              </w:rPr>
              <w:fldChar w:fldCharType="end"/>
            </w:r>
          </w:hyperlink>
        </w:p>
        <w:p w14:paraId="17001C7C" w14:textId="0B981352"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1" w:history="1">
            <w:r w:rsidR="003C6699" w:rsidRPr="003C6699">
              <w:rPr>
                <w:rFonts w:ascii="Arial" w:eastAsia="Arial" w:hAnsi="Arial" w:cs="Arial"/>
                <w:noProof/>
                <w:color w:val="0000FF"/>
                <w:u w:val="single"/>
                <w:lang w:val="pl" w:eastAsia="pl-PL"/>
              </w:rPr>
              <w:t>II.  Tryb udzielania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3</w:t>
            </w:r>
            <w:r w:rsidR="003C6699" w:rsidRPr="003C6699">
              <w:rPr>
                <w:rFonts w:ascii="Arial" w:eastAsia="Arial" w:hAnsi="Arial" w:cs="Arial"/>
                <w:noProof/>
                <w:webHidden/>
                <w:lang w:val="pl" w:eastAsia="pl-PL"/>
              </w:rPr>
              <w:fldChar w:fldCharType="end"/>
            </w:r>
          </w:hyperlink>
        </w:p>
        <w:p w14:paraId="7A5176D8" w14:textId="3906B545"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2" w:history="1">
            <w:r w:rsidR="003C6699" w:rsidRPr="003C6699">
              <w:rPr>
                <w:rFonts w:ascii="Arial" w:eastAsia="Arial" w:hAnsi="Arial" w:cs="Arial"/>
                <w:noProof/>
                <w:color w:val="0000FF"/>
                <w:u w:val="single"/>
                <w:lang w:val="pl" w:eastAsia="pl-PL"/>
              </w:rPr>
              <w:t>III. Opis przedmiotu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4</w:t>
            </w:r>
            <w:r w:rsidR="003C6699" w:rsidRPr="003C6699">
              <w:rPr>
                <w:rFonts w:ascii="Arial" w:eastAsia="Arial" w:hAnsi="Arial" w:cs="Arial"/>
                <w:noProof/>
                <w:webHidden/>
                <w:lang w:val="pl" w:eastAsia="pl-PL"/>
              </w:rPr>
              <w:fldChar w:fldCharType="end"/>
            </w:r>
          </w:hyperlink>
        </w:p>
        <w:p w14:paraId="22492658" w14:textId="25B004D7"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3" w:history="1">
            <w:r w:rsidR="003C6699" w:rsidRPr="003C6699">
              <w:rPr>
                <w:rFonts w:ascii="Arial" w:eastAsia="Arial" w:hAnsi="Arial" w:cs="Arial"/>
                <w:noProof/>
                <w:color w:val="0000FF"/>
                <w:u w:val="single"/>
                <w:lang w:val="pl" w:eastAsia="pl-PL"/>
              </w:rPr>
              <w:t>IV. Wizja lokalna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_Toc71890563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5</w:t>
            </w:r>
            <w:r w:rsidR="003C6699" w:rsidRPr="003C6699">
              <w:rPr>
                <w:rFonts w:ascii="Arial" w:eastAsia="Arial" w:hAnsi="Arial" w:cs="Arial"/>
                <w:noProof/>
                <w:webHidden/>
                <w:lang w:val="pl" w:eastAsia="pl-PL"/>
              </w:rPr>
              <w:fldChar w:fldCharType="end"/>
            </w:r>
          </w:hyperlink>
        </w:p>
        <w:p w14:paraId="6B50CAC5" w14:textId="2C412002"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4" w:history="1">
            <w:r w:rsidR="003C6699" w:rsidRPr="003C6699">
              <w:rPr>
                <w:rFonts w:ascii="Arial" w:eastAsia="Arial" w:hAnsi="Arial" w:cs="Arial"/>
                <w:noProof/>
                <w:color w:val="0000FF"/>
                <w:u w:val="single"/>
                <w:lang w:val="pl" w:eastAsia="pl-PL"/>
              </w:rPr>
              <w:t>V. Podwykonawstwo</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157FC860" w14:textId="14838F0B"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5" w:history="1">
            <w:r w:rsidR="003C6699" w:rsidRPr="003C6699">
              <w:rPr>
                <w:rFonts w:ascii="Arial" w:eastAsia="Arial" w:hAnsi="Arial" w:cs="Arial"/>
                <w:noProof/>
                <w:color w:val="0000FF"/>
                <w:u w:val="single"/>
                <w:lang w:val="pl" w:eastAsia="pl-PL"/>
              </w:rPr>
              <w:t>VI. Termin wykonania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6236D86D" w14:textId="7E6C43FC"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6" w:history="1">
            <w:r w:rsidR="003C6699" w:rsidRPr="003C6699">
              <w:rPr>
                <w:rFonts w:ascii="Arial" w:eastAsia="Arial" w:hAnsi="Arial" w:cs="Arial"/>
                <w:noProof/>
                <w:color w:val="0000FF"/>
                <w:u w:val="single"/>
                <w:lang w:val="pl" w:eastAsia="pl-PL"/>
              </w:rPr>
              <w:t>VII. Warunki udziału w postępowaniu</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_Toc71890566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6D19A75C" w14:textId="34DB744A"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7" w:history="1">
            <w:r w:rsidR="003C6699" w:rsidRPr="003C6699">
              <w:rPr>
                <w:rFonts w:ascii="Arial" w:eastAsia="Arial" w:hAnsi="Arial" w:cs="Arial"/>
                <w:noProof/>
                <w:color w:val="0000FF"/>
                <w:u w:val="single"/>
                <w:lang w:val="pl" w:eastAsia="pl-PL"/>
              </w:rPr>
              <w:t>VIII. Podstawy wykluczenia z postępowania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_Toc71890567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7</w:t>
            </w:r>
            <w:r w:rsidR="003C6699" w:rsidRPr="003C6699">
              <w:rPr>
                <w:rFonts w:ascii="Arial" w:eastAsia="Arial" w:hAnsi="Arial" w:cs="Arial"/>
                <w:noProof/>
                <w:webHidden/>
                <w:lang w:val="pl" w:eastAsia="pl-PL"/>
              </w:rPr>
              <w:fldChar w:fldCharType="end"/>
            </w:r>
          </w:hyperlink>
        </w:p>
        <w:p w14:paraId="0C36657E" w14:textId="0EDA8C7F"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8" w:history="1">
            <w:r w:rsidR="003C6699" w:rsidRPr="003C6699">
              <w:rPr>
                <w:rFonts w:ascii="Arial" w:eastAsia="Arial" w:hAnsi="Arial" w:cs="Arial"/>
                <w:noProof/>
                <w:color w:val="0000FF"/>
                <w:u w:val="single"/>
                <w:lang w:val="pl" w:eastAsia="pl-PL"/>
              </w:rPr>
              <w:t>IX. Podmiotowe środki dowodowe. Oświadczenia i dokumenty, jakie zobowiązani są dostarczyć Wykonawcy w celu potwierdzenia spełniania warunków udziału w postępowaniu oraz wykazania braku podstaw wykluczenia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_Toc71890568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7</w:t>
            </w:r>
            <w:r w:rsidR="003C6699" w:rsidRPr="003C6699">
              <w:rPr>
                <w:rFonts w:ascii="Arial" w:eastAsia="Arial" w:hAnsi="Arial" w:cs="Arial"/>
                <w:noProof/>
                <w:webHidden/>
                <w:lang w:val="pl" w:eastAsia="pl-PL"/>
              </w:rPr>
              <w:fldChar w:fldCharType="end"/>
            </w:r>
          </w:hyperlink>
        </w:p>
        <w:p w14:paraId="1DE049FF" w14:textId="25C26CC8"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69" w:history="1">
            <w:r w:rsidR="003C6699" w:rsidRPr="003C6699">
              <w:rPr>
                <w:rFonts w:ascii="Arial" w:eastAsia="Arial" w:hAnsi="Arial" w:cs="Arial"/>
                <w:noProof/>
                <w:color w:val="0000FF"/>
                <w:u w:val="single"/>
                <w:lang w:val="pl" w:eastAsia="pl-PL"/>
              </w:rPr>
              <w:t>X. Poleganie na zasobach innych podmiotów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_Toc71890569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9</w:t>
            </w:r>
            <w:r w:rsidR="003C6699" w:rsidRPr="003C6699">
              <w:rPr>
                <w:rFonts w:ascii="Arial" w:eastAsia="Arial" w:hAnsi="Arial" w:cs="Arial"/>
                <w:noProof/>
                <w:webHidden/>
                <w:lang w:val="pl" w:eastAsia="pl-PL"/>
              </w:rPr>
              <w:fldChar w:fldCharType="end"/>
            </w:r>
          </w:hyperlink>
        </w:p>
        <w:p w14:paraId="40839075" w14:textId="16430693"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0" w:history="1">
            <w:r w:rsidR="003C6699" w:rsidRPr="003C6699">
              <w:rPr>
                <w:rFonts w:ascii="Arial" w:eastAsia="Arial" w:hAnsi="Arial" w:cs="Arial"/>
                <w:noProof/>
                <w:color w:val="0000FF"/>
                <w:u w:val="single"/>
                <w:lang w:val="pl" w:eastAsia="pl-PL"/>
              </w:rPr>
              <w:t>XI. Informacja dla Wykonawców wspólnie ubiegających się o udzielenie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_Toc71890570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10</w:t>
            </w:r>
            <w:r w:rsidR="003C6699" w:rsidRPr="003C6699">
              <w:rPr>
                <w:rFonts w:ascii="Arial" w:eastAsia="Arial" w:hAnsi="Arial" w:cs="Arial"/>
                <w:noProof/>
                <w:webHidden/>
                <w:lang w:val="pl" w:eastAsia="pl-PL"/>
              </w:rPr>
              <w:fldChar w:fldCharType="end"/>
            </w:r>
          </w:hyperlink>
        </w:p>
        <w:p w14:paraId="1249A3A9" w14:textId="0DDA9866"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1" w:history="1">
            <w:r w:rsidR="003C6699" w:rsidRPr="003C6699">
              <w:rPr>
                <w:rFonts w:ascii="Arial" w:eastAsia="Arial" w:hAnsi="Arial" w:cs="Arial"/>
                <w:noProof/>
                <w:color w:val="0000FF"/>
                <w:u w:val="single"/>
                <w:lang w:val="pl" w:eastAsia="pl-PL"/>
              </w:rPr>
              <w:t>XII. Informacje o sposobie porozumiewania się zamawiającego z Wykonawcami oraz przekazywania oświadczeń lub dokumentów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10</w:t>
            </w:r>
            <w:r w:rsidR="003C6699" w:rsidRPr="003C6699">
              <w:rPr>
                <w:rFonts w:ascii="Arial" w:eastAsia="Arial" w:hAnsi="Arial" w:cs="Arial"/>
                <w:noProof/>
                <w:webHidden/>
                <w:lang w:val="pl" w:eastAsia="pl-PL"/>
              </w:rPr>
              <w:fldChar w:fldCharType="end"/>
            </w:r>
          </w:hyperlink>
        </w:p>
        <w:p w14:paraId="2E1844FD" w14:textId="4556A50C"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2" w:history="1">
            <w:r w:rsidR="003C6699" w:rsidRPr="003C6699">
              <w:rPr>
                <w:rFonts w:ascii="Arial" w:eastAsia="Arial" w:hAnsi="Arial" w:cs="Arial"/>
                <w:noProof/>
                <w:color w:val="0000FF"/>
                <w:u w:val="single"/>
                <w:lang w:val="pl" w:eastAsia="pl-PL"/>
              </w:rPr>
              <w:t>XIII. Opis sposobu przygotowania ofert oraz dokumentów wymaganych przez Zamawiającego w SWZ</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12</w:t>
            </w:r>
            <w:r w:rsidR="003C6699" w:rsidRPr="003C6699">
              <w:rPr>
                <w:rFonts w:ascii="Arial" w:eastAsia="Arial" w:hAnsi="Arial" w:cs="Arial"/>
                <w:noProof/>
                <w:webHidden/>
                <w:lang w:val="pl" w:eastAsia="pl-PL"/>
              </w:rPr>
              <w:fldChar w:fldCharType="end"/>
            </w:r>
          </w:hyperlink>
        </w:p>
        <w:p w14:paraId="741B7965" w14:textId="1D87AC5C"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4" w:history="1">
            <w:r w:rsidR="003C6699" w:rsidRPr="003C6699">
              <w:rPr>
                <w:rFonts w:ascii="Arial" w:eastAsia="Arial" w:hAnsi="Arial" w:cs="Arial"/>
                <w:noProof/>
                <w:color w:val="0000FF"/>
                <w:u w:val="single"/>
                <w:lang w:val="pl" w:eastAsia="pl-PL"/>
              </w:rPr>
              <w:t>XIV. Sposób obliczania ceny oferty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15</w:t>
            </w:r>
            <w:r w:rsidR="003C6699" w:rsidRPr="003C6699">
              <w:rPr>
                <w:rFonts w:ascii="Arial" w:eastAsia="Arial" w:hAnsi="Arial" w:cs="Arial"/>
                <w:noProof/>
                <w:webHidden/>
                <w:lang w:val="pl" w:eastAsia="pl-PL"/>
              </w:rPr>
              <w:fldChar w:fldCharType="end"/>
            </w:r>
          </w:hyperlink>
        </w:p>
        <w:p w14:paraId="5D0D0F93" w14:textId="12DD3D05"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5" w:history="1">
            <w:r w:rsidR="003C6699" w:rsidRPr="003C6699">
              <w:rPr>
                <w:rFonts w:ascii="Arial" w:eastAsia="Arial" w:hAnsi="Arial" w:cs="Arial"/>
                <w:noProof/>
                <w:color w:val="0000FF"/>
                <w:u w:val="single"/>
                <w:lang w:val="pl" w:eastAsia="pl-PL"/>
              </w:rPr>
              <w:t>XV. Wymagania dotyczące wadium</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15</w:t>
            </w:r>
            <w:r w:rsidR="003C6699" w:rsidRPr="003C6699">
              <w:rPr>
                <w:rFonts w:ascii="Arial" w:eastAsia="Arial" w:hAnsi="Arial" w:cs="Arial"/>
                <w:noProof/>
                <w:webHidden/>
                <w:lang w:val="pl" w:eastAsia="pl-PL"/>
              </w:rPr>
              <w:fldChar w:fldCharType="end"/>
            </w:r>
          </w:hyperlink>
        </w:p>
        <w:p w14:paraId="591B6C38" w14:textId="164C409C"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6" w:history="1">
            <w:r w:rsidR="003C6699" w:rsidRPr="003C6699">
              <w:rPr>
                <w:rFonts w:ascii="Arial" w:eastAsia="Arial" w:hAnsi="Arial" w:cs="Arial"/>
                <w:noProof/>
                <w:color w:val="0000FF"/>
                <w:u w:val="single"/>
                <w:lang w:val="pl" w:eastAsia="pl-PL"/>
              </w:rPr>
              <w:t>XVI. Termin związania ofertą</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_Toc71890576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16</w:t>
            </w:r>
            <w:r w:rsidR="003C6699" w:rsidRPr="003C6699">
              <w:rPr>
                <w:rFonts w:ascii="Arial" w:eastAsia="Arial" w:hAnsi="Arial" w:cs="Arial"/>
                <w:noProof/>
                <w:webHidden/>
                <w:lang w:val="pl" w:eastAsia="pl-PL"/>
              </w:rPr>
              <w:fldChar w:fldCharType="end"/>
            </w:r>
          </w:hyperlink>
        </w:p>
        <w:p w14:paraId="0C1376D1" w14:textId="63601824"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7" w:history="1">
            <w:r w:rsidR="003C6699" w:rsidRPr="003C6699">
              <w:rPr>
                <w:rFonts w:ascii="Arial" w:eastAsia="Arial" w:hAnsi="Arial" w:cs="Arial"/>
                <w:noProof/>
                <w:color w:val="0000FF"/>
                <w:u w:val="single"/>
                <w:lang w:val="pl" w:eastAsia="pl-PL"/>
              </w:rPr>
              <w:t>XVII. Miejsce i termin składania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_Toc71890577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17</w:t>
            </w:r>
            <w:r w:rsidR="003C6699" w:rsidRPr="003C6699">
              <w:rPr>
                <w:rFonts w:ascii="Arial" w:eastAsia="Arial" w:hAnsi="Arial" w:cs="Arial"/>
                <w:noProof/>
                <w:webHidden/>
                <w:lang w:val="pl" w:eastAsia="pl-PL"/>
              </w:rPr>
              <w:fldChar w:fldCharType="end"/>
            </w:r>
          </w:hyperlink>
        </w:p>
        <w:p w14:paraId="61C1D490" w14:textId="0A0C3A8F"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8" w:history="1">
            <w:r w:rsidR="003C6699" w:rsidRPr="003C6699">
              <w:rPr>
                <w:rFonts w:ascii="Arial" w:eastAsia="Arial" w:hAnsi="Arial" w:cs="Arial"/>
                <w:noProof/>
                <w:color w:val="0000FF"/>
                <w:u w:val="single"/>
                <w:lang w:val="pl" w:eastAsia="pl-PL"/>
              </w:rPr>
              <w:t>XVIII. Otwarcie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_Toc71890578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17</w:t>
            </w:r>
            <w:r w:rsidR="003C6699" w:rsidRPr="003C6699">
              <w:rPr>
                <w:rFonts w:ascii="Arial" w:eastAsia="Arial" w:hAnsi="Arial" w:cs="Arial"/>
                <w:noProof/>
                <w:webHidden/>
                <w:lang w:val="pl" w:eastAsia="pl-PL"/>
              </w:rPr>
              <w:fldChar w:fldCharType="end"/>
            </w:r>
          </w:hyperlink>
        </w:p>
        <w:p w14:paraId="640491B2" w14:textId="380E2BAF"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79" w:history="1">
            <w:r w:rsidR="003C6699" w:rsidRPr="003C6699">
              <w:rPr>
                <w:rFonts w:ascii="Arial" w:eastAsia="Arial" w:hAnsi="Arial" w:cs="Arial"/>
                <w:noProof/>
                <w:color w:val="0000FF"/>
                <w:u w:val="single"/>
                <w:lang w:val="pl" w:eastAsia="pl-PL"/>
              </w:rPr>
              <w:t>XIX. Opis kryteriów oceny ofert wraz z podaniem wag tych kryteriów i sposobu oceny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_Toc71890579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18</w:t>
            </w:r>
            <w:r w:rsidR="003C6699" w:rsidRPr="003C6699">
              <w:rPr>
                <w:rFonts w:ascii="Arial" w:eastAsia="Arial" w:hAnsi="Arial" w:cs="Arial"/>
                <w:noProof/>
                <w:webHidden/>
                <w:lang w:val="pl" w:eastAsia="pl-PL"/>
              </w:rPr>
              <w:fldChar w:fldCharType="end"/>
            </w:r>
          </w:hyperlink>
        </w:p>
        <w:p w14:paraId="1E563D65" w14:textId="5213A8C9"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0" w:history="1">
            <w:r w:rsidR="003C6699" w:rsidRPr="003C6699">
              <w:rPr>
                <w:rFonts w:ascii="Arial" w:eastAsia="Arial" w:hAnsi="Arial" w:cs="Arial"/>
                <w:noProof/>
                <w:color w:val="0000FF"/>
                <w:u w:val="single"/>
                <w:lang w:val="pl" w:eastAsia="pl-PL"/>
              </w:rPr>
              <w:t>XX. Informacje o formalnościach, jakie powinny być dopełnione po wyborze oferty w celu zawarcia umowy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_Toc71890580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19</w:t>
            </w:r>
            <w:r w:rsidR="003C6699" w:rsidRPr="003C6699">
              <w:rPr>
                <w:rFonts w:ascii="Arial" w:eastAsia="Arial" w:hAnsi="Arial" w:cs="Arial"/>
                <w:noProof/>
                <w:webHidden/>
                <w:lang w:val="pl" w:eastAsia="pl-PL"/>
              </w:rPr>
              <w:fldChar w:fldCharType="end"/>
            </w:r>
          </w:hyperlink>
        </w:p>
        <w:p w14:paraId="6D7E1C76" w14:textId="25E5D70C"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1" w:history="1">
            <w:r w:rsidR="003C6699" w:rsidRPr="003C6699">
              <w:rPr>
                <w:rFonts w:ascii="Arial" w:eastAsia="Arial" w:hAnsi="Arial" w:cs="Arial"/>
                <w:noProof/>
                <w:color w:val="0000FF"/>
                <w:u w:val="single"/>
                <w:lang w:val="pl" w:eastAsia="pl-PL"/>
              </w:rPr>
              <w:t>XXI. Wymagania dotyczące zabezpieczenia należytego wykonania umowy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20</w:t>
            </w:r>
            <w:r w:rsidR="003C6699" w:rsidRPr="003C6699">
              <w:rPr>
                <w:rFonts w:ascii="Arial" w:eastAsia="Arial" w:hAnsi="Arial" w:cs="Arial"/>
                <w:noProof/>
                <w:webHidden/>
                <w:lang w:val="pl" w:eastAsia="pl-PL"/>
              </w:rPr>
              <w:fldChar w:fldCharType="end"/>
            </w:r>
          </w:hyperlink>
        </w:p>
        <w:p w14:paraId="1A16D3BB" w14:textId="71678ACE"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2" w:history="1">
            <w:r w:rsidR="003C6699" w:rsidRPr="003C6699">
              <w:rPr>
                <w:rFonts w:ascii="Arial" w:eastAsia="Arial" w:hAnsi="Arial" w:cs="Arial"/>
                <w:noProof/>
                <w:color w:val="0000FF"/>
                <w:u w:val="single"/>
                <w:lang w:val="pl" w:eastAsia="pl-PL"/>
              </w:rPr>
              <w:t>XXII. Informacje o treści zawieranej umowy oraz możliwości jej zmiany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21</w:t>
            </w:r>
            <w:r w:rsidR="003C6699" w:rsidRPr="003C6699">
              <w:rPr>
                <w:rFonts w:ascii="Arial" w:eastAsia="Arial" w:hAnsi="Arial" w:cs="Arial"/>
                <w:noProof/>
                <w:webHidden/>
                <w:lang w:val="pl" w:eastAsia="pl-PL"/>
              </w:rPr>
              <w:fldChar w:fldCharType="end"/>
            </w:r>
          </w:hyperlink>
        </w:p>
        <w:p w14:paraId="78C55FF5" w14:textId="6F4E227B"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3" w:history="1">
            <w:r w:rsidR="003C6699" w:rsidRPr="003C6699">
              <w:rPr>
                <w:rFonts w:ascii="Arial" w:eastAsia="Arial" w:hAnsi="Arial" w:cs="Arial"/>
                <w:noProof/>
                <w:color w:val="0000FF"/>
                <w:u w:val="single"/>
                <w:lang w:val="pl" w:eastAsia="pl-PL"/>
              </w:rPr>
              <w:t>XXIII. Pouczenie o środkach ochrony prawnej przysługujących Wykonawcy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_Toc71890583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21</w:t>
            </w:r>
            <w:r w:rsidR="003C6699" w:rsidRPr="003C6699">
              <w:rPr>
                <w:rFonts w:ascii="Arial" w:eastAsia="Arial" w:hAnsi="Arial" w:cs="Arial"/>
                <w:noProof/>
                <w:webHidden/>
                <w:lang w:val="pl" w:eastAsia="pl-PL"/>
              </w:rPr>
              <w:fldChar w:fldCharType="end"/>
            </w:r>
          </w:hyperlink>
        </w:p>
        <w:p w14:paraId="46FF2E98" w14:textId="0D474D7E"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4" w:history="1">
            <w:r w:rsidR="003C6699" w:rsidRPr="003C6699">
              <w:rPr>
                <w:rFonts w:ascii="Arial" w:eastAsia="Arial" w:hAnsi="Arial" w:cs="Arial"/>
                <w:noProof/>
                <w:color w:val="0000FF"/>
                <w:u w:val="single"/>
                <w:lang w:val="pl" w:eastAsia="pl-PL"/>
              </w:rPr>
              <w:t>XXIV. Ochrona danych osobowych</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22</w:t>
            </w:r>
            <w:r w:rsidR="003C6699" w:rsidRPr="003C6699">
              <w:rPr>
                <w:rFonts w:ascii="Arial" w:eastAsia="Arial" w:hAnsi="Arial" w:cs="Arial"/>
                <w:noProof/>
                <w:webHidden/>
                <w:lang w:val="pl" w:eastAsia="pl-PL"/>
              </w:rPr>
              <w:fldChar w:fldCharType="end"/>
            </w:r>
          </w:hyperlink>
        </w:p>
        <w:p w14:paraId="46AB48F9" w14:textId="2CBAF9CF" w:rsidR="003C6699" w:rsidRPr="003C6699" w:rsidRDefault="001A2588" w:rsidP="003C6699">
          <w:pPr>
            <w:tabs>
              <w:tab w:val="right" w:pos="9019"/>
            </w:tabs>
            <w:spacing w:after="100" w:line="276" w:lineRule="auto"/>
            <w:ind w:left="220"/>
            <w:rPr>
              <w:rFonts w:ascii="Cambria" w:eastAsia="Times New Roman" w:hAnsi="Cambria" w:cs="Times New Roman"/>
              <w:noProof/>
              <w:lang w:eastAsia="pl-PL"/>
            </w:rPr>
          </w:pPr>
          <w:hyperlink w:anchor="_Toc71890585" w:history="1">
            <w:r w:rsidR="003C6699" w:rsidRPr="003C6699">
              <w:rPr>
                <w:rFonts w:ascii="Arial" w:eastAsia="Arial" w:hAnsi="Arial" w:cs="Arial"/>
                <w:noProof/>
                <w:color w:val="0000FF"/>
                <w:u w:val="single"/>
                <w:lang w:val="pl" w:eastAsia="pl-PL"/>
              </w:rPr>
              <w:t>XXV. Spis załączników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24</w:t>
            </w:r>
            <w:r w:rsidR="003C6699" w:rsidRPr="003C6699">
              <w:rPr>
                <w:rFonts w:ascii="Arial" w:eastAsia="Arial" w:hAnsi="Arial" w:cs="Arial"/>
                <w:noProof/>
                <w:webHidden/>
                <w:lang w:val="pl" w:eastAsia="pl-PL"/>
              </w:rPr>
              <w:fldChar w:fldCharType="end"/>
            </w:r>
          </w:hyperlink>
        </w:p>
        <w:p w14:paraId="341B446F" w14:textId="77777777"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71890560"/>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1890561"/>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15FBBBE1"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(Dz. U. z 20</w:t>
      </w:r>
      <w:r w:rsidR="00EB3305">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1320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71890562"/>
      <w:r w:rsidRPr="003C6699">
        <w:rPr>
          <w:rFonts w:ascii="Arial" w:eastAsia="Arial" w:hAnsi="Arial" w:cs="Arial"/>
          <w:sz w:val="32"/>
          <w:szCs w:val="32"/>
          <w:lang w:val="pl" w:eastAsia="pl-PL"/>
        </w:rPr>
        <w:t>III. Opis przedmiotu zamówienia</w:t>
      </w:r>
      <w:bookmarkEnd w:id="5"/>
    </w:p>
    <w:p w14:paraId="2445A068" w14:textId="0AE1F9BA" w:rsid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jest </w:t>
      </w:r>
      <w:r>
        <w:rPr>
          <w:rFonts w:ascii="Arial" w:eastAsia="Arial" w:hAnsi="Arial" w:cs="Arial"/>
          <w:sz w:val="20"/>
          <w:szCs w:val="20"/>
          <w:lang w:val="pl" w:eastAsia="pl-PL"/>
        </w:rPr>
        <w:t xml:space="preserve"> </w:t>
      </w:r>
      <w:r w:rsidR="007308D7">
        <w:rPr>
          <w:rFonts w:ascii="Arial" w:eastAsia="Arial" w:hAnsi="Arial" w:cs="Arial"/>
          <w:sz w:val="20"/>
          <w:szCs w:val="20"/>
          <w:lang w:val="pl" w:eastAsia="pl-PL"/>
        </w:rPr>
        <w:t>b</w:t>
      </w:r>
      <w:r w:rsidR="007308D7" w:rsidRPr="007308D7">
        <w:rPr>
          <w:rFonts w:ascii="Arial" w:eastAsia="Arial" w:hAnsi="Arial" w:cs="Arial"/>
          <w:sz w:val="20"/>
          <w:szCs w:val="20"/>
          <w:lang w:val="pl" w:eastAsia="pl-PL"/>
        </w:rPr>
        <w:t xml:space="preserve">udowa garażu wraz z zagospodarowaniem terenu przy Remizie  OSP W  Tokarach </w:t>
      </w:r>
      <w:r>
        <w:rPr>
          <w:rFonts w:ascii="Arial" w:eastAsia="Arial" w:hAnsi="Arial" w:cs="Arial"/>
          <w:sz w:val="20"/>
          <w:szCs w:val="20"/>
          <w:lang w:val="pl"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3643779F" w:rsidR="00890B31" w:rsidRDefault="00890B31" w:rsidP="003C6699">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45216100-5   </w:t>
      </w:r>
      <w:r w:rsidR="00255523" w:rsidRPr="00255523">
        <w:rPr>
          <w:rFonts w:ascii="Arial" w:eastAsia="Arial" w:hAnsi="Arial" w:cs="Arial"/>
          <w:sz w:val="20"/>
          <w:szCs w:val="20"/>
          <w:lang w:val="pl" w:eastAsia="pl-PL"/>
        </w:rPr>
        <w:t>Roboty budowlane w zakresie budowy obiektów budowlanych dla służb porządku publicznego lub służb ratunkowych</w:t>
      </w:r>
    </w:p>
    <w:p w14:paraId="5550EEAB" w14:textId="03E5C5A2"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sidRPr="007F2DE4">
        <w:rPr>
          <w:rFonts w:ascii="Arial" w:eastAsia="Arial" w:hAnsi="Arial" w:cs="Arial"/>
          <w:sz w:val="20"/>
          <w:szCs w:val="20"/>
          <w:lang w:eastAsia="pl-PL"/>
        </w:rPr>
        <w:t>45100000-8</w:t>
      </w:r>
      <w:r>
        <w:rPr>
          <w:rFonts w:ascii="Arial" w:eastAsia="Arial" w:hAnsi="Arial" w:cs="Arial"/>
          <w:sz w:val="20"/>
          <w:szCs w:val="20"/>
          <w:lang w:eastAsia="pl-PL"/>
        </w:rPr>
        <w:t xml:space="preserve">    </w:t>
      </w:r>
      <w:r w:rsidRPr="007F2DE4">
        <w:rPr>
          <w:rFonts w:ascii="Arial" w:eastAsia="Arial" w:hAnsi="Arial" w:cs="Arial"/>
          <w:sz w:val="20"/>
          <w:szCs w:val="20"/>
          <w:lang w:eastAsia="pl-PL"/>
        </w:rPr>
        <w:t>Przygotowanie terenu pod budowę</w:t>
      </w:r>
    </w:p>
    <w:p w14:paraId="4B93DCC0" w14:textId="77777777"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sidRPr="007F2DE4">
        <w:rPr>
          <w:rFonts w:ascii="Arial" w:eastAsia="Arial" w:hAnsi="Arial" w:cs="Arial"/>
          <w:sz w:val="20"/>
          <w:szCs w:val="20"/>
          <w:lang w:eastAsia="pl-PL"/>
        </w:rPr>
        <w:t>45300000-0</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w budynkach</w:t>
      </w:r>
    </w:p>
    <w:p w14:paraId="20DB978B" w14:textId="04AC156F" w:rsidR="007F2DE4" w:rsidRDefault="007F2DE4" w:rsidP="003C6699">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236F3A1B" w:rsidR="003C6699" w:rsidRPr="003C6699" w:rsidRDefault="00D621C1" w:rsidP="003C6699">
      <w:pPr>
        <w:numPr>
          <w:ilvl w:val="0"/>
          <w:numId w:val="37"/>
        </w:numPr>
        <w:spacing w:after="0" w:line="276" w:lineRule="auto"/>
        <w:contextualSpacing/>
        <w:rPr>
          <w:rFonts w:ascii="Arial" w:eastAsia="Arial" w:hAnsi="Arial" w:cs="Arial"/>
          <w:sz w:val="20"/>
          <w:szCs w:val="20"/>
          <w:lang w:eastAsia="pl-PL"/>
        </w:rPr>
      </w:pPr>
      <w:r>
        <w:rPr>
          <w:rFonts w:ascii="Arial" w:eastAsia="Arial" w:hAnsi="Arial" w:cs="Arial"/>
          <w:sz w:val="20"/>
          <w:szCs w:val="20"/>
          <w:lang w:eastAsia="pl-PL"/>
        </w:rPr>
        <w:t>Dokumentacja projektowa wykonana przez „INDOM” Mieczysł</w:t>
      </w:r>
      <w:r w:rsidR="00C074ED">
        <w:rPr>
          <w:rFonts w:ascii="Arial" w:eastAsia="Arial" w:hAnsi="Arial" w:cs="Arial"/>
          <w:sz w:val="20"/>
          <w:szCs w:val="20"/>
          <w:lang w:eastAsia="pl-PL"/>
        </w:rPr>
        <w:t>a</w:t>
      </w:r>
      <w:r>
        <w:rPr>
          <w:rFonts w:ascii="Arial" w:eastAsia="Arial" w:hAnsi="Arial" w:cs="Arial"/>
          <w:sz w:val="20"/>
          <w:szCs w:val="20"/>
          <w:lang w:eastAsia="pl-PL"/>
        </w:rPr>
        <w:t xml:space="preserve">w Tkaczyk, ul. </w:t>
      </w:r>
      <w:r w:rsidR="001D1561">
        <w:rPr>
          <w:rFonts w:ascii="Arial" w:eastAsia="Arial" w:hAnsi="Arial" w:cs="Arial"/>
          <w:sz w:val="20"/>
          <w:szCs w:val="20"/>
          <w:lang w:eastAsia="pl-PL"/>
        </w:rPr>
        <w:t>O</w:t>
      </w:r>
      <w:r>
        <w:rPr>
          <w:rFonts w:ascii="Arial" w:eastAsia="Arial" w:hAnsi="Arial" w:cs="Arial"/>
          <w:sz w:val="20"/>
          <w:szCs w:val="20"/>
          <w:lang w:eastAsia="pl-PL"/>
        </w:rPr>
        <w:t>grodowa 5, 80 -297 Banino</w:t>
      </w:r>
    </w:p>
    <w:p w14:paraId="0FEEF568" w14:textId="718C49FB" w:rsidR="00D621C1" w:rsidRDefault="003C6699" w:rsidP="00D621C1">
      <w:pPr>
        <w:pStyle w:val="Akapitzlist"/>
        <w:numPr>
          <w:ilvl w:val="0"/>
          <w:numId w:val="37"/>
        </w:numPr>
        <w:rPr>
          <w:sz w:val="20"/>
          <w:szCs w:val="20"/>
          <w:lang w:val="pl-PL"/>
        </w:rPr>
      </w:pPr>
      <w:r w:rsidRPr="00D621C1">
        <w:rPr>
          <w:sz w:val="20"/>
          <w:szCs w:val="20"/>
        </w:rPr>
        <w:t>Przedmiar</w:t>
      </w:r>
      <w:r w:rsidR="00D621C1" w:rsidRPr="00D621C1">
        <w:rPr>
          <w:sz w:val="20"/>
          <w:szCs w:val="20"/>
        </w:rPr>
        <w:t>y</w:t>
      </w:r>
      <w:r w:rsidRPr="00D621C1">
        <w:rPr>
          <w:sz w:val="20"/>
          <w:szCs w:val="20"/>
        </w:rPr>
        <w:t xml:space="preserve"> robót </w:t>
      </w:r>
      <w:bookmarkStart w:id="6" w:name="_Hlk81552777"/>
      <w:r w:rsidRPr="00D621C1">
        <w:rPr>
          <w:sz w:val="20"/>
          <w:szCs w:val="20"/>
        </w:rPr>
        <w:t>opracowan</w:t>
      </w:r>
      <w:r w:rsidR="00D621C1">
        <w:rPr>
          <w:sz w:val="20"/>
          <w:szCs w:val="20"/>
        </w:rPr>
        <w:t>e</w:t>
      </w:r>
      <w:r w:rsidRPr="00D621C1">
        <w:rPr>
          <w:sz w:val="20"/>
          <w:szCs w:val="20"/>
        </w:rPr>
        <w:t xml:space="preserve"> przez </w:t>
      </w:r>
      <w:r w:rsidR="00D621C1">
        <w:rPr>
          <w:sz w:val="20"/>
          <w:szCs w:val="20"/>
        </w:rPr>
        <w:t>„</w:t>
      </w:r>
      <w:r w:rsidR="00D621C1" w:rsidRPr="00D621C1">
        <w:rPr>
          <w:sz w:val="20"/>
          <w:szCs w:val="20"/>
          <w:lang w:val="pl-PL"/>
        </w:rPr>
        <w:t>INDOM” Mieczysł</w:t>
      </w:r>
      <w:r w:rsidR="00C074ED">
        <w:rPr>
          <w:sz w:val="20"/>
          <w:szCs w:val="20"/>
          <w:lang w:val="pl-PL"/>
        </w:rPr>
        <w:t>a</w:t>
      </w:r>
      <w:r w:rsidR="00D621C1" w:rsidRPr="00D621C1">
        <w:rPr>
          <w:sz w:val="20"/>
          <w:szCs w:val="20"/>
          <w:lang w:val="pl-PL"/>
        </w:rPr>
        <w:t xml:space="preserve">w Tkaczyk, ul. </w:t>
      </w:r>
      <w:r w:rsidR="001D1561">
        <w:rPr>
          <w:sz w:val="20"/>
          <w:szCs w:val="20"/>
          <w:lang w:val="pl-PL"/>
        </w:rPr>
        <w:t>O</w:t>
      </w:r>
      <w:r w:rsidR="00D621C1" w:rsidRPr="00D621C1">
        <w:rPr>
          <w:sz w:val="20"/>
          <w:szCs w:val="20"/>
          <w:lang w:val="pl-PL"/>
        </w:rPr>
        <w:t>grodowa 5, 80 -297 Banino</w:t>
      </w:r>
    </w:p>
    <w:bookmarkEnd w:id="6"/>
    <w:p w14:paraId="30116953" w14:textId="2355941F" w:rsidR="001D1561" w:rsidRPr="001D1561" w:rsidRDefault="001D1561" w:rsidP="001D1561">
      <w:pPr>
        <w:pStyle w:val="Akapitzlist"/>
        <w:numPr>
          <w:ilvl w:val="0"/>
          <w:numId w:val="37"/>
        </w:numPr>
        <w:rPr>
          <w:sz w:val="20"/>
          <w:szCs w:val="20"/>
        </w:rPr>
      </w:pPr>
      <w:r>
        <w:rPr>
          <w:sz w:val="20"/>
          <w:szCs w:val="20"/>
          <w:lang w:val="pl-PL"/>
        </w:rPr>
        <w:t xml:space="preserve">Specyfikacja Techniczna Wykonania i Odbioru Robót Budowlanych </w:t>
      </w:r>
      <w:r w:rsidRPr="001D1561">
        <w:rPr>
          <w:sz w:val="20"/>
          <w:szCs w:val="20"/>
        </w:rPr>
        <w:t>opracowan</w:t>
      </w:r>
      <w:r>
        <w:rPr>
          <w:sz w:val="20"/>
          <w:szCs w:val="20"/>
        </w:rPr>
        <w:t>a</w:t>
      </w:r>
      <w:r w:rsidRPr="001D1561">
        <w:rPr>
          <w:sz w:val="20"/>
          <w:szCs w:val="20"/>
        </w:rPr>
        <w:t xml:space="preserve"> przez „INDOM” Mieczysław Tkaczyk, ul. Ogrodowa 5, 80 -297 Banino</w:t>
      </w:r>
    </w:p>
    <w:p w14:paraId="2DFF1C05" w14:textId="270267BA" w:rsidR="001D1561" w:rsidRPr="00D621C1" w:rsidRDefault="001D1561" w:rsidP="001D1561">
      <w:pPr>
        <w:pStyle w:val="Akapitzlist"/>
        <w:ind w:left="1182"/>
        <w:rPr>
          <w:sz w:val="20"/>
          <w:szCs w:val="20"/>
          <w:lang w:val="pl-PL"/>
        </w:rPr>
      </w:pP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1890563"/>
      <w:r w:rsidRPr="003C6699">
        <w:rPr>
          <w:rFonts w:ascii="Arial" w:eastAsia="Arial" w:hAnsi="Arial" w:cs="Arial"/>
          <w:sz w:val="32"/>
          <w:szCs w:val="32"/>
          <w:lang w:val="pl" w:eastAsia="pl-PL"/>
        </w:rPr>
        <w:t>IV. Wizja lokalna</w:t>
      </w:r>
      <w:bookmarkEnd w:id="7"/>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1890564"/>
      <w:r w:rsidRPr="003C6699">
        <w:rPr>
          <w:rFonts w:ascii="Arial" w:eastAsia="Arial" w:hAnsi="Arial" w:cs="Arial"/>
          <w:sz w:val="32"/>
          <w:szCs w:val="32"/>
          <w:lang w:val="pl" w:eastAsia="pl-PL"/>
        </w:rPr>
        <w:t>V. Podwykonawstwo</w:t>
      </w:r>
      <w:bookmarkEnd w:id="8"/>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71890565"/>
      <w:r w:rsidRPr="003C6699">
        <w:rPr>
          <w:rFonts w:ascii="Arial" w:eastAsia="Arial" w:hAnsi="Arial" w:cs="Arial"/>
          <w:sz w:val="32"/>
          <w:szCs w:val="32"/>
          <w:lang w:val="pl" w:eastAsia="pl-PL"/>
        </w:rPr>
        <w:t>VI. Termin wykonania zamówienia</w:t>
      </w:r>
      <w:bookmarkEnd w:id="9"/>
    </w:p>
    <w:p w14:paraId="05339D22" w14:textId="0F31B9F6" w:rsidR="003C6699" w:rsidRPr="003C6699" w:rsidRDefault="003C6699" w:rsidP="003C6699">
      <w:pPr>
        <w:numPr>
          <w:ilvl w:val="0"/>
          <w:numId w:val="15"/>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realizacji zamówienia wynosi </w:t>
      </w:r>
      <w:r w:rsidR="00C074ED">
        <w:rPr>
          <w:rFonts w:ascii="Arial" w:eastAsia="Arial" w:hAnsi="Arial" w:cs="Arial"/>
          <w:sz w:val="20"/>
          <w:szCs w:val="20"/>
          <w:lang w:val="pl" w:eastAsia="pl-PL"/>
        </w:rPr>
        <w:t>do</w:t>
      </w:r>
      <w:r w:rsidR="00D621C1">
        <w:rPr>
          <w:rFonts w:ascii="Arial" w:eastAsia="Arial" w:hAnsi="Arial" w:cs="Arial"/>
          <w:sz w:val="20"/>
          <w:szCs w:val="20"/>
          <w:lang w:val="pl" w:eastAsia="pl-PL"/>
        </w:rPr>
        <w:t xml:space="preserve"> </w:t>
      </w:r>
      <w:r w:rsidR="0038580C" w:rsidRPr="0038580C">
        <w:rPr>
          <w:rFonts w:ascii="Arial" w:eastAsia="Arial" w:hAnsi="Arial" w:cs="Arial"/>
          <w:sz w:val="20"/>
          <w:szCs w:val="20"/>
          <w:lang w:val="pl" w:eastAsia="pl-PL"/>
        </w:rPr>
        <w:t>60 dni</w:t>
      </w:r>
      <w:r w:rsidRPr="0038580C">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od dnia podpisania umowy.</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0" w:name="_Toc71890566"/>
      <w:r w:rsidRPr="003C6699">
        <w:rPr>
          <w:rFonts w:ascii="Arial" w:eastAsia="Arial" w:hAnsi="Arial" w:cs="Arial"/>
          <w:sz w:val="32"/>
          <w:szCs w:val="32"/>
          <w:lang w:val="pl" w:eastAsia="pl-PL"/>
        </w:rPr>
        <w:t>VII. Warunki udziału w postępowaniu</w:t>
      </w:r>
      <w:bookmarkEnd w:id="10"/>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spełni warunek, jeżeli wykaże, że:</w:t>
      </w:r>
    </w:p>
    <w:p w14:paraId="7B2C4366" w14:textId="00B66941" w:rsidR="003C6699" w:rsidRPr="003C6699" w:rsidRDefault="003C6699" w:rsidP="008F5726">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wykonał nie wcześniej niż w okresie ostatnich 5 lat przed upływem terminu składania ofert, a jeżeli okres prowadzenia działalności jest krótszy - w tym okresie, co najmniej jedną robotę polegającą na </w:t>
      </w:r>
      <w:r w:rsidR="00002975" w:rsidRPr="00002975">
        <w:rPr>
          <w:rFonts w:ascii="Arial" w:eastAsia="Arial" w:hAnsi="Arial" w:cs="Arial"/>
          <w:sz w:val="20"/>
          <w:szCs w:val="20"/>
          <w:lang w:val="pl" w:eastAsia="pl-PL"/>
        </w:rPr>
        <w:t>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w:t>
      </w:r>
      <w:r w:rsidR="00002975">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 rozbudow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 xml:space="preserve"> lub przebudowie</w:t>
      </w:r>
      <w:r w:rsidR="00002975" w:rsidRPr="00002975">
        <w:rPr>
          <w:rFonts w:ascii="Arial" w:eastAsia="Arial" w:hAnsi="Arial" w:cs="Arial"/>
          <w:sz w:val="20"/>
          <w:szCs w:val="20"/>
          <w:lang w:val="pl" w:eastAsia="pl-PL"/>
        </w:rPr>
        <w:t xml:space="preserve"> budynków o wartości </w:t>
      </w:r>
      <w:r w:rsidR="00002975">
        <w:rPr>
          <w:rFonts w:ascii="Arial" w:eastAsia="Arial" w:hAnsi="Arial" w:cs="Arial"/>
          <w:sz w:val="20"/>
          <w:szCs w:val="20"/>
          <w:lang w:val="pl" w:eastAsia="pl-PL"/>
        </w:rPr>
        <w:t>3</w:t>
      </w:r>
      <w:r w:rsidR="00002975" w:rsidRPr="00002975">
        <w:rPr>
          <w:rFonts w:ascii="Arial" w:eastAsia="Arial" w:hAnsi="Arial" w:cs="Arial"/>
          <w:sz w:val="20"/>
          <w:szCs w:val="20"/>
          <w:lang w:val="pl" w:eastAsia="pl-PL"/>
        </w:rPr>
        <w:t>00 000,00 PLN brutto,</w:t>
      </w:r>
    </w:p>
    <w:p w14:paraId="6C229AB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b) dysponuje lub będzie dysponował następującym osobami skierowanymi  do realizacji zamówienia publicznego, odpowiedzialnych za kierowanie robotami budowlanymi:</w:t>
      </w:r>
    </w:p>
    <w:p w14:paraId="06961F4C" w14:textId="2465BC09" w:rsid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w:t>
      </w:r>
      <w:bookmarkStart w:id="11" w:name="_Hlk81555303"/>
      <w:r w:rsidRPr="003C6699">
        <w:rPr>
          <w:rFonts w:ascii="Arial" w:eastAsia="Arial" w:hAnsi="Arial" w:cs="Arial"/>
          <w:sz w:val="20"/>
          <w:szCs w:val="20"/>
          <w:lang w:val="pl" w:eastAsia="pl-PL"/>
        </w:rPr>
        <w:t xml:space="preserve">osobą posiadającą uprawnienia budowlane do </w:t>
      </w:r>
      <w:r w:rsidR="008F5726" w:rsidRPr="008F5726">
        <w:rPr>
          <w:rFonts w:ascii="Arial" w:eastAsia="Arial" w:hAnsi="Arial" w:cs="Arial"/>
          <w:sz w:val="20"/>
          <w:szCs w:val="20"/>
          <w:lang w:val="pl" w:eastAsia="pl-PL"/>
        </w:rPr>
        <w:t>kierowania robotami budowlanymi w specjalności konstrukcyjno-budowlanych bez ograniczeń</w:t>
      </w:r>
      <w:r w:rsidR="008F5726">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z co najmniej 2  letnim doświadczeniem – min. jedna osoba</w:t>
      </w:r>
      <w:r w:rsidR="00002975">
        <w:rPr>
          <w:rFonts w:ascii="Arial" w:eastAsia="Arial" w:hAnsi="Arial" w:cs="Arial"/>
          <w:sz w:val="20"/>
          <w:szCs w:val="20"/>
          <w:lang w:val="pl" w:eastAsia="pl-PL"/>
        </w:rPr>
        <w:t>;</w:t>
      </w:r>
    </w:p>
    <w:p w14:paraId="143DEADF" w14:textId="798A3F9D" w:rsidR="00002975" w:rsidRDefault="00002975" w:rsidP="00002975">
      <w:pPr>
        <w:spacing w:after="0" w:line="360" w:lineRule="auto"/>
        <w:ind w:left="868" w:right="20"/>
        <w:jc w:val="both"/>
        <w:rPr>
          <w:rFonts w:ascii="Arial" w:eastAsia="Arial" w:hAnsi="Arial" w:cs="Arial"/>
          <w:sz w:val="20"/>
          <w:szCs w:val="20"/>
          <w:lang w:val="pl" w:eastAsia="pl-PL"/>
        </w:rPr>
      </w:pPr>
      <w:bookmarkStart w:id="12" w:name="_Hlk81555460"/>
      <w:bookmarkEnd w:id="11"/>
      <w:r>
        <w:rPr>
          <w:rFonts w:ascii="Arial" w:eastAsia="Arial" w:hAnsi="Arial" w:cs="Arial"/>
          <w:sz w:val="20"/>
          <w:szCs w:val="20"/>
          <w:lang w:val="pl" w:eastAsia="pl-PL"/>
        </w:rPr>
        <w:t xml:space="preserve">- </w:t>
      </w:r>
      <w:r w:rsidRPr="00002975">
        <w:rPr>
          <w:rFonts w:ascii="Arial" w:eastAsia="Arial" w:hAnsi="Arial" w:cs="Arial"/>
          <w:sz w:val="20"/>
          <w:szCs w:val="20"/>
          <w:lang w:val="pl" w:eastAsia="pl-PL"/>
        </w:rPr>
        <w:t xml:space="preserve">osobą posiadającą uprawnienia budowlane do kierowania robotami budowlanymi w </w:t>
      </w:r>
      <w:r w:rsidRPr="00002975">
        <w:rPr>
          <w:rFonts w:ascii="Arial" w:eastAsia="Arial" w:hAnsi="Arial" w:cs="Arial"/>
          <w:sz w:val="20"/>
          <w:szCs w:val="20"/>
          <w:lang w:eastAsia="pl-PL"/>
        </w:rPr>
        <w:t>specjalności instalacyjnej w zakresie sieci i urządzeń cieplnych, wentylacji, wodociągowych i kanalizacyjnych</w:t>
      </w:r>
      <w:r w:rsidRPr="00002975">
        <w:rPr>
          <w:rFonts w:ascii="Arial" w:eastAsia="Arial" w:hAnsi="Arial" w:cs="Arial"/>
          <w:sz w:val="20"/>
          <w:szCs w:val="20"/>
          <w:lang w:val="pl" w:eastAsia="pl-PL"/>
        </w:rPr>
        <w:t xml:space="preserve"> bez ograniczeń z co najmniej 2  letnim doświadczeniem – min. jedna osoba</w:t>
      </w:r>
      <w:r>
        <w:rPr>
          <w:rFonts w:ascii="Arial" w:eastAsia="Arial" w:hAnsi="Arial" w:cs="Arial"/>
          <w:sz w:val="20"/>
          <w:szCs w:val="20"/>
          <w:lang w:val="pl" w:eastAsia="pl-PL"/>
        </w:rPr>
        <w:t>;</w:t>
      </w:r>
    </w:p>
    <w:bookmarkEnd w:id="12"/>
    <w:p w14:paraId="534E46D9" w14:textId="29145B86" w:rsidR="00002975" w:rsidRPr="00002975" w:rsidRDefault="00002975" w:rsidP="00002975">
      <w:pPr>
        <w:spacing w:after="0" w:line="360" w:lineRule="auto"/>
        <w:ind w:left="868" w:right="20"/>
        <w:jc w:val="both"/>
        <w:rPr>
          <w:rFonts w:ascii="Arial" w:eastAsia="Arial" w:hAnsi="Arial" w:cs="Arial"/>
          <w:sz w:val="20"/>
          <w:szCs w:val="20"/>
          <w:lang w:val="pl" w:eastAsia="pl-PL"/>
        </w:rPr>
      </w:pPr>
      <w:r w:rsidRPr="00002975">
        <w:rPr>
          <w:rFonts w:ascii="Arial" w:eastAsia="Arial" w:hAnsi="Arial" w:cs="Arial"/>
          <w:sz w:val="20"/>
          <w:szCs w:val="20"/>
          <w:lang w:val="pl" w:eastAsia="pl-PL"/>
        </w:rPr>
        <w:t xml:space="preserve">- osobą posiadającą uprawnienia budowlane do kierowania robotami </w:t>
      </w:r>
      <w:r>
        <w:rPr>
          <w:rFonts w:ascii="Arial" w:eastAsia="Arial" w:hAnsi="Arial" w:cs="Arial"/>
          <w:sz w:val="20"/>
          <w:szCs w:val="20"/>
          <w:lang w:val="pl" w:eastAsia="pl-PL"/>
        </w:rPr>
        <w:t>elektrycznymi</w:t>
      </w:r>
      <w:r w:rsidRPr="00002975">
        <w:rPr>
          <w:rFonts w:ascii="Arial" w:eastAsia="Arial" w:hAnsi="Arial" w:cs="Arial"/>
          <w:sz w:val="20"/>
          <w:szCs w:val="20"/>
          <w:lang w:val="pl" w:eastAsia="pl-PL"/>
        </w:rPr>
        <w:t xml:space="preserve">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3" w:name="_Toc71890567"/>
      <w:r w:rsidRPr="003C6699">
        <w:rPr>
          <w:rFonts w:ascii="Arial" w:eastAsia="Arial" w:hAnsi="Arial" w:cs="Arial"/>
          <w:sz w:val="32"/>
          <w:szCs w:val="32"/>
          <w:lang w:val="pl" w:eastAsia="pl-PL"/>
        </w:rPr>
        <w:t>VIII. Podstawy wykluczenia z postępowania</w:t>
      </w:r>
      <w:bookmarkEnd w:id="13"/>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71890568"/>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4"/>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0DDCC087" w:rsidR="003C6699" w:rsidRPr="003C6699" w:rsidRDefault="003C6699" w:rsidP="00F4427B">
      <w:pPr>
        <w:numPr>
          <w:ilvl w:val="2"/>
          <w:numId w:val="21"/>
        </w:numPr>
        <w:spacing w:after="0" w:line="360" w:lineRule="auto"/>
        <w:ind w:left="426" w:hanging="151"/>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 xml:space="preserve">275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8D2C24C"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5"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5"/>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71890569"/>
      <w:r w:rsidRPr="003C6699">
        <w:rPr>
          <w:rFonts w:ascii="Arial" w:eastAsia="Arial" w:hAnsi="Arial" w:cs="Arial"/>
          <w:sz w:val="32"/>
          <w:szCs w:val="32"/>
          <w:lang w:val="pl" w:eastAsia="pl-PL"/>
        </w:rPr>
        <w:t>X. Poleganie na zasobach innych podmiotów</w:t>
      </w:r>
      <w:bookmarkEnd w:id="16"/>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71890570"/>
      <w:r w:rsidRPr="003C6699">
        <w:rPr>
          <w:rFonts w:ascii="Arial" w:eastAsia="Arial" w:hAnsi="Arial" w:cs="Arial"/>
          <w:sz w:val="32"/>
          <w:szCs w:val="32"/>
          <w:lang w:val="pl" w:eastAsia="pl-PL"/>
        </w:rPr>
        <w:t>XI. Informacja dla Wykonawców wspólnie ubiegających się o udzielenie zamówienia</w:t>
      </w:r>
      <w:bookmarkEnd w:id="17"/>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8" w:name="_Toc71890571"/>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18"/>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19"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19"/>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7">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9"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0"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5">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6">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7">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1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1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0">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71890572"/>
      <w:r w:rsidRPr="003C6699">
        <w:rPr>
          <w:rFonts w:ascii="Arial" w:eastAsia="Arial" w:hAnsi="Arial" w:cs="Arial"/>
          <w:sz w:val="32"/>
          <w:szCs w:val="32"/>
          <w:lang w:val="pl" w:eastAsia="pl-PL"/>
        </w:rPr>
        <w:t>XIII. Opis sposobu przygotowania ofert oraz dokumentów wymaganych przez Zamawiającego w SWZ</w:t>
      </w:r>
      <w:bookmarkEnd w:id="20"/>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1" w:name="_21eeoojwb3nb" w:colFirst="0" w:colLast="0"/>
      <w:bookmarkStart w:id="22" w:name="_Toc71637170"/>
      <w:bookmarkStart w:id="23" w:name="_Toc71890573"/>
      <w:bookmarkEnd w:id="21"/>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2"/>
      <w:bookmarkEnd w:id="23"/>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2">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3">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4">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1A2588" w:rsidP="003C6699">
      <w:pPr>
        <w:spacing w:after="0" w:line="319" w:lineRule="auto"/>
        <w:ind w:left="720"/>
        <w:jc w:val="both"/>
        <w:rPr>
          <w:rFonts w:ascii="Arial" w:eastAsia="Arial" w:hAnsi="Arial" w:cs="Arial"/>
          <w:sz w:val="20"/>
          <w:szCs w:val="20"/>
          <w:lang w:val="pl" w:eastAsia="pl-PL"/>
        </w:rPr>
      </w:pPr>
      <w:hyperlink r:id="rId26">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4" w:name="_Toc71890574"/>
      <w:r w:rsidRPr="003C6699">
        <w:rPr>
          <w:rFonts w:ascii="Arial" w:eastAsia="Arial" w:hAnsi="Arial" w:cs="Arial"/>
          <w:sz w:val="32"/>
          <w:szCs w:val="32"/>
          <w:lang w:val="pl" w:eastAsia="pl-PL"/>
        </w:rPr>
        <w:t>XIV. Sposób obliczania ceny oferty</w:t>
      </w:r>
      <w:bookmarkEnd w:id="24"/>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1890575"/>
      <w:r w:rsidRPr="003C6699">
        <w:rPr>
          <w:rFonts w:ascii="Arial" w:eastAsia="Arial" w:hAnsi="Arial" w:cs="Arial"/>
          <w:sz w:val="32"/>
          <w:szCs w:val="32"/>
          <w:lang w:val="pl" w:eastAsia="pl-PL"/>
        </w:rPr>
        <w:t>XV. Wymagania dotyczące wadium</w:t>
      </w:r>
      <w:bookmarkEnd w:id="25"/>
    </w:p>
    <w:p w14:paraId="5B47C8D7" w14:textId="546744D9"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C272C8">
        <w:rPr>
          <w:rFonts w:ascii="Arial" w:eastAsia="Arial" w:hAnsi="Arial" w:cs="Arial"/>
          <w:sz w:val="20"/>
          <w:szCs w:val="20"/>
          <w:lang w:val="pl" w:eastAsia="pl-PL"/>
        </w:rPr>
        <w:t xml:space="preserve">4 </w:t>
      </w:r>
      <w:r w:rsidR="003D7D8F">
        <w:rPr>
          <w:rFonts w:ascii="Arial" w:eastAsia="Arial" w:hAnsi="Arial" w:cs="Arial"/>
          <w:b/>
          <w:bCs/>
          <w:sz w:val="20"/>
          <w:szCs w:val="20"/>
          <w:lang w:val="pl" w:eastAsia="pl-PL"/>
        </w:rPr>
        <w:t>0</w:t>
      </w:r>
      <w:r w:rsidRPr="003C6699">
        <w:rPr>
          <w:rFonts w:ascii="Arial" w:eastAsia="Arial" w:hAnsi="Arial" w:cs="Arial"/>
          <w:b/>
          <w:bCs/>
          <w:sz w:val="20"/>
          <w:szCs w:val="20"/>
          <w:lang w:val="pl" w:eastAsia="pl-PL"/>
        </w:rPr>
        <w:t>00,00 zł</w:t>
      </w:r>
      <w:r w:rsidRPr="003C6699">
        <w:rPr>
          <w:rFonts w:ascii="Arial" w:eastAsia="Arial" w:hAnsi="Arial" w:cs="Arial"/>
          <w:sz w:val="20"/>
          <w:szCs w:val="20"/>
          <w:lang w:val="pl" w:eastAsia="pl-PL"/>
        </w:rPr>
        <w:t xml:space="preserve"> (słownie</w:t>
      </w:r>
      <w:r w:rsidR="003D7D8F">
        <w:rPr>
          <w:rFonts w:ascii="Arial" w:eastAsia="Arial" w:hAnsi="Arial" w:cs="Arial"/>
          <w:sz w:val="20"/>
          <w:szCs w:val="20"/>
          <w:lang w:val="pl" w:eastAsia="pl-PL"/>
        </w:rPr>
        <w:t xml:space="preserve">: </w:t>
      </w:r>
      <w:r w:rsidR="00C272C8">
        <w:rPr>
          <w:rFonts w:ascii="Arial" w:eastAsia="Arial" w:hAnsi="Arial" w:cs="Arial"/>
          <w:sz w:val="20"/>
          <w:szCs w:val="20"/>
          <w:lang w:val="pl" w:eastAsia="pl-PL"/>
        </w:rPr>
        <w:t>cztery tysiące</w:t>
      </w:r>
      <w:r w:rsidRPr="003C6699">
        <w:rPr>
          <w:rFonts w:ascii="Arial" w:eastAsia="Arial" w:hAnsi="Arial" w:cs="Arial"/>
          <w:sz w:val="20"/>
          <w:szCs w:val="20"/>
          <w:lang w:val="pl" w:eastAsia="pl-PL"/>
        </w:rPr>
        <w:t xml:space="preserve"> 00/100 złotych);</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0B9568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05071B9F"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D81B5D" w:rsidRPr="00D81B5D">
        <w:rPr>
          <w:rFonts w:ascii="Arial" w:eastAsia="Arial" w:hAnsi="Arial" w:cs="Arial"/>
          <w:i/>
          <w:sz w:val="20"/>
          <w:szCs w:val="20"/>
          <w:lang w:val="pl" w:eastAsia="pl-PL"/>
        </w:rPr>
        <w:t>Budowa garażu wraz z zagospodarowaniem terenu przy Remizie  OSP W  Tokarach</w:t>
      </w:r>
      <w:r w:rsidR="003D7D8F" w:rsidRPr="003D7D8F">
        <w:rPr>
          <w:rFonts w:ascii="Arial" w:eastAsia="Arial" w:hAnsi="Arial" w:cs="Arial"/>
          <w:i/>
          <w:sz w:val="20"/>
          <w:szCs w:val="20"/>
          <w:lang w:val="pl" w:eastAsia="pl-PL"/>
        </w:rPr>
        <w:t>”</w:t>
      </w:r>
      <w:r w:rsidRPr="003C6699">
        <w:rPr>
          <w:rFonts w:ascii="Arial" w:eastAsia="Arial" w:hAnsi="Arial" w:cs="Arial"/>
          <w:sz w:val="20"/>
          <w:szCs w:val="20"/>
          <w:lang w:val="pl" w:eastAsia="pl-PL"/>
        </w:rPr>
        <w:t>” znak sprawy ZP.271.</w:t>
      </w:r>
      <w:r w:rsidR="00D81B5D">
        <w:rPr>
          <w:rFonts w:ascii="Arial" w:eastAsia="Arial" w:hAnsi="Arial" w:cs="Arial"/>
          <w:sz w:val="20"/>
          <w:szCs w:val="20"/>
          <w:lang w:val="pl" w:eastAsia="pl-PL"/>
        </w:rPr>
        <w:t>1</w:t>
      </w:r>
      <w:r w:rsidR="00FE16CE">
        <w:rPr>
          <w:rFonts w:ascii="Arial" w:eastAsia="Arial" w:hAnsi="Arial" w:cs="Arial"/>
          <w:sz w:val="20"/>
          <w:szCs w:val="20"/>
          <w:lang w:val="pl" w:eastAsia="pl-PL"/>
        </w:rPr>
        <w:t>9</w:t>
      </w:r>
      <w:r w:rsidRPr="003C6699">
        <w:rPr>
          <w:rFonts w:ascii="Arial" w:eastAsia="Arial" w:hAnsi="Arial" w:cs="Arial"/>
          <w:sz w:val="20"/>
          <w:szCs w:val="20"/>
          <w:lang w:val="pl" w:eastAsia="pl-PL"/>
        </w:rPr>
        <w:t>.2021.</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71890576"/>
      <w:r w:rsidRPr="003C6699">
        <w:rPr>
          <w:rFonts w:ascii="Arial" w:eastAsia="Arial" w:hAnsi="Arial" w:cs="Arial"/>
          <w:sz w:val="32"/>
          <w:szCs w:val="32"/>
          <w:lang w:val="pl" w:eastAsia="pl-PL"/>
        </w:rPr>
        <w:t>XVI. Termin związania ofertą</w:t>
      </w:r>
      <w:bookmarkEnd w:id="26"/>
    </w:p>
    <w:p w14:paraId="580C9510" w14:textId="7F9B1C73"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FE16CE">
        <w:rPr>
          <w:rFonts w:ascii="Arial" w:eastAsia="Arial" w:hAnsi="Arial" w:cs="Arial"/>
          <w:sz w:val="20"/>
          <w:szCs w:val="20"/>
          <w:lang w:val="pl" w:eastAsia="pl-PL"/>
        </w:rPr>
        <w:t>10</w:t>
      </w:r>
      <w:r w:rsidRPr="003C6699">
        <w:rPr>
          <w:rFonts w:ascii="Arial" w:eastAsia="Arial" w:hAnsi="Arial" w:cs="Arial"/>
          <w:sz w:val="20"/>
          <w:szCs w:val="20"/>
          <w:lang w:val="pl" w:eastAsia="pl-PL"/>
        </w:rPr>
        <w:t xml:space="preserve"> </w:t>
      </w:r>
      <w:r w:rsidR="00FE16CE">
        <w:rPr>
          <w:rFonts w:ascii="Arial" w:eastAsia="Arial" w:hAnsi="Arial" w:cs="Arial"/>
          <w:sz w:val="20"/>
          <w:szCs w:val="20"/>
          <w:lang w:val="pl" w:eastAsia="pl-PL"/>
        </w:rPr>
        <w:t>listopada</w:t>
      </w:r>
      <w:r w:rsidRPr="003C6699">
        <w:rPr>
          <w:rFonts w:ascii="Arial" w:eastAsia="Arial" w:hAnsi="Arial" w:cs="Arial"/>
          <w:sz w:val="20"/>
          <w:szCs w:val="20"/>
          <w:lang w:val="pl" w:eastAsia="pl-PL"/>
        </w:rPr>
        <w:t xml:space="preserve"> 2021</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71890577"/>
      <w:r w:rsidRPr="003C6699">
        <w:rPr>
          <w:rFonts w:ascii="Arial" w:eastAsia="Arial" w:hAnsi="Arial" w:cs="Arial"/>
          <w:sz w:val="32"/>
          <w:szCs w:val="32"/>
          <w:lang w:val="pl" w:eastAsia="pl-PL"/>
        </w:rPr>
        <w:t>XVII. Miejsce i termin składania ofert</w:t>
      </w:r>
      <w:bookmarkEnd w:id="27"/>
    </w:p>
    <w:p w14:paraId="23E65E33" w14:textId="5532DDDE"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28"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FE16CE">
        <w:rPr>
          <w:rFonts w:ascii="Arial" w:eastAsia="Arial" w:hAnsi="Arial" w:cs="Arial"/>
          <w:sz w:val="20"/>
          <w:szCs w:val="20"/>
          <w:lang w:val="pl" w:eastAsia="pl-PL"/>
        </w:rPr>
        <w:t>11</w:t>
      </w:r>
      <w:r w:rsidR="00C272C8">
        <w:rPr>
          <w:rFonts w:ascii="Arial" w:eastAsia="Arial" w:hAnsi="Arial" w:cs="Arial"/>
          <w:sz w:val="20"/>
          <w:szCs w:val="20"/>
          <w:lang w:val="pl" w:eastAsia="pl-PL"/>
        </w:rPr>
        <w:t xml:space="preserve"> </w:t>
      </w:r>
      <w:r w:rsidR="001A2588">
        <w:rPr>
          <w:rFonts w:ascii="Arial" w:eastAsia="Arial" w:hAnsi="Arial" w:cs="Arial"/>
          <w:sz w:val="20"/>
          <w:szCs w:val="20"/>
          <w:lang w:val="pl" w:eastAsia="pl-PL"/>
        </w:rPr>
        <w:t>października</w:t>
      </w:r>
      <w:r w:rsidRPr="003C6699">
        <w:rPr>
          <w:rFonts w:ascii="Arial" w:eastAsia="Arial" w:hAnsi="Arial" w:cs="Arial"/>
          <w:sz w:val="20"/>
          <w:szCs w:val="20"/>
          <w:lang w:val="pl" w:eastAsia="pl-PL"/>
        </w:rPr>
        <w:t xml:space="preserve">  2021r.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1">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28" w:name="_Toc71890578"/>
      <w:r w:rsidRPr="003C6699">
        <w:rPr>
          <w:rFonts w:ascii="Arial" w:eastAsia="Arial" w:hAnsi="Arial" w:cs="Arial"/>
          <w:sz w:val="32"/>
          <w:szCs w:val="32"/>
          <w:lang w:val="pl" w:eastAsia="pl-PL"/>
        </w:rPr>
        <w:t>XVIII. Otwarcie ofert</w:t>
      </w:r>
      <w:bookmarkEnd w:id="28"/>
    </w:p>
    <w:p w14:paraId="49F1E786" w14:textId="57C5CFAA"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FE16CE">
        <w:rPr>
          <w:rFonts w:ascii="Arial" w:eastAsia="Arial" w:hAnsi="Arial" w:cs="Arial"/>
          <w:sz w:val="20"/>
          <w:szCs w:val="20"/>
          <w:lang w:val="pl" w:eastAsia="pl-PL"/>
        </w:rPr>
        <w:t>11</w:t>
      </w:r>
      <w:r w:rsidRPr="003C6699">
        <w:rPr>
          <w:rFonts w:ascii="Arial" w:eastAsia="Arial" w:hAnsi="Arial" w:cs="Arial"/>
          <w:sz w:val="20"/>
          <w:szCs w:val="20"/>
          <w:lang w:val="pl" w:eastAsia="pl-PL"/>
        </w:rPr>
        <w:t xml:space="preserve"> </w:t>
      </w:r>
      <w:r w:rsidR="00FE16CE">
        <w:rPr>
          <w:rFonts w:ascii="Arial" w:eastAsia="Arial" w:hAnsi="Arial" w:cs="Arial"/>
          <w:sz w:val="20"/>
          <w:szCs w:val="20"/>
          <w:lang w:val="pl" w:eastAsia="pl-PL"/>
        </w:rPr>
        <w:t>października</w:t>
      </w:r>
      <w:r w:rsidRPr="003C6699">
        <w:rPr>
          <w:rFonts w:ascii="Arial" w:eastAsia="Arial" w:hAnsi="Arial" w:cs="Arial"/>
          <w:sz w:val="20"/>
          <w:szCs w:val="20"/>
          <w:lang w:val="pl" w:eastAsia="pl-PL"/>
        </w:rPr>
        <w:t xml:space="preserve"> 2021r.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2">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29" w:name="_Toc71890579"/>
      <w:r w:rsidRPr="003C6699">
        <w:rPr>
          <w:rFonts w:ascii="Arial" w:eastAsia="Arial" w:hAnsi="Arial" w:cs="Arial"/>
          <w:sz w:val="32"/>
          <w:szCs w:val="32"/>
          <w:lang w:val="pl" w:eastAsia="pl-PL"/>
        </w:rPr>
        <w:t>XIX. Opis kryteriów oceny ofert wraz z podaniem wag tych kryteriów i sposobu oceny ofert</w:t>
      </w:r>
      <w:bookmarkEnd w:id="29"/>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0"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0"/>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1" w:name="_Toc71890580"/>
      <w:r w:rsidRPr="003C6699">
        <w:rPr>
          <w:rFonts w:ascii="Arial" w:eastAsia="Arial" w:hAnsi="Arial" w:cs="Arial"/>
          <w:sz w:val="32"/>
          <w:szCs w:val="32"/>
          <w:lang w:val="pl" w:eastAsia="pl-PL"/>
        </w:rPr>
        <w:t>XX. Informacje o formalnościach, jakie powinny być dopełnione po wyborze oferty w celu zawarcia umowy</w:t>
      </w:r>
      <w:bookmarkEnd w:id="31"/>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71890581"/>
      <w:r w:rsidRPr="003C6699">
        <w:rPr>
          <w:rFonts w:ascii="Arial" w:eastAsia="Arial" w:hAnsi="Arial" w:cs="Arial"/>
          <w:sz w:val="32"/>
          <w:szCs w:val="32"/>
          <w:lang w:val="pl" w:eastAsia="pl-PL"/>
        </w:rPr>
        <w:t>XXI. Wymagania dotyczące zabezpieczenia należytego wykonania umowy</w:t>
      </w:r>
      <w:bookmarkEnd w:id="32"/>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0E6D42C8"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D81B5D" w:rsidRPr="00D81B5D">
        <w:rPr>
          <w:rFonts w:ascii="Arial" w:eastAsia="Arial" w:hAnsi="Arial" w:cs="Arial"/>
          <w:sz w:val="20"/>
          <w:szCs w:val="20"/>
          <w:lang w:eastAsia="pl-PL"/>
        </w:rPr>
        <w:t>Budowa garażu wraz z zagospodarowaniem terenu przy Remizie  OSP W  Tokarach</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D81B5D">
        <w:rPr>
          <w:rFonts w:ascii="Arial" w:eastAsia="Arial" w:hAnsi="Arial" w:cs="Arial"/>
          <w:sz w:val="20"/>
          <w:szCs w:val="20"/>
          <w:lang w:eastAsia="pl-PL"/>
        </w:rPr>
        <w:t>1</w:t>
      </w:r>
      <w:r w:rsidR="00FE16CE">
        <w:rPr>
          <w:rFonts w:ascii="Arial" w:eastAsia="Arial" w:hAnsi="Arial" w:cs="Arial"/>
          <w:sz w:val="20"/>
          <w:szCs w:val="20"/>
          <w:lang w:eastAsia="pl-PL"/>
        </w:rPr>
        <w:t>9</w:t>
      </w:r>
      <w:r w:rsidR="003C6699" w:rsidRPr="003C6699">
        <w:rPr>
          <w:rFonts w:ascii="Arial" w:eastAsia="Arial" w:hAnsi="Arial" w:cs="Arial"/>
          <w:sz w:val="20"/>
          <w:szCs w:val="20"/>
          <w:lang w:eastAsia="pl-PL"/>
        </w:rPr>
        <w:t>.2021.</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71890582"/>
      <w:r w:rsidRPr="003C6699">
        <w:rPr>
          <w:rFonts w:ascii="Arial" w:eastAsia="Arial" w:hAnsi="Arial" w:cs="Arial"/>
          <w:sz w:val="32"/>
          <w:szCs w:val="32"/>
          <w:lang w:val="pl" w:eastAsia="pl-PL"/>
        </w:rPr>
        <w:t>XXII. Informacje o treści zawieranej umowy oraz możliwości jej zmiany</w:t>
      </w:r>
      <w:bookmarkEnd w:id="33"/>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71890583"/>
      <w:r w:rsidRPr="003C6699">
        <w:rPr>
          <w:rFonts w:ascii="Arial" w:eastAsia="Arial" w:hAnsi="Arial" w:cs="Arial"/>
          <w:sz w:val="32"/>
          <w:szCs w:val="32"/>
          <w:lang w:val="pl" w:eastAsia="pl-PL"/>
        </w:rPr>
        <w:t>XXIII. Pouczenie o środkach ochrony prawnej przysługujących Wykonawcy</w:t>
      </w:r>
      <w:bookmarkEnd w:id="34"/>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64379472"/>
      <w:bookmarkStart w:id="36" w:name="_Toc67402218"/>
      <w:bookmarkStart w:id="37" w:name="_Toc71890584"/>
      <w:bookmarkStart w:id="38" w:name="_Hlk64379021"/>
      <w:r w:rsidRPr="003C6699">
        <w:rPr>
          <w:rFonts w:ascii="Arial" w:eastAsia="Arial" w:hAnsi="Arial" w:cs="Arial"/>
          <w:sz w:val="32"/>
          <w:szCs w:val="32"/>
          <w:lang w:val="pl" w:eastAsia="pl-PL"/>
        </w:rPr>
        <w:t>XXIV. Ochrona danych osobowych</w:t>
      </w:r>
      <w:bookmarkEnd w:id="35"/>
      <w:bookmarkEnd w:id="36"/>
      <w:bookmarkEnd w:id="37"/>
    </w:p>
    <w:bookmarkEnd w:id="38"/>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7DB7FF9F"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(Dz. U. z 20</w:t>
      </w:r>
      <w:r w:rsidR="00D23E18">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 xml:space="preserve">1129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71890585"/>
      <w:r w:rsidRPr="003C6699">
        <w:rPr>
          <w:rFonts w:ascii="Arial" w:eastAsia="Arial" w:hAnsi="Arial" w:cs="Arial"/>
          <w:sz w:val="32"/>
          <w:szCs w:val="32"/>
          <w:lang w:val="pl" w:eastAsia="pl-PL"/>
        </w:rPr>
        <w:t>XXV. Spis załączników</w:t>
      </w:r>
      <w:bookmarkEnd w:id="39"/>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0" w:name="_Hlk67555526"/>
      <w:r w:rsidRPr="003C6699">
        <w:rPr>
          <w:rFonts w:ascii="Arial" w:eastAsia="Arial" w:hAnsi="Arial" w:cs="Arial"/>
          <w:lang w:val="pl" w:eastAsia="pl-PL"/>
        </w:rPr>
        <w:t>Załącznik nr 4 do SWZ</w:t>
      </w:r>
      <w:bookmarkEnd w:id="40"/>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1"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1"/>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961E6"/>
    <w:rsid w:val="001A2588"/>
    <w:rsid w:val="001D1561"/>
    <w:rsid w:val="00255523"/>
    <w:rsid w:val="002C7C32"/>
    <w:rsid w:val="0036363F"/>
    <w:rsid w:val="0038580C"/>
    <w:rsid w:val="003C6699"/>
    <w:rsid w:val="003D7D8F"/>
    <w:rsid w:val="005872DC"/>
    <w:rsid w:val="007308D7"/>
    <w:rsid w:val="00750551"/>
    <w:rsid w:val="007F2DE4"/>
    <w:rsid w:val="007F7478"/>
    <w:rsid w:val="00890B31"/>
    <w:rsid w:val="008F5726"/>
    <w:rsid w:val="00A66689"/>
    <w:rsid w:val="00AD3303"/>
    <w:rsid w:val="00B02C99"/>
    <w:rsid w:val="00C074ED"/>
    <w:rsid w:val="00C24EDD"/>
    <w:rsid w:val="00C252A7"/>
    <w:rsid w:val="00C272C8"/>
    <w:rsid w:val="00C92529"/>
    <w:rsid w:val="00CF5627"/>
    <w:rsid w:val="00D23E18"/>
    <w:rsid w:val="00D621C1"/>
    <w:rsid w:val="00D72100"/>
    <w:rsid w:val="00D81B5D"/>
    <w:rsid w:val="00DD1B59"/>
    <w:rsid w:val="00E063A5"/>
    <w:rsid w:val="00E36BAB"/>
    <w:rsid w:val="00EB3305"/>
    <w:rsid w:val="00F4427B"/>
    <w:rsid w:val="00F97532"/>
    <w:rsid w:val="00FE1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image" Target="media/image1.jpeg"/><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8985</Words>
  <Characters>53913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cp:revision>
  <cp:lastPrinted>2021-05-25T09:09:00Z</cp:lastPrinted>
  <dcterms:created xsi:type="dcterms:W3CDTF">2021-09-24T07:08:00Z</dcterms:created>
  <dcterms:modified xsi:type="dcterms:W3CDTF">2021-09-24T08:59:00Z</dcterms:modified>
</cp:coreProperties>
</file>