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7A2A" w14:textId="362D800D" w:rsidR="00110251" w:rsidRPr="006950CE" w:rsidRDefault="008671C5" w:rsidP="006950CE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Nr sprawy: ZP/</w:t>
      </w:r>
      <w:r w:rsidR="0033532C">
        <w:rPr>
          <w:rFonts w:ascii="Verdana" w:hAnsi="Verdana" w:cs="Tahoma"/>
          <w:b/>
          <w:sz w:val="18"/>
          <w:szCs w:val="18"/>
        </w:rPr>
        <w:t>100</w:t>
      </w:r>
      <w:r>
        <w:rPr>
          <w:rFonts w:ascii="Verdana" w:hAnsi="Verdana" w:cs="Tahoma"/>
          <w:b/>
          <w:sz w:val="18"/>
          <w:szCs w:val="18"/>
        </w:rPr>
        <w:t>/2020</w:t>
      </w:r>
      <w:r w:rsidR="0033532C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</w:t>
      </w:r>
      <w:r w:rsidR="00110251">
        <w:rPr>
          <w:rFonts w:ascii="Verdana" w:hAnsi="Verdana" w:cs="Tahoma"/>
          <w:b/>
          <w:sz w:val="18"/>
          <w:szCs w:val="18"/>
        </w:rPr>
        <w:t xml:space="preserve">Załącznik nr </w:t>
      </w:r>
      <w:r w:rsidR="0033532C">
        <w:rPr>
          <w:rFonts w:ascii="Verdana" w:hAnsi="Verdana" w:cs="Tahoma"/>
          <w:b/>
          <w:sz w:val="18"/>
          <w:szCs w:val="18"/>
        </w:rPr>
        <w:t>6 do SIWZ</w:t>
      </w:r>
    </w:p>
    <w:p w14:paraId="52A87719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3EDCBC2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4AE8480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661E1716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2B68991C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sz w:val="18"/>
          <w:szCs w:val="18"/>
        </w:rPr>
      </w:pPr>
    </w:p>
    <w:p w14:paraId="66C69326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B07F9AF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14:paraId="2C02A975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14:paraId="7D2BC325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2EA53E3" w14:textId="77777777"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42A0DF3E" w14:textId="77777777" w:rsidR="00110251" w:rsidRDefault="00110251" w:rsidP="00110251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30A114B5" w14:textId="77777777" w:rsidR="00110251" w:rsidRDefault="00110251" w:rsidP="00110251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6B521F1E" w14:textId="77777777" w:rsidR="00110251" w:rsidRDefault="00110251" w:rsidP="006950CE">
      <w:pPr>
        <w:tabs>
          <w:tab w:val="left" w:pos="708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4880A5ED" w14:textId="7D9AC129" w:rsidR="00110251" w:rsidRDefault="00110251" w:rsidP="00110251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pod nr sprawy </w:t>
      </w:r>
      <w:r w:rsidR="001C42A4">
        <w:rPr>
          <w:rFonts w:ascii="Verdana" w:hAnsi="Verdana" w:cs="Tahoma"/>
          <w:b/>
          <w:sz w:val="18"/>
          <w:szCs w:val="18"/>
        </w:rPr>
        <w:t>ZP/</w:t>
      </w:r>
      <w:r w:rsidR="002A482B">
        <w:rPr>
          <w:rFonts w:ascii="Verdana" w:hAnsi="Verdana" w:cs="Tahoma"/>
          <w:b/>
          <w:sz w:val="18"/>
          <w:szCs w:val="18"/>
        </w:rPr>
        <w:t>100</w:t>
      </w:r>
      <w:r w:rsidR="001C42A4"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 xml:space="preserve"> – „</w:t>
      </w:r>
      <w:r w:rsidR="002A482B" w:rsidRPr="002A482B">
        <w:rPr>
          <w:rFonts w:ascii="Verdana" w:hAnsi="Verdana" w:cs="Tahoma"/>
          <w:b/>
          <w:sz w:val="18"/>
          <w:szCs w:val="18"/>
        </w:rPr>
        <w:t>Sukcesywn</w:t>
      </w:r>
      <w:r w:rsidR="002A482B">
        <w:rPr>
          <w:rFonts w:ascii="Verdana" w:hAnsi="Verdana" w:cs="Tahoma"/>
          <w:b/>
          <w:sz w:val="18"/>
          <w:szCs w:val="18"/>
        </w:rPr>
        <w:t>a</w:t>
      </w:r>
      <w:r w:rsidR="002A482B" w:rsidRPr="002A482B">
        <w:rPr>
          <w:rFonts w:ascii="Verdana" w:hAnsi="Verdana" w:cs="Tahoma"/>
          <w:b/>
          <w:sz w:val="18"/>
          <w:szCs w:val="18"/>
        </w:rPr>
        <w:t xml:space="preserve"> dostaw</w:t>
      </w:r>
      <w:r w:rsidR="002A482B">
        <w:rPr>
          <w:rFonts w:ascii="Verdana" w:hAnsi="Verdana" w:cs="Tahoma"/>
          <w:b/>
          <w:sz w:val="18"/>
          <w:szCs w:val="18"/>
        </w:rPr>
        <w:t>a</w:t>
      </w:r>
      <w:r w:rsidR="002A482B" w:rsidRPr="002A482B">
        <w:rPr>
          <w:rFonts w:ascii="Verdana" w:hAnsi="Verdana" w:cs="Tahoma"/>
          <w:b/>
          <w:sz w:val="18"/>
          <w:szCs w:val="18"/>
        </w:rPr>
        <w:t xml:space="preserve"> odczynników laboratoryjnych i chemicznych niezbędnych do realizacji projektów: „Wyleczymy Neutropenię (FIXNET): wykorzystanie identyfikacji zaburzeń funkcji proteaz granulocytów obojętnochłonnych jako nowych możliwości diagnostycznych i terapeutycznych” oraz „Platforma do szybkiego, bezznacznikowego obrazowania, identyfikacji i sortowania podtypów komórek białaczkowych (RAPID).</w:t>
      </w:r>
      <w:r>
        <w:rPr>
          <w:rFonts w:ascii="Verdana" w:hAnsi="Verdana" w:cs="Tahoma"/>
          <w:b/>
          <w:sz w:val="18"/>
          <w:szCs w:val="18"/>
        </w:rPr>
        <w:t>”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t>niniejszym oświadczam, że:</w:t>
      </w:r>
    </w:p>
    <w:p w14:paraId="0A6A61D2" w14:textId="77777777" w:rsidR="00110251" w:rsidRDefault="00110251" w:rsidP="00110251">
      <w:pPr>
        <w:tabs>
          <w:tab w:val="left" w:pos="708"/>
        </w:tabs>
        <w:spacing w:line="360" w:lineRule="auto"/>
        <w:ind w:left="0" w:firstLine="390"/>
        <w:jc w:val="both"/>
        <w:rPr>
          <w:rFonts w:ascii="Verdana" w:hAnsi="Verdana" w:cs="Tahoma"/>
          <w:sz w:val="18"/>
          <w:szCs w:val="18"/>
        </w:rPr>
      </w:pPr>
    </w:p>
    <w:p w14:paraId="2E377E45" w14:textId="77777777" w:rsidR="00110251" w:rsidRDefault="00110251" w:rsidP="00110251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</w:t>
      </w:r>
      <w:r w:rsidR="001F203F">
        <w:rPr>
          <w:rFonts w:ascii="Verdana" w:hAnsi="Verdana" w:cs="Tahoma"/>
          <w:sz w:val="18"/>
          <w:szCs w:val="18"/>
        </w:rPr>
        <w:t xml:space="preserve"> - </w:t>
      </w:r>
      <w:r>
        <w:rPr>
          <w:rFonts w:ascii="Verdana" w:hAnsi="Verdana" w:cs="Tahoma"/>
          <w:sz w:val="18"/>
          <w:szCs w:val="18"/>
        </w:rPr>
        <w:t>w przypadku wydania takiego wyroku lub decyzji</w:t>
      </w:r>
      <w:r w:rsidR="001F203F">
        <w:rPr>
          <w:rFonts w:ascii="Verdana" w:hAnsi="Verdana" w:cs="Tahoma"/>
          <w:sz w:val="18"/>
          <w:szCs w:val="18"/>
        </w:rPr>
        <w:t xml:space="preserve"> -</w:t>
      </w:r>
      <w:r>
        <w:rPr>
          <w:rFonts w:ascii="Verdana" w:hAnsi="Verdana" w:cs="Tahoma"/>
          <w:sz w:val="18"/>
          <w:szCs w:val="18"/>
        </w:rPr>
        <w:t xml:space="preserve"> dokumentów potwierdzających dokonanie płatności tych należności wraz z ewentualnymi odsetkami lub grzywnami lub zawarcie wiążącego porozumienia w sprawie spłat tych należności;</w:t>
      </w:r>
    </w:p>
    <w:p w14:paraId="21F3F3C3" w14:textId="77777777" w:rsidR="00110251" w:rsidRDefault="00110251" w:rsidP="00110251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26DB3963" w14:textId="77777777" w:rsidR="00110251" w:rsidRDefault="00110251" w:rsidP="00110251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publiczne.</w:t>
      </w:r>
    </w:p>
    <w:p w14:paraId="41AB1181" w14:textId="77777777" w:rsidR="006950CE" w:rsidRDefault="006950CE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F6C4804" w14:textId="0A964393" w:rsidR="00110251" w:rsidRDefault="0011025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14:paraId="68137D9E" w14:textId="77777777" w:rsidR="00110251" w:rsidRDefault="0011025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37584E7D" w14:textId="77777777" w:rsidR="005342BD" w:rsidRDefault="00110251" w:rsidP="00636F6C">
      <w:pPr>
        <w:ind w:hanging="3078"/>
      </w:pPr>
      <w:r>
        <w:rPr>
          <w:rFonts w:ascii="Verdana" w:hAnsi="Verdana" w:cs="Arial"/>
          <w:b/>
          <w:u w:val="single"/>
        </w:rPr>
        <w:t>Kwalifikowany podpis elektroniczny Wykonawcy</w:t>
      </w:r>
    </w:p>
    <w:sectPr w:rsidR="005342BD" w:rsidSect="0033532C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35F09" w14:textId="77777777" w:rsidR="00B31CF0" w:rsidRDefault="00B31CF0" w:rsidP="00636F6C">
      <w:r>
        <w:separator/>
      </w:r>
    </w:p>
  </w:endnote>
  <w:endnote w:type="continuationSeparator" w:id="0">
    <w:p w14:paraId="52B6C5A6" w14:textId="77777777" w:rsidR="00B31CF0" w:rsidRDefault="00B31CF0" w:rsidP="0063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7E567" w14:textId="77777777" w:rsidR="00B31CF0" w:rsidRDefault="00B31CF0" w:rsidP="00636F6C">
      <w:r>
        <w:separator/>
      </w:r>
    </w:p>
  </w:footnote>
  <w:footnote w:type="continuationSeparator" w:id="0">
    <w:p w14:paraId="4FC63EA7" w14:textId="77777777" w:rsidR="00B31CF0" w:rsidRDefault="00B31CF0" w:rsidP="0063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4C3C" w14:textId="77777777" w:rsidR="0033532C" w:rsidRDefault="0033532C" w:rsidP="0033532C">
    <w:pPr>
      <w:pStyle w:val="Nagwek"/>
      <w:tabs>
        <w:tab w:val="clear" w:pos="4536"/>
        <w:tab w:val="center" w:pos="5954"/>
        <w:tab w:val="left" w:pos="7920"/>
      </w:tabs>
      <w:ind w:left="0"/>
      <w:rPr>
        <w:noProof/>
      </w:rPr>
    </w:pPr>
    <w:r w:rsidRPr="00BF1BFA">
      <w:rPr>
        <w:noProof/>
      </w:rPr>
      <w:drawing>
        <wp:inline distT="0" distB="0" distL="0" distR="0" wp14:anchorId="0BBB91C1" wp14:editId="35D34745">
          <wp:extent cx="5910580" cy="59626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05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06E8A" w14:textId="77777777" w:rsidR="0033532C" w:rsidRDefault="0033532C" w:rsidP="0033532C">
    <w:pPr>
      <w:pStyle w:val="Nagwek"/>
      <w:tabs>
        <w:tab w:val="clear" w:pos="4536"/>
        <w:tab w:val="clear" w:pos="9072"/>
        <w:tab w:val="center" w:pos="5954"/>
        <w:tab w:val="left" w:pos="8222"/>
        <w:tab w:val="right" w:pos="9498"/>
      </w:tabs>
      <w:ind w:left="284"/>
    </w:pPr>
    <w:r w:rsidRPr="00BF1BFA">
      <w:rPr>
        <w:noProof/>
      </w:rPr>
      <w:drawing>
        <wp:inline distT="0" distB="0" distL="0" distR="0" wp14:anchorId="0561F7B7" wp14:editId="1A68CC33">
          <wp:extent cx="1106805" cy="476885"/>
          <wp:effectExtent l="0" t="0" r="0" b="0"/>
          <wp:docPr id="22" name="Obraz 22" descr="Fix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x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16E7427" wp14:editId="456ADBC7">
          <wp:simplePos x="0" y="0"/>
          <wp:positionH relativeFrom="margin">
            <wp:posOffset>4386580</wp:posOffset>
          </wp:positionH>
          <wp:positionV relativeFrom="paragraph">
            <wp:posOffset>58420</wp:posOffset>
          </wp:positionV>
          <wp:extent cx="1200150" cy="352425"/>
          <wp:effectExtent l="0" t="0" r="0" b="0"/>
          <wp:wrapTight wrapText="bothSides">
            <wp:wrapPolygon edited="0">
              <wp:start x="0" y="0"/>
              <wp:lineTo x="0" y="21016"/>
              <wp:lineTo x="21257" y="21016"/>
              <wp:lineTo x="21257" y="0"/>
              <wp:lineTo x="0" y="0"/>
            </wp:wrapPolygon>
          </wp:wrapTight>
          <wp:docPr id="23" name="Obraz 23" descr="C:\Users\WojciechF\Documents\Medycyna\Urzędowe\Papiery firmowe, loga, szablony\loga\umed\Medical University of Lod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WojciechF\Documents\Medycyna\Urzędowe\Papiery firmowe, loga, szablony\loga\umed\Medical University of Lod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D8EAE" w14:textId="77777777" w:rsidR="0033532C" w:rsidRDefault="0033532C" w:rsidP="0033532C">
    <w:pPr>
      <w:pStyle w:val="Nagwek"/>
      <w:tabs>
        <w:tab w:val="clear" w:pos="4536"/>
        <w:tab w:val="center" w:pos="5954"/>
        <w:tab w:val="left" w:pos="7920"/>
      </w:tabs>
      <w:ind w:left="0" w:right="425" w:firstLine="0"/>
      <w:jc w:val="both"/>
      <w:rPr>
        <w:rFonts w:ascii="Calibri" w:hAnsi="Calibri"/>
        <w:sz w:val="14"/>
        <w:szCs w:val="14"/>
      </w:rPr>
    </w:pPr>
    <w:r w:rsidRPr="008E1F79">
      <w:rPr>
        <w:rFonts w:ascii="Calibri" w:hAnsi="Calibri"/>
        <w:b/>
        <w:sz w:val="14"/>
        <w:szCs w:val="14"/>
      </w:rPr>
      <w:t xml:space="preserve">Projekt </w:t>
    </w:r>
    <w:r w:rsidRPr="008E1F79">
      <w:rPr>
        <w:rFonts w:ascii="Calibri" w:hAnsi="Calibri"/>
        <w:b/>
        <w:i/>
        <w:sz w:val="14"/>
        <w:szCs w:val="14"/>
      </w:rPr>
      <w:t xml:space="preserve">„Wyleczymy Neutropenię (FIXNET): wykorzystanie identyfikacji zaburzeń funkcji proteaz granulocytów obojętnochłonnych jako nowych możliwości diagnostycznych i terapeutycznych” </w:t>
    </w:r>
    <w:r w:rsidRPr="008E1F79">
      <w:rPr>
        <w:rFonts w:ascii="Calibri" w:hAnsi="Calibri"/>
        <w:b/>
        <w:sz w:val="14"/>
        <w:szCs w:val="14"/>
      </w:rPr>
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</w:r>
    <w:r>
      <w:rPr>
        <w:rFonts w:ascii="Calibri" w:hAnsi="Calibri"/>
        <w:sz w:val="14"/>
        <w:szCs w:val="14"/>
      </w:rPr>
      <w:t>.</w:t>
    </w:r>
  </w:p>
  <w:p w14:paraId="5A078E70" w14:textId="77777777" w:rsidR="0033532C" w:rsidRDefault="0033532C" w:rsidP="0033532C">
    <w:pPr>
      <w:pStyle w:val="Nagwek"/>
      <w:tabs>
        <w:tab w:val="clear" w:pos="4536"/>
        <w:tab w:val="center" w:pos="5954"/>
        <w:tab w:val="left" w:pos="7920"/>
      </w:tabs>
      <w:ind w:left="284" w:right="425"/>
      <w:rPr>
        <w:rFonts w:ascii="Calibri" w:hAnsi="Calibri"/>
        <w:sz w:val="14"/>
        <w:szCs w:val="14"/>
      </w:rPr>
    </w:pPr>
  </w:p>
  <w:p w14:paraId="6EF047BC" w14:textId="77777777" w:rsidR="0033532C" w:rsidRDefault="0033532C" w:rsidP="0033532C">
    <w:pPr>
      <w:pStyle w:val="Nagwek"/>
      <w:ind w:left="0"/>
    </w:pPr>
    <w:r w:rsidRPr="00A233EB">
      <w:rPr>
        <w:noProof/>
      </w:rPr>
      <w:drawing>
        <wp:inline distT="0" distB="0" distL="0" distR="0" wp14:anchorId="2F7E3271" wp14:editId="1761E807">
          <wp:extent cx="5910580" cy="59626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05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CEA77" w14:textId="77777777" w:rsidR="0033532C" w:rsidRPr="00160E1B" w:rsidRDefault="0033532C" w:rsidP="0033532C">
    <w:pPr>
      <w:pStyle w:val="Nagwek"/>
      <w:ind w:left="0" w:right="425" w:firstLine="0"/>
      <w:jc w:val="both"/>
      <w:rPr>
        <w:rFonts w:ascii="Calibri" w:hAnsi="Calibri" w:cs="Calibri"/>
        <w:b/>
        <w:i/>
        <w:sz w:val="14"/>
        <w:szCs w:val="14"/>
      </w:rPr>
    </w:pPr>
    <w:r w:rsidRPr="00160E1B">
      <w:rPr>
        <w:rFonts w:ascii="Calibri" w:hAnsi="Calibri" w:cs="Calibri"/>
        <w:b/>
        <w:sz w:val="14"/>
        <w:szCs w:val="14"/>
      </w:rPr>
      <w:t>Projekt „</w:t>
    </w:r>
    <w:r w:rsidRPr="00160E1B">
      <w:rPr>
        <w:rFonts w:ascii="Calibri" w:hAnsi="Calibri" w:cs="Calibri"/>
        <w:b/>
        <w:i/>
        <w:sz w:val="14"/>
        <w:szCs w:val="14"/>
      </w:rPr>
      <w:t xml:space="preserve">Platforma do szybkiego, bezznacznikowego obrazowania, identyfikacji i sortowania podtypów komórek białaczkowych (RAPID)” </w:t>
    </w:r>
    <w:r w:rsidRPr="00160E1B">
      <w:rPr>
        <w:rFonts w:ascii="Calibri" w:hAnsi="Calibri" w:cs="Calibri"/>
        <w:b/>
        <w:sz w:val="14"/>
        <w:szCs w:val="14"/>
      </w:rPr>
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</w:r>
  </w:p>
  <w:p w14:paraId="709BF659" w14:textId="7AE0832C" w:rsidR="00636F6C" w:rsidRDefault="00636F6C" w:rsidP="0033532C">
    <w:pPr>
      <w:pStyle w:val="Nagwek"/>
      <w:ind w:left="0" w:right="6378" w:firstLine="0"/>
    </w:pPr>
  </w:p>
  <w:p w14:paraId="2A46A600" w14:textId="77777777" w:rsidR="00636F6C" w:rsidRDefault="00636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251"/>
    <w:rsid w:val="0007345F"/>
    <w:rsid w:val="00110251"/>
    <w:rsid w:val="001C42A4"/>
    <w:rsid w:val="001F203F"/>
    <w:rsid w:val="002A482B"/>
    <w:rsid w:val="0033532C"/>
    <w:rsid w:val="00404DC5"/>
    <w:rsid w:val="00496C58"/>
    <w:rsid w:val="005342BD"/>
    <w:rsid w:val="00636F6C"/>
    <w:rsid w:val="00687487"/>
    <w:rsid w:val="006950CE"/>
    <w:rsid w:val="007034AA"/>
    <w:rsid w:val="008671C5"/>
    <w:rsid w:val="008D2D8B"/>
    <w:rsid w:val="008F5C60"/>
    <w:rsid w:val="009F6279"/>
    <w:rsid w:val="00B31CF0"/>
    <w:rsid w:val="00C4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39E91"/>
  <w15:docId w15:val="{B765D944-9BAF-4D85-9D79-175AC6A9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51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F6C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F6C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1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12</cp:revision>
  <dcterms:created xsi:type="dcterms:W3CDTF">2019-07-26T07:58:00Z</dcterms:created>
  <dcterms:modified xsi:type="dcterms:W3CDTF">2020-10-12T11:03:00Z</dcterms:modified>
</cp:coreProperties>
</file>