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2646E" w14:textId="409BEF06" w:rsidR="00655912" w:rsidRPr="00507E90" w:rsidRDefault="00F52719" w:rsidP="00E47367">
      <w:pPr>
        <w:spacing w:after="0"/>
        <w:jc w:val="right"/>
      </w:pPr>
      <w:r w:rsidRPr="00507E90">
        <w:rPr>
          <w:rFonts w:ascii="Arial" w:eastAsia="Arial" w:hAnsi="Arial" w:cs="Arial"/>
          <w:b/>
        </w:rPr>
        <w:t>Załącznik do opisu</w:t>
      </w:r>
      <w:r w:rsidR="003C46DE" w:rsidRPr="00507E90">
        <w:rPr>
          <w:rFonts w:ascii="Arial" w:eastAsia="Arial" w:hAnsi="Arial" w:cs="Arial"/>
          <w:b/>
        </w:rPr>
        <w:t xml:space="preserve"> przedmiotu</w:t>
      </w:r>
      <w:r w:rsidRPr="00507E90">
        <w:rPr>
          <w:rFonts w:ascii="Arial" w:eastAsia="Arial" w:hAnsi="Arial" w:cs="Arial"/>
          <w:b/>
        </w:rPr>
        <w:t xml:space="preserve"> zamówienia nr 6.1 </w:t>
      </w:r>
    </w:p>
    <w:p w14:paraId="1213C48D" w14:textId="77777777" w:rsidR="00655912" w:rsidRPr="00507E90" w:rsidRDefault="00F52719">
      <w:pPr>
        <w:spacing w:after="33"/>
      </w:pPr>
      <w:r w:rsidRPr="00507E90">
        <w:rPr>
          <w:rFonts w:ascii="Arial" w:eastAsia="Arial" w:hAnsi="Arial" w:cs="Arial"/>
          <w:b/>
          <w:sz w:val="20"/>
        </w:rPr>
        <w:t xml:space="preserve"> </w:t>
      </w:r>
    </w:p>
    <w:p w14:paraId="1B6820FA" w14:textId="77777777" w:rsidR="00655912" w:rsidRPr="00507E90" w:rsidRDefault="00F52719">
      <w:pPr>
        <w:spacing w:after="2"/>
      </w:pPr>
      <w:r w:rsidRPr="00507E90">
        <w:rPr>
          <w:rFonts w:ascii="Arial" w:eastAsia="Arial" w:hAnsi="Arial" w:cs="Arial"/>
          <w:b/>
        </w:rPr>
        <w:t xml:space="preserve">System gaszenia gazem                                                                           </w:t>
      </w:r>
    </w:p>
    <w:p w14:paraId="04C5E2CD" w14:textId="77777777" w:rsidR="00655912" w:rsidRPr="00507E90" w:rsidRDefault="00F52719">
      <w:pPr>
        <w:spacing w:after="19"/>
      </w:pPr>
      <w:r w:rsidRPr="00507E90">
        <w:rPr>
          <w:rFonts w:ascii="Arial" w:eastAsia="Arial" w:hAnsi="Arial" w:cs="Arial"/>
          <w:b/>
          <w:sz w:val="20"/>
        </w:rPr>
        <w:t xml:space="preserve"> </w:t>
      </w:r>
    </w:p>
    <w:p w14:paraId="369A8CFE" w14:textId="77777777" w:rsidR="00655912" w:rsidRPr="00507E90" w:rsidRDefault="00F52719">
      <w:pPr>
        <w:spacing w:after="13" w:line="269" w:lineRule="auto"/>
        <w:ind w:left="-5" w:hanging="10"/>
      </w:pPr>
      <w:r w:rsidRPr="00507E90">
        <w:rPr>
          <w:rFonts w:ascii="Arial" w:eastAsia="Arial" w:hAnsi="Arial" w:cs="Arial"/>
          <w:b/>
          <w:sz w:val="20"/>
        </w:rPr>
        <w:t xml:space="preserve">Dokładną specyfikacją instalacji gaszenia gazem z wyszczególnieniem rodzaju i typu zamontowanych materiałów, schematami instalacji gaszenia gazem i planami instalacji stanowi dokumentacja powykonawcza instalacji gaszenia gazem. </w:t>
      </w:r>
    </w:p>
    <w:p w14:paraId="621FC0CA" w14:textId="77777777" w:rsidR="00655912" w:rsidRPr="00507E90" w:rsidRDefault="00F52719" w:rsidP="005F5801">
      <w:pPr>
        <w:spacing w:after="13" w:line="269" w:lineRule="auto"/>
        <w:ind w:left="-5" w:hanging="10"/>
      </w:pPr>
      <w:r w:rsidRPr="00507E90">
        <w:rPr>
          <w:rFonts w:ascii="Arial" w:eastAsia="Arial" w:hAnsi="Arial" w:cs="Arial"/>
          <w:b/>
          <w:sz w:val="20"/>
        </w:rPr>
        <w:t xml:space="preserve">Niniejsza specyfikacja stanowi jedynie dokument poglądowy do oceny skali i rodzaju instalacji gaszenia gazem w budynku.  </w:t>
      </w:r>
    </w:p>
    <w:p w14:paraId="77340163" w14:textId="77777777" w:rsidR="005F5801" w:rsidRPr="00507E90" w:rsidRDefault="005F5801">
      <w:pPr>
        <w:spacing w:after="13" w:line="269" w:lineRule="auto"/>
        <w:ind w:left="-5" w:hanging="10"/>
        <w:rPr>
          <w:rFonts w:ascii="Arial" w:eastAsia="Arial" w:hAnsi="Arial" w:cs="Arial"/>
          <w:b/>
          <w:sz w:val="20"/>
        </w:rPr>
      </w:pPr>
    </w:p>
    <w:p w14:paraId="21262469" w14:textId="77777777" w:rsidR="00655912" w:rsidRPr="00507E90" w:rsidRDefault="00F52719">
      <w:pPr>
        <w:spacing w:after="13" w:line="269" w:lineRule="auto"/>
        <w:ind w:left="-5" w:hanging="10"/>
      </w:pPr>
      <w:r w:rsidRPr="00507E90">
        <w:rPr>
          <w:rFonts w:ascii="Arial" w:eastAsia="Arial" w:hAnsi="Arial" w:cs="Arial"/>
          <w:b/>
          <w:sz w:val="20"/>
        </w:rPr>
        <w:t xml:space="preserve">Wykaz pomieszczeń gaszonych gazem </w:t>
      </w:r>
    </w:p>
    <w:p w14:paraId="4F4F83EB" w14:textId="77777777" w:rsidR="00655912" w:rsidRPr="000F4048" w:rsidRDefault="00F52719" w:rsidP="005F5801">
      <w:pPr>
        <w:spacing w:after="17"/>
        <w:rPr>
          <w:color w:val="auto"/>
        </w:rPr>
      </w:pPr>
      <w:r w:rsidRPr="00507E90">
        <w:rPr>
          <w:rFonts w:ascii="Arial" w:eastAsia="Arial" w:hAnsi="Arial" w:cs="Arial"/>
          <w:b/>
          <w:sz w:val="20"/>
        </w:rPr>
        <w:t xml:space="preserve"> </w:t>
      </w:r>
    </w:p>
    <w:p w14:paraId="3884BBEB" w14:textId="77777777" w:rsidR="00655912" w:rsidRPr="000F4048" w:rsidRDefault="00F52719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Kablownia nr 1 pod rozdz.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nn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 stacji SO1 </w:t>
      </w:r>
    </w:p>
    <w:p w14:paraId="5729EF46" w14:textId="77777777" w:rsidR="00655912" w:rsidRPr="000F4048" w:rsidRDefault="00F52719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Rozdzielnia główna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nN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 stacji SO</w:t>
      </w:r>
      <w:r w:rsidR="001B5AAB" w:rsidRPr="000F4048">
        <w:rPr>
          <w:rFonts w:ascii="Arial" w:eastAsia="Arial" w:hAnsi="Arial" w:cs="Arial"/>
          <w:color w:val="auto"/>
          <w:sz w:val="20"/>
        </w:rPr>
        <w:t>1</w:t>
      </w:r>
      <w:r w:rsidRPr="000F4048">
        <w:rPr>
          <w:rFonts w:ascii="Arial" w:eastAsia="Arial" w:hAnsi="Arial" w:cs="Arial"/>
          <w:color w:val="auto"/>
          <w:sz w:val="20"/>
        </w:rPr>
        <w:t xml:space="preserve"> </w:t>
      </w:r>
    </w:p>
    <w:p w14:paraId="7ECD4683" w14:textId="77777777" w:rsidR="00655912" w:rsidRPr="000F4048" w:rsidRDefault="00F52719" w:rsidP="001B5AAB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Komory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transf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>. Stacji SO</w:t>
      </w:r>
      <w:r w:rsidR="001B5AAB" w:rsidRPr="000F4048">
        <w:rPr>
          <w:rFonts w:ascii="Arial" w:eastAsia="Arial" w:hAnsi="Arial" w:cs="Arial"/>
          <w:color w:val="auto"/>
          <w:sz w:val="20"/>
        </w:rPr>
        <w:t>1</w:t>
      </w:r>
      <w:r w:rsidRPr="000F4048">
        <w:rPr>
          <w:rFonts w:ascii="Arial" w:eastAsia="Arial" w:hAnsi="Arial" w:cs="Arial"/>
          <w:color w:val="auto"/>
          <w:sz w:val="20"/>
        </w:rPr>
        <w:t xml:space="preserve"> </w:t>
      </w:r>
    </w:p>
    <w:p w14:paraId="241719FC" w14:textId="77777777" w:rsidR="001B5AAB" w:rsidRPr="000F4048" w:rsidRDefault="001B5AAB" w:rsidP="001B5AAB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Kablownia nr 1 pod rozdz.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nn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 stacji SO2</w:t>
      </w:r>
    </w:p>
    <w:p w14:paraId="254C9EE8" w14:textId="77777777" w:rsidR="001B5AAB" w:rsidRPr="000F4048" w:rsidRDefault="001B5AAB" w:rsidP="001B5AAB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Kablownia nr 2 pod rozdz.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nn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 stacji SO2</w:t>
      </w:r>
    </w:p>
    <w:p w14:paraId="0778F344" w14:textId="77777777" w:rsidR="00655912" w:rsidRPr="000F4048" w:rsidRDefault="00F52719" w:rsidP="001B5AAB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Rozdzielnia główna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nN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 stacji SO</w:t>
      </w:r>
      <w:r w:rsidR="001B5AAB" w:rsidRPr="000F4048">
        <w:rPr>
          <w:rFonts w:ascii="Arial" w:eastAsia="Arial" w:hAnsi="Arial" w:cs="Arial"/>
          <w:color w:val="auto"/>
          <w:sz w:val="20"/>
        </w:rPr>
        <w:t>2</w:t>
      </w:r>
      <w:r w:rsidRPr="000F4048">
        <w:rPr>
          <w:rFonts w:ascii="Arial" w:eastAsia="Arial" w:hAnsi="Arial" w:cs="Arial"/>
          <w:color w:val="auto"/>
          <w:sz w:val="20"/>
        </w:rPr>
        <w:t xml:space="preserve"> </w:t>
      </w:r>
    </w:p>
    <w:p w14:paraId="46192808" w14:textId="77777777" w:rsidR="00655912" w:rsidRPr="000F4048" w:rsidRDefault="00F52719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Komory </w:t>
      </w:r>
      <w:proofErr w:type="spellStart"/>
      <w:r w:rsidRPr="000F4048">
        <w:rPr>
          <w:rFonts w:ascii="Arial" w:eastAsia="Arial" w:hAnsi="Arial" w:cs="Arial"/>
          <w:color w:val="auto"/>
          <w:sz w:val="20"/>
        </w:rPr>
        <w:t>transf</w:t>
      </w:r>
      <w:proofErr w:type="spellEnd"/>
      <w:r w:rsidRPr="000F4048">
        <w:rPr>
          <w:rFonts w:ascii="Arial" w:eastAsia="Arial" w:hAnsi="Arial" w:cs="Arial"/>
          <w:color w:val="auto"/>
          <w:sz w:val="20"/>
        </w:rPr>
        <w:t xml:space="preserve">. Stacji SO2 </w:t>
      </w:r>
    </w:p>
    <w:p w14:paraId="4E219AD0" w14:textId="77777777" w:rsidR="00655912" w:rsidRPr="000F4048" w:rsidRDefault="00F52719">
      <w:pPr>
        <w:numPr>
          <w:ilvl w:val="0"/>
          <w:numId w:val="1"/>
        </w:numPr>
        <w:spacing w:after="8" w:line="269" w:lineRule="auto"/>
        <w:ind w:hanging="437"/>
        <w:rPr>
          <w:color w:val="auto"/>
        </w:rPr>
      </w:pPr>
      <w:r w:rsidRPr="000F4048">
        <w:rPr>
          <w:rFonts w:ascii="Arial" w:eastAsia="Arial" w:hAnsi="Arial" w:cs="Arial"/>
          <w:color w:val="auto"/>
          <w:sz w:val="20"/>
        </w:rPr>
        <w:t xml:space="preserve">02.26. </w:t>
      </w:r>
    </w:p>
    <w:p w14:paraId="7A3D0A94" w14:textId="77777777" w:rsidR="00655912" w:rsidRPr="00507E90" w:rsidRDefault="00F52719">
      <w:pPr>
        <w:numPr>
          <w:ilvl w:val="0"/>
          <w:numId w:val="1"/>
        </w:numPr>
        <w:spacing w:after="8" w:line="269" w:lineRule="auto"/>
        <w:ind w:hanging="437"/>
      </w:pPr>
      <w:r w:rsidRPr="00507E90">
        <w:rPr>
          <w:rFonts w:ascii="Arial" w:eastAsia="Arial" w:hAnsi="Arial" w:cs="Arial"/>
          <w:sz w:val="20"/>
        </w:rPr>
        <w:t xml:space="preserve">02.27 </w:t>
      </w:r>
    </w:p>
    <w:p w14:paraId="12CBDAFC" w14:textId="77777777" w:rsidR="003C46DE" w:rsidRPr="00507E90" w:rsidRDefault="00F52719">
      <w:pPr>
        <w:numPr>
          <w:ilvl w:val="0"/>
          <w:numId w:val="1"/>
        </w:numPr>
        <w:spacing w:after="8" w:line="269" w:lineRule="auto"/>
        <w:ind w:hanging="437"/>
      </w:pPr>
      <w:r w:rsidRPr="00507E90">
        <w:rPr>
          <w:rFonts w:ascii="Arial" w:eastAsia="Arial" w:hAnsi="Arial" w:cs="Arial"/>
          <w:sz w:val="20"/>
        </w:rPr>
        <w:t xml:space="preserve">02.31 </w:t>
      </w:r>
    </w:p>
    <w:p w14:paraId="319CBBE8" w14:textId="77777777" w:rsidR="003C46DE" w:rsidRPr="00507E90" w:rsidRDefault="00F52719">
      <w:pPr>
        <w:numPr>
          <w:ilvl w:val="0"/>
          <w:numId w:val="1"/>
        </w:numPr>
        <w:spacing w:after="8" w:line="269" w:lineRule="auto"/>
        <w:ind w:hanging="437"/>
      </w:pPr>
      <w:r w:rsidRPr="00507E90">
        <w:rPr>
          <w:rFonts w:ascii="Arial" w:eastAsia="Arial" w:hAnsi="Arial" w:cs="Arial"/>
          <w:sz w:val="20"/>
        </w:rPr>
        <w:t xml:space="preserve">02.43 </w:t>
      </w:r>
    </w:p>
    <w:p w14:paraId="64E17C42" w14:textId="77777777" w:rsidR="00655912" w:rsidRPr="001B5AAB" w:rsidRDefault="00F52719">
      <w:pPr>
        <w:numPr>
          <w:ilvl w:val="0"/>
          <w:numId w:val="1"/>
        </w:numPr>
        <w:spacing w:after="8" w:line="269" w:lineRule="auto"/>
        <w:ind w:hanging="437"/>
      </w:pPr>
      <w:r w:rsidRPr="00507E90">
        <w:rPr>
          <w:rFonts w:ascii="Arial" w:eastAsia="Arial" w:hAnsi="Arial" w:cs="Arial"/>
          <w:sz w:val="20"/>
        </w:rPr>
        <w:t xml:space="preserve">02.72 </w:t>
      </w:r>
    </w:p>
    <w:p w14:paraId="3968ED08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02.84 </w:t>
      </w:r>
    </w:p>
    <w:p w14:paraId="095A2BD1" w14:textId="77777777" w:rsidR="003C46DE" w:rsidRP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>02.109</w:t>
      </w:r>
    </w:p>
    <w:p w14:paraId="634FB795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0.5b </w:t>
      </w:r>
    </w:p>
    <w:p w14:paraId="0442B3FD" w14:textId="77777777" w:rsidR="001B5AAB" w:rsidRP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01.162 </w:t>
      </w:r>
    </w:p>
    <w:p w14:paraId="0DFF90C2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4.103 </w:t>
      </w:r>
    </w:p>
    <w:p w14:paraId="20611D86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4.104 </w:t>
      </w:r>
    </w:p>
    <w:p w14:paraId="48B65640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4.105 </w:t>
      </w:r>
    </w:p>
    <w:p w14:paraId="1617B469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4.106 </w:t>
      </w:r>
    </w:p>
    <w:p w14:paraId="2670EDD9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4.107 </w:t>
      </w:r>
    </w:p>
    <w:p w14:paraId="55615F2B" w14:textId="77777777" w:rsid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8.84 </w:t>
      </w:r>
    </w:p>
    <w:p w14:paraId="138CDD73" w14:textId="77777777" w:rsidR="001B5AAB" w:rsidRPr="001B5AAB" w:rsidRDefault="00F52719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 xml:space="preserve">8.109 </w:t>
      </w:r>
    </w:p>
    <w:p w14:paraId="1E183CAD" w14:textId="77777777" w:rsidR="005F5801" w:rsidRPr="001B5AAB" w:rsidRDefault="005F5801" w:rsidP="001B5AAB">
      <w:pPr>
        <w:numPr>
          <w:ilvl w:val="0"/>
          <w:numId w:val="1"/>
        </w:numPr>
        <w:spacing w:after="8" w:line="269" w:lineRule="auto"/>
        <w:ind w:hanging="437"/>
      </w:pPr>
      <w:r w:rsidRPr="001B5AAB">
        <w:rPr>
          <w:rFonts w:ascii="Arial" w:eastAsia="Arial" w:hAnsi="Arial" w:cs="Arial"/>
          <w:sz w:val="20"/>
        </w:rPr>
        <w:t>serwerownia 13.76a (</w:t>
      </w:r>
      <w:r w:rsidRPr="00507E90">
        <w:t>SEFAMATIC</w:t>
      </w:r>
      <w:r w:rsidRPr="001B5AAB">
        <w:rPr>
          <w:vertAlign w:val="superscript"/>
        </w:rPr>
        <w:t>TM</w:t>
      </w:r>
      <w:r w:rsidRPr="00507E90">
        <w:t xml:space="preserve"> Fe-36</w:t>
      </w:r>
      <w:r w:rsidRPr="001B5AAB">
        <w:rPr>
          <w:vertAlign w:val="superscript"/>
        </w:rPr>
        <w:t>TM</w:t>
      </w:r>
      <w:r w:rsidRPr="00507E90">
        <w:t xml:space="preserve"> wykonany przez Przedsiębiorstwo Usługowe „POŻ-PLISZKA” </w:t>
      </w:r>
      <w:proofErr w:type="spellStart"/>
      <w:r w:rsidRPr="00507E90">
        <w:t>Sp</w:t>
      </w:r>
      <w:proofErr w:type="spellEnd"/>
      <w:r w:rsidRPr="00507E90">
        <w:t xml:space="preserve"> z o. o. z centralą  IGNIS 1520M)</w:t>
      </w:r>
    </w:p>
    <w:p w14:paraId="22DC7FA8" w14:textId="77777777" w:rsidR="001B5AAB" w:rsidRDefault="001B5AAB">
      <w:pPr>
        <w:spacing w:after="13" w:line="269" w:lineRule="auto"/>
        <w:ind w:left="-5" w:hanging="10"/>
        <w:rPr>
          <w:rFonts w:ascii="Arial" w:eastAsia="Arial" w:hAnsi="Arial" w:cs="Arial"/>
          <w:b/>
          <w:sz w:val="20"/>
        </w:rPr>
      </w:pPr>
    </w:p>
    <w:p w14:paraId="001A1C76" w14:textId="77777777" w:rsidR="00655912" w:rsidRPr="00507E90" w:rsidRDefault="00F52719">
      <w:pPr>
        <w:spacing w:after="13" w:line="269" w:lineRule="auto"/>
        <w:ind w:left="-5" w:hanging="10"/>
      </w:pPr>
      <w:r w:rsidRPr="00507E90">
        <w:rPr>
          <w:rFonts w:ascii="Arial" w:eastAsia="Arial" w:hAnsi="Arial" w:cs="Arial"/>
          <w:b/>
          <w:sz w:val="20"/>
        </w:rPr>
        <w:t xml:space="preserve">System </w:t>
      </w:r>
      <w:proofErr w:type="spellStart"/>
      <w:r w:rsidRPr="00507E90">
        <w:rPr>
          <w:rFonts w:ascii="Arial" w:eastAsia="Arial" w:hAnsi="Arial" w:cs="Arial"/>
          <w:b/>
          <w:sz w:val="20"/>
        </w:rPr>
        <w:t>Vesda</w:t>
      </w:r>
      <w:proofErr w:type="spellEnd"/>
      <w:r w:rsidRPr="00507E90">
        <w:rPr>
          <w:rFonts w:ascii="Arial" w:eastAsia="Arial" w:hAnsi="Arial" w:cs="Arial"/>
          <w:b/>
          <w:sz w:val="20"/>
        </w:rPr>
        <w:t xml:space="preserve"> i </w:t>
      </w:r>
      <w:proofErr w:type="spellStart"/>
      <w:r w:rsidRPr="00507E90">
        <w:rPr>
          <w:rFonts w:ascii="Arial" w:eastAsia="Arial" w:hAnsi="Arial" w:cs="Arial"/>
          <w:b/>
          <w:sz w:val="20"/>
        </w:rPr>
        <w:t>Novec</w:t>
      </w:r>
      <w:proofErr w:type="spellEnd"/>
      <w:r w:rsidRPr="00507E90">
        <w:rPr>
          <w:rFonts w:ascii="Arial" w:eastAsia="Arial" w:hAnsi="Arial" w:cs="Arial"/>
          <w:b/>
          <w:sz w:val="20"/>
        </w:rPr>
        <w:t xml:space="preserve"> 1230 </w:t>
      </w:r>
    </w:p>
    <w:p w14:paraId="04C298D6" w14:textId="77777777" w:rsidR="00655912" w:rsidRPr="00507E90" w:rsidRDefault="00F52719">
      <w:pPr>
        <w:spacing w:after="17"/>
      </w:pPr>
      <w:r w:rsidRPr="00507E90">
        <w:rPr>
          <w:rFonts w:ascii="Arial" w:eastAsia="Arial" w:hAnsi="Arial" w:cs="Arial"/>
          <w:sz w:val="20"/>
        </w:rPr>
        <w:t xml:space="preserve"> </w:t>
      </w:r>
    </w:p>
    <w:p w14:paraId="386E058A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Rezonans magnetyczny SG1 </w:t>
      </w:r>
    </w:p>
    <w:p w14:paraId="6FD73F08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01.32 </w:t>
      </w:r>
    </w:p>
    <w:p w14:paraId="2F99FCEF" w14:textId="77777777" w:rsidR="003C46DE" w:rsidRPr="00507E90" w:rsidRDefault="00F52719">
      <w:pPr>
        <w:spacing w:after="8" w:line="269" w:lineRule="auto"/>
        <w:ind w:left="-5" w:right="8018" w:hanging="10"/>
        <w:rPr>
          <w:rFonts w:ascii="Arial" w:eastAsia="Arial" w:hAnsi="Arial" w:cs="Arial"/>
          <w:sz w:val="20"/>
        </w:rPr>
      </w:pPr>
      <w:r w:rsidRPr="00507E90">
        <w:rPr>
          <w:rFonts w:ascii="Arial" w:eastAsia="Arial" w:hAnsi="Arial" w:cs="Arial"/>
          <w:sz w:val="20"/>
        </w:rPr>
        <w:t xml:space="preserve">01.29 </w:t>
      </w:r>
    </w:p>
    <w:p w14:paraId="41892D5F" w14:textId="77777777" w:rsidR="00655912" w:rsidRPr="00507E90" w:rsidRDefault="00F52719">
      <w:pPr>
        <w:spacing w:after="8" w:line="269" w:lineRule="auto"/>
        <w:ind w:left="-5" w:right="8018" w:hanging="10"/>
      </w:pPr>
      <w:r w:rsidRPr="00507E90">
        <w:rPr>
          <w:rFonts w:ascii="Arial" w:eastAsia="Arial" w:hAnsi="Arial" w:cs="Arial"/>
          <w:sz w:val="20"/>
        </w:rPr>
        <w:t xml:space="preserve">01.27 </w:t>
      </w:r>
    </w:p>
    <w:p w14:paraId="469E7977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01.28 </w:t>
      </w:r>
    </w:p>
    <w:p w14:paraId="48A6AFE8" w14:textId="77777777" w:rsidR="00655912" w:rsidRPr="00507E90" w:rsidRDefault="00F52719">
      <w:pPr>
        <w:spacing w:after="17"/>
        <w:rPr>
          <w:rFonts w:ascii="Arial" w:eastAsia="Arial" w:hAnsi="Arial" w:cs="Arial"/>
          <w:sz w:val="20"/>
        </w:rPr>
      </w:pPr>
      <w:r w:rsidRPr="00507E90">
        <w:rPr>
          <w:rFonts w:ascii="Arial" w:eastAsia="Arial" w:hAnsi="Arial" w:cs="Arial"/>
          <w:sz w:val="20"/>
        </w:rPr>
        <w:t xml:space="preserve"> </w:t>
      </w:r>
    </w:p>
    <w:p w14:paraId="3AB003BB" w14:textId="392D829C" w:rsidR="003C46DE" w:rsidRPr="00507E90" w:rsidRDefault="003C46DE">
      <w:pPr>
        <w:spacing w:after="17"/>
      </w:pPr>
      <w:bookmarkStart w:id="0" w:name="_GoBack"/>
      <w:bookmarkEnd w:id="0"/>
    </w:p>
    <w:p w14:paraId="0D8BFFFE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RTG SG2 </w:t>
      </w:r>
    </w:p>
    <w:p w14:paraId="4EE86BB2" w14:textId="77777777" w:rsidR="003C46DE" w:rsidRPr="00507E90" w:rsidRDefault="00F52719">
      <w:pPr>
        <w:spacing w:after="8" w:line="269" w:lineRule="auto"/>
        <w:ind w:left="-5" w:right="8018" w:hanging="10"/>
        <w:rPr>
          <w:rFonts w:ascii="Arial" w:eastAsia="Arial" w:hAnsi="Arial" w:cs="Arial"/>
          <w:sz w:val="20"/>
        </w:rPr>
      </w:pPr>
      <w:r w:rsidRPr="00507E90">
        <w:rPr>
          <w:rFonts w:ascii="Arial" w:eastAsia="Arial" w:hAnsi="Arial" w:cs="Arial"/>
          <w:sz w:val="20"/>
        </w:rPr>
        <w:t xml:space="preserve">01.19 </w:t>
      </w:r>
    </w:p>
    <w:p w14:paraId="45785CE3" w14:textId="77777777" w:rsidR="00655912" w:rsidRPr="00507E90" w:rsidRDefault="00F52719">
      <w:pPr>
        <w:spacing w:after="8" w:line="269" w:lineRule="auto"/>
        <w:ind w:left="-5" w:right="8018" w:hanging="10"/>
      </w:pPr>
      <w:r w:rsidRPr="00507E90">
        <w:rPr>
          <w:rFonts w:ascii="Arial" w:eastAsia="Arial" w:hAnsi="Arial" w:cs="Arial"/>
          <w:sz w:val="20"/>
        </w:rPr>
        <w:t xml:space="preserve">01.18 01.17 </w:t>
      </w:r>
    </w:p>
    <w:p w14:paraId="35904669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01.26 </w:t>
      </w:r>
    </w:p>
    <w:p w14:paraId="7AE9EABB" w14:textId="77777777" w:rsidR="00655912" w:rsidRPr="00507E90" w:rsidRDefault="00F52719">
      <w:pPr>
        <w:spacing w:after="0"/>
      </w:pPr>
      <w:r w:rsidRPr="00507E90">
        <w:rPr>
          <w:rFonts w:ascii="Arial" w:eastAsia="Arial" w:hAnsi="Arial" w:cs="Arial"/>
          <w:sz w:val="20"/>
        </w:rPr>
        <w:lastRenderedPageBreak/>
        <w:t xml:space="preserve"> </w:t>
      </w:r>
    </w:p>
    <w:p w14:paraId="7ADEF7CC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Tomograf SG3 </w:t>
      </w:r>
    </w:p>
    <w:p w14:paraId="56D554A7" w14:textId="77777777" w:rsidR="00655912" w:rsidRPr="00507E90" w:rsidRDefault="00F52719">
      <w:pPr>
        <w:spacing w:after="8" w:line="269" w:lineRule="auto"/>
        <w:ind w:left="-5" w:right="8018" w:hanging="10"/>
      </w:pPr>
      <w:r w:rsidRPr="00507E90">
        <w:rPr>
          <w:rFonts w:ascii="Arial" w:eastAsia="Arial" w:hAnsi="Arial" w:cs="Arial"/>
          <w:sz w:val="20"/>
        </w:rPr>
        <w:t xml:space="preserve">01.24 01.25 01.21 </w:t>
      </w:r>
    </w:p>
    <w:p w14:paraId="511D7B22" w14:textId="77777777" w:rsidR="00655912" w:rsidRPr="00507E90" w:rsidRDefault="00F52719">
      <w:pPr>
        <w:spacing w:after="8" w:line="269" w:lineRule="auto"/>
        <w:ind w:left="-5" w:hanging="10"/>
      </w:pPr>
      <w:r w:rsidRPr="00507E90">
        <w:rPr>
          <w:rFonts w:ascii="Arial" w:eastAsia="Arial" w:hAnsi="Arial" w:cs="Arial"/>
          <w:sz w:val="20"/>
        </w:rPr>
        <w:t xml:space="preserve">01.22 </w:t>
      </w:r>
    </w:p>
    <w:p w14:paraId="7309B9D7" w14:textId="77777777" w:rsidR="00655912" w:rsidRPr="00507E90" w:rsidRDefault="00F52719">
      <w:pPr>
        <w:spacing w:after="18"/>
      </w:pPr>
      <w:r w:rsidRPr="00507E90">
        <w:rPr>
          <w:rFonts w:ascii="Arial" w:eastAsia="Arial" w:hAnsi="Arial" w:cs="Arial"/>
          <w:sz w:val="20"/>
        </w:rPr>
        <w:t xml:space="preserve"> </w:t>
      </w:r>
    </w:p>
    <w:p w14:paraId="572B5BEC" w14:textId="77777777" w:rsidR="00655912" w:rsidRPr="00507E90" w:rsidRDefault="00F52719">
      <w:pPr>
        <w:spacing w:after="13" w:line="269" w:lineRule="auto"/>
        <w:ind w:left="-5" w:hanging="10"/>
      </w:pPr>
      <w:r w:rsidRPr="00507E90">
        <w:rPr>
          <w:rFonts w:ascii="Arial" w:eastAsia="Arial" w:hAnsi="Arial" w:cs="Arial"/>
          <w:b/>
          <w:sz w:val="20"/>
        </w:rPr>
        <w:t xml:space="preserve">Przez bieżącą konserwację rozumiane jest wykonywanie wszystkich okresowych czynności konserwacyjnych, przewidzianych w dokumentacji techniczno-ruchowej producenta urządzeń, instalacji oraz w jego zaleceniach i wytycznych, a także warunkach gwarancji, dokumentacji projektowej, określonych przepisami obowiązującego prawa oraz wytycznymi branżowymi, jak również zasadami dobrej praktyki zawodowej.  </w:t>
      </w:r>
      <w:r w:rsidRPr="00507E90">
        <w:rPr>
          <w:rFonts w:ascii="Arial" w:eastAsia="Arial" w:hAnsi="Arial" w:cs="Arial"/>
          <w:b/>
          <w:sz w:val="20"/>
        </w:rPr>
        <w:tab/>
        <w:t xml:space="preserve"> </w:t>
      </w:r>
      <w:r w:rsidRPr="00507E90">
        <w:rPr>
          <w:rFonts w:ascii="Arial" w:eastAsia="Arial" w:hAnsi="Arial" w:cs="Arial"/>
          <w:b/>
          <w:sz w:val="20"/>
        </w:rPr>
        <w:tab/>
        <w:t xml:space="preserve"> </w:t>
      </w:r>
      <w:r w:rsidRPr="00507E90">
        <w:rPr>
          <w:rFonts w:ascii="Arial" w:eastAsia="Arial" w:hAnsi="Arial" w:cs="Arial"/>
          <w:b/>
          <w:sz w:val="20"/>
        </w:rPr>
        <w:tab/>
        <w:t xml:space="preserve"> </w:t>
      </w:r>
      <w:r w:rsidRPr="00507E90">
        <w:rPr>
          <w:rFonts w:ascii="Arial" w:eastAsia="Arial" w:hAnsi="Arial" w:cs="Arial"/>
          <w:b/>
          <w:sz w:val="20"/>
        </w:rPr>
        <w:tab/>
        <w:t xml:space="preserve"> </w:t>
      </w:r>
      <w:r w:rsidRPr="00507E90">
        <w:rPr>
          <w:rFonts w:ascii="Arial" w:eastAsia="Arial" w:hAnsi="Arial" w:cs="Arial"/>
          <w:b/>
          <w:sz w:val="20"/>
        </w:rPr>
        <w:tab/>
        <w:t xml:space="preserve"> </w:t>
      </w:r>
    </w:p>
    <w:p w14:paraId="35725F73" w14:textId="77777777" w:rsidR="00655912" w:rsidRPr="00507E90" w:rsidRDefault="00F52719">
      <w:pPr>
        <w:spacing w:after="0"/>
      </w:pPr>
      <w:r w:rsidRPr="00507E90">
        <w:rPr>
          <w:rFonts w:ascii="Arial" w:eastAsia="Arial" w:hAnsi="Arial" w:cs="Arial"/>
          <w:sz w:val="20"/>
        </w:rPr>
        <w:t xml:space="preserve"> </w:t>
      </w:r>
    </w:p>
    <w:sectPr w:rsidR="00655912" w:rsidRPr="00507E90">
      <w:pgSz w:w="11900" w:h="16840"/>
      <w:pgMar w:top="1459" w:right="1409" w:bottom="1504" w:left="1416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849A32" w16cid:durableId="1E4BB8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4B7"/>
    <w:multiLevelType w:val="hybridMultilevel"/>
    <w:tmpl w:val="A3986B14"/>
    <w:lvl w:ilvl="0" w:tplc="61D0CE2E">
      <w:start w:val="17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A61338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7A86F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E4F5D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CEF0C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BEAE3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40D6D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98E56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EEE66E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103AB8"/>
    <w:multiLevelType w:val="hybridMultilevel"/>
    <w:tmpl w:val="8CE80D50"/>
    <w:lvl w:ilvl="0" w:tplc="2ABE2074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0C1CFA">
      <w:start w:val="1"/>
      <w:numFmt w:val="lowerLetter"/>
      <w:lvlText w:val="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FA1438">
      <w:start w:val="1"/>
      <w:numFmt w:val="lowerRoman"/>
      <w:lvlText w:val="%3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E8A62">
      <w:start w:val="1"/>
      <w:numFmt w:val="decimal"/>
      <w:lvlText w:val="%4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D877B2">
      <w:start w:val="1"/>
      <w:numFmt w:val="lowerLetter"/>
      <w:lvlText w:val="%5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77A8">
      <w:start w:val="1"/>
      <w:numFmt w:val="lowerRoman"/>
      <w:lvlText w:val="%6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AA7310">
      <w:start w:val="1"/>
      <w:numFmt w:val="decimal"/>
      <w:lvlText w:val="%7"/>
      <w:lvlJc w:val="left"/>
      <w:pPr>
        <w:ind w:left="5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E42CE6">
      <w:start w:val="1"/>
      <w:numFmt w:val="lowerLetter"/>
      <w:lvlText w:val="%8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0C4690">
      <w:start w:val="1"/>
      <w:numFmt w:val="lowerRoman"/>
      <w:lvlText w:val="%9"/>
      <w:lvlJc w:val="left"/>
      <w:pPr>
        <w:ind w:left="6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862BC"/>
    <w:multiLevelType w:val="hybridMultilevel"/>
    <w:tmpl w:val="38380D28"/>
    <w:lvl w:ilvl="0" w:tplc="1CC4FACC">
      <w:start w:val="14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2EFD18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685A0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7277F2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200F5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8ACB2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42A68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BCECF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86D926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EA4746"/>
    <w:multiLevelType w:val="hybridMultilevel"/>
    <w:tmpl w:val="03BA4A0A"/>
    <w:lvl w:ilvl="0" w:tplc="FA5A01B0">
      <w:start w:val="2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A610A8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00C2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04B95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FC6A5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E2360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5888E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04396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C63A82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12"/>
    <w:rsid w:val="000F4048"/>
    <w:rsid w:val="001B5AAB"/>
    <w:rsid w:val="003C46DE"/>
    <w:rsid w:val="0044183B"/>
    <w:rsid w:val="00507E90"/>
    <w:rsid w:val="005F5801"/>
    <w:rsid w:val="00655912"/>
    <w:rsid w:val="00A9483C"/>
    <w:rsid w:val="00E47367"/>
    <w:rsid w:val="00F5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C323"/>
  <w15:docId w15:val="{D47C83B2-C81B-4E82-8F29-E659329F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A948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83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483C"/>
    <w:rPr>
      <w:rFonts w:eastAsia="Calibri" w:cs="Calibri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83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483C"/>
    <w:rPr>
      <w:rFonts w:eastAsia="Calibri" w:cs="Calibri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483C"/>
    <w:rPr>
      <w:rFonts w:ascii="Segoe UI" w:eastAsia="Calibr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6260-B6F4-495B-A261-72930403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pomieszczeń gaszonych gazem</vt:lpstr>
      <vt:lpstr>Wykaz pomieszczeń gaszonych gazem</vt:lpstr>
    </vt:vector>
  </TitlesOfParts>
  <Company>Organization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pomieszczeń gaszonych gazem</dc:title>
  <dc:subject/>
  <dc:creator>zbigniew.borecki</dc:creator>
  <cp:keywords/>
  <cp:lastModifiedBy>Milena Gierczak</cp:lastModifiedBy>
  <cp:revision>6</cp:revision>
  <dcterms:created xsi:type="dcterms:W3CDTF">2018-03-08T12:30:00Z</dcterms:created>
  <dcterms:modified xsi:type="dcterms:W3CDTF">2018-03-09T12:44:00Z</dcterms:modified>
</cp:coreProperties>
</file>