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6" w:rsidRPr="00ED07B6" w:rsidRDefault="00ED07B6" w:rsidP="00ED07B6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D0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Stacja robocza HP Z240 Tower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Funkcje systemu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>System operacyjny</w:t>
      </w:r>
    </w:p>
    <w:p w:rsidR="00ED07B6" w:rsidRDefault="00ED07B6" w:rsidP="00ED07B6">
      <w:pPr>
        <w:ind w:left="720"/>
        <w:jc w:val="left"/>
      </w:pPr>
      <w:r>
        <w:t>Windows 10 Pro 64</w:t>
      </w:r>
      <w:r>
        <w:br/>
      </w:r>
    </w:p>
    <w:p w:rsidR="00ED07B6" w:rsidRDefault="00ED07B6" w:rsidP="00ED07B6">
      <w:pPr>
        <w:ind w:left="720"/>
        <w:jc w:val="left"/>
      </w:pPr>
      <w:r>
        <w:t>Rodzina procesorów</w:t>
      </w:r>
    </w:p>
    <w:p w:rsidR="00ED07B6" w:rsidRDefault="00ED07B6" w:rsidP="00ED07B6">
      <w:pPr>
        <w:ind w:left="720"/>
        <w:jc w:val="left"/>
      </w:pPr>
      <w:r>
        <w:t xml:space="preserve">Procesor Intel® </w:t>
      </w:r>
      <w:proofErr w:type="spellStart"/>
      <w:r>
        <w:t>Core</w:t>
      </w:r>
      <w:proofErr w:type="spellEnd"/>
      <w:r>
        <w:t>™ i7 7. generacji (modele i7-7700K, i7-7700)</w:t>
      </w:r>
      <w:r>
        <w:br/>
      </w:r>
    </w:p>
    <w:p w:rsidR="00ED07B6" w:rsidRDefault="00ED07B6" w:rsidP="00ED07B6">
      <w:pPr>
        <w:ind w:left="720"/>
        <w:jc w:val="left"/>
      </w:pPr>
      <w:r>
        <w:t>Procesor</w:t>
      </w:r>
    </w:p>
    <w:p w:rsidR="00ED07B6" w:rsidRDefault="00ED07B6" w:rsidP="00ED07B6">
      <w:pPr>
        <w:ind w:left="720"/>
        <w:jc w:val="left"/>
      </w:pPr>
      <w:r>
        <w:t xml:space="preserve">Procesor Intel® </w:t>
      </w:r>
      <w:proofErr w:type="spellStart"/>
      <w:r>
        <w:t>Core</w:t>
      </w:r>
      <w:proofErr w:type="spellEnd"/>
      <w:r>
        <w:t xml:space="preserve">™ i7-7700K z kartą graficzną Intel® HD Graphics 630 (4,2 GHz, maks. 4,5 GHz z technologią Intel® Turbo </w:t>
      </w:r>
      <w:proofErr w:type="spellStart"/>
      <w:r>
        <w:t>Boost</w:t>
      </w:r>
      <w:proofErr w:type="spellEnd"/>
      <w:r>
        <w:t xml:space="preserve"> 2.0, 8 MB pamięci podręcznej, 4 rdzenie)</w:t>
      </w:r>
      <w:r>
        <w:br/>
      </w:r>
    </w:p>
    <w:p w:rsidR="00ED07B6" w:rsidRDefault="00ED07B6" w:rsidP="00ED07B6">
      <w:pPr>
        <w:ind w:left="720"/>
        <w:jc w:val="left"/>
      </w:pPr>
      <w:r>
        <w:t>Chipset</w:t>
      </w:r>
    </w:p>
    <w:p w:rsidR="00ED07B6" w:rsidRDefault="00ED07B6" w:rsidP="00ED07B6">
      <w:pPr>
        <w:ind w:left="720"/>
        <w:jc w:val="left"/>
      </w:pPr>
      <w:r>
        <w:t xml:space="preserve">Intel® C236 </w:t>
      </w:r>
    </w:p>
    <w:p w:rsidR="00ED07B6" w:rsidRDefault="00ED07B6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>Środowisko</w:t>
      </w:r>
    </w:p>
    <w:p w:rsidR="00ED07B6" w:rsidRDefault="00ED07B6" w:rsidP="00ED07B6">
      <w:pPr>
        <w:ind w:left="720"/>
        <w:jc w:val="left"/>
      </w:pPr>
      <w:r>
        <w:t>Niska zawartość halogenu</w:t>
      </w:r>
    </w:p>
    <w:p w:rsidR="00ED07B6" w:rsidRDefault="00ED07B6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 xml:space="preserve">Obudowa </w:t>
      </w:r>
    </w:p>
    <w:p w:rsidR="00ED07B6" w:rsidRDefault="00ED07B6" w:rsidP="00ED07B6">
      <w:pPr>
        <w:ind w:left="720"/>
        <w:jc w:val="left"/>
      </w:pPr>
      <w:r>
        <w:t xml:space="preserve">Wieża 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Pamięć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 xml:space="preserve">Pamięć </w:t>
      </w:r>
    </w:p>
    <w:p w:rsidR="00ED07B6" w:rsidRDefault="00ED07B6" w:rsidP="00ED07B6">
      <w:pPr>
        <w:ind w:left="720"/>
        <w:jc w:val="left"/>
      </w:pPr>
      <w:r>
        <w:t>16</w:t>
      </w:r>
      <w:r>
        <w:t xml:space="preserve"> GB pamięci DDR4-2400 ECC lub non-ECC SDRAM</w:t>
      </w:r>
      <w:r>
        <w:br/>
      </w:r>
      <w:r>
        <w:rPr>
          <w:i/>
          <w:iCs/>
          <w:sz w:val="18"/>
          <w:szCs w:val="18"/>
        </w:rPr>
        <w:t>(Szybkość transmisji danych do 2400 mln transferów/s )</w:t>
      </w:r>
      <w:r>
        <w:t xml:space="preserve"> </w:t>
      </w:r>
    </w:p>
    <w:p w:rsidR="00ED07B6" w:rsidRDefault="00ED07B6" w:rsidP="00ED07B6">
      <w:pPr>
        <w:ind w:left="720"/>
        <w:jc w:val="left"/>
      </w:pPr>
      <w:r>
        <w:t xml:space="preserve">Gniazda pamięci </w:t>
      </w:r>
    </w:p>
    <w:p w:rsidR="00ED07B6" w:rsidRDefault="00ED07B6" w:rsidP="00ED07B6">
      <w:pPr>
        <w:ind w:left="720"/>
        <w:jc w:val="left"/>
      </w:pPr>
      <w:r>
        <w:t xml:space="preserve">4 DIMM 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Pamięć masowa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 xml:space="preserve">Wewnętrzne wnęki na napędy </w:t>
      </w:r>
    </w:p>
    <w:p w:rsidR="00ED07B6" w:rsidRDefault="00ED07B6" w:rsidP="00ED07B6">
      <w:pPr>
        <w:ind w:left="720"/>
        <w:jc w:val="left"/>
      </w:pPr>
      <w:r>
        <w:t xml:space="preserve">Jeden 6,3 cm (2,5''); Dwa 8,9 cm (3,5'') </w:t>
      </w:r>
    </w:p>
    <w:p w:rsidR="00A87875" w:rsidRDefault="00A87875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 xml:space="preserve">Zewnętrzne wnęki na napędy </w:t>
      </w:r>
    </w:p>
    <w:p w:rsidR="00ED07B6" w:rsidRDefault="00ED07B6" w:rsidP="00ED07B6">
      <w:pPr>
        <w:ind w:left="720"/>
        <w:jc w:val="left"/>
      </w:pPr>
      <w:r>
        <w:t xml:space="preserve">Dwa 13,3 cm (5,25''); 1 napęd ODD typu </w:t>
      </w:r>
      <w:proofErr w:type="spellStart"/>
      <w:r>
        <w:t>slim</w:t>
      </w:r>
      <w:proofErr w:type="spellEnd"/>
      <w:r>
        <w:t xml:space="preserve"> </w:t>
      </w:r>
    </w:p>
    <w:p w:rsidR="00A87875" w:rsidRDefault="00A87875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>Napęd wewnętrzny</w:t>
      </w:r>
    </w:p>
    <w:p w:rsidR="00ED07B6" w:rsidRDefault="00ED07B6" w:rsidP="00ED07B6">
      <w:pPr>
        <w:ind w:left="720"/>
        <w:jc w:val="left"/>
      </w:pPr>
      <w:r>
        <w:t>256 GB Napęd SSD SATA SED </w:t>
      </w:r>
      <w:hyperlink r:id="rId6" w:history="1">
        <w:r>
          <w:rPr>
            <w:rStyle w:val="Hipercze"/>
            <w:vertAlign w:val="superscript"/>
          </w:rPr>
          <w:t>6</w:t>
        </w:r>
      </w:hyperlink>
      <w:r>
        <w:t> </w:t>
      </w:r>
      <w:r>
        <w:br/>
        <w:t xml:space="preserve">1 TB (8 GB pamięci podręcznej) SATA SSHD (7200 </w:t>
      </w:r>
      <w:proofErr w:type="spellStart"/>
      <w:r>
        <w:t>obr</w:t>
      </w:r>
      <w:proofErr w:type="spellEnd"/>
      <w:r>
        <w:t>./min) </w:t>
      </w:r>
      <w:hyperlink r:id="rId7" w:history="1">
        <w:r>
          <w:rPr>
            <w:rStyle w:val="Hipercze"/>
            <w:vertAlign w:val="superscript"/>
          </w:rPr>
          <w:t>6</w:t>
        </w:r>
      </w:hyperlink>
      <w:r>
        <w:t> </w:t>
      </w:r>
      <w:r>
        <w:br/>
      </w:r>
    </w:p>
    <w:p w:rsidR="00ED07B6" w:rsidRDefault="00ED07B6" w:rsidP="00ED07B6">
      <w:pPr>
        <w:ind w:left="720"/>
        <w:jc w:val="left"/>
      </w:pPr>
      <w:r>
        <w:t>Dodatkowa pamięć masowa</w:t>
      </w:r>
    </w:p>
    <w:p w:rsidR="00ED07B6" w:rsidRDefault="00ED07B6" w:rsidP="00ED07B6">
      <w:pPr>
        <w:ind w:left="720"/>
        <w:jc w:val="left"/>
      </w:pPr>
      <w:r>
        <w:t xml:space="preserve">Czytnik kart pamięci SD </w:t>
      </w:r>
    </w:p>
    <w:p w:rsidR="00A87875" w:rsidRDefault="00A87875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 xml:space="preserve">Kontroler pamięci masowej </w:t>
      </w:r>
    </w:p>
    <w:p w:rsidR="00ED07B6" w:rsidRDefault="00ED07B6" w:rsidP="00ED07B6">
      <w:pPr>
        <w:ind w:left="720"/>
        <w:jc w:val="left"/>
      </w:pPr>
      <w:r>
        <w:lastRenderedPageBreak/>
        <w:t xml:space="preserve">Zintegrowany kontroler SATA (4 porty 6 </w:t>
      </w:r>
      <w:proofErr w:type="spellStart"/>
      <w:r>
        <w:t>Gb</w:t>
      </w:r>
      <w:proofErr w:type="spellEnd"/>
      <w:r>
        <w:t xml:space="preserve">/s) z macierzą RAID 0 (układ rozłożony) i RAID 1 (układ lustrzany) obsługiwany wyłącznie przez system operacyjny Windows. Wymaga dysków twardych o takich samych parametrach (prędkość, pojemność, interfejs). Zintegrowana macierz RAID 0, 1 (konfiguracja danych) dla napędów SSD </w:t>
      </w:r>
      <w:proofErr w:type="spellStart"/>
      <w:r>
        <w:t>PCIe</w:t>
      </w:r>
      <w:proofErr w:type="spellEnd"/>
      <w:r>
        <w:t xml:space="preserve">. </w:t>
      </w:r>
    </w:p>
    <w:p w:rsidR="00FF3A78" w:rsidRDefault="00FF3A78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>Napęd optyczny</w:t>
      </w:r>
    </w:p>
    <w:p w:rsidR="00ED07B6" w:rsidRDefault="00ED07B6" w:rsidP="00ED07B6">
      <w:pPr>
        <w:ind w:left="720"/>
        <w:jc w:val="left"/>
      </w:pPr>
      <w:r>
        <w:t xml:space="preserve">Napęd DVD-ROM HP </w:t>
      </w:r>
      <w:proofErr w:type="spellStart"/>
      <w:r>
        <w:t>Slim</w:t>
      </w:r>
      <w:proofErr w:type="spellEnd"/>
      <w:r>
        <w:br/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Wyświetlanie i grafika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 xml:space="preserve">Zgodne monitory 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HP Z27s o przekątnej ekranu 68,6 cm (27") IPS UHD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HP Z27q o przekątnej ekranu 68,6 cm (27") IPS 5K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HP Z24s o przekątnej ekranu 60,45 cm (23,8") IPS UHD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LED HP Z Display Z30i o przekątnej ekranu 76,2 cm (30'') IPS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HP Z27n o przekątnej ekranu 68,6 cm (27") IPS z cienką ramką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HP Z24n o przekątnej ekranu 61 cm (24") IPS z cienką ramką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HP Z23n o przekątnej ekranu 58,4 cm (23”) IPS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>Monitor HP Z22n o przekątnej ekranu 54,6 cm (21,5”) IPS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 xml:space="preserve">Profesjonalny monitor HP </w:t>
      </w:r>
      <w:proofErr w:type="spellStart"/>
      <w:r>
        <w:t>DreamColor</w:t>
      </w:r>
      <w:proofErr w:type="spellEnd"/>
      <w:r>
        <w:t xml:space="preserve"> Z24x</w:t>
      </w:r>
    </w:p>
    <w:p w:rsidR="00ED07B6" w:rsidRDefault="00ED07B6" w:rsidP="00ED07B6">
      <w:pPr>
        <w:numPr>
          <w:ilvl w:val="0"/>
          <w:numId w:val="1"/>
        </w:numPr>
        <w:spacing w:before="100" w:beforeAutospacing="1" w:after="100" w:afterAutospacing="1"/>
        <w:ind w:left="1440"/>
        <w:jc w:val="left"/>
      </w:pPr>
      <w:r>
        <w:t xml:space="preserve">Profesjonalny monitor HP </w:t>
      </w:r>
      <w:proofErr w:type="spellStart"/>
      <w:r>
        <w:t>DreamColor</w:t>
      </w:r>
      <w:proofErr w:type="spellEnd"/>
      <w:r>
        <w:t xml:space="preserve"> Z27x</w:t>
      </w:r>
    </w:p>
    <w:p w:rsidR="00ED07B6" w:rsidRDefault="00ED07B6" w:rsidP="00ED07B6">
      <w:pPr>
        <w:ind w:left="720"/>
        <w:jc w:val="left"/>
      </w:pPr>
      <w:r>
        <w:t>Karta graficzna</w:t>
      </w:r>
    </w:p>
    <w:p w:rsidR="00ED07B6" w:rsidRDefault="00ED07B6" w:rsidP="00ED07B6">
      <w:pPr>
        <w:ind w:left="720"/>
        <w:jc w:val="left"/>
      </w:pPr>
      <w:r>
        <w:t>Zintegrowana:</w:t>
      </w:r>
    </w:p>
    <w:p w:rsidR="00ED07B6" w:rsidRDefault="00ED07B6" w:rsidP="00ED07B6">
      <w:pPr>
        <w:numPr>
          <w:ilvl w:val="0"/>
          <w:numId w:val="2"/>
        </w:numPr>
        <w:spacing w:before="100" w:beforeAutospacing="1" w:after="100" w:afterAutospacing="1"/>
        <w:ind w:left="1440"/>
        <w:jc w:val="left"/>
      </w:pPr>
      <w:r>
        <w:t>Karta graficzna Intel® HD Graphics 530</w:t>
      </w:r>
    </w:p>
    <w:p w:rsidR="00ED07B6" w:rsidRDefault="00ED07B6" w:rsidP="00ED07B6">
      <w:pPr>
        <w:numPr>
          <w:ilvl w:val="0"/>
          <w:numId w:val="2"/>
        </w:numPr>
        <w:spacing w:before="100" w:beforeAutospacing="1" w:after="100" w:afterAutospacing="1"/>
        <w:ind w:left="1440"/>
        <w:jc w:val="left"/>
      </w:pPr>
      <w:r>
        <w:t>karta graficzna Intel® HD Graphics P530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Funkcje rozszerzeń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>Porty</w:t>
      </w:r>
    </w:p>
    <w:p w:rsidR="00ED07B6" w:rsidRDefault="00ED07B6" w:rsidP="00ED07B6">
      <w:pPr>
        <w:ind w:left="720"/>
        <w:jc w:val="left"/>
      </w:pPr>
      <w:r>
        <w:t>Przód:</w:t>
      </w:r>
      <w:r>
        <w:br/>
        <w:t>2 porty USB 3.0</w:t>
      </w:r>
      <w:r>
        <w:br/>
        <w:t>2 porty USB 2.0 (1 z funkcją ładowania)</w:t>
      </w:r>
      <w:r>
        <w:br/>
        <w:t>1 wyjście słuchawkowe</w:t>
      </w:r>
      <w:r>
        <w:br/>
        <w:t>1 wejście mikrofonowe</w:t>
      </w:r>
      <w:r>
        <w:br/>
      </w:r>
      <w:r>
        <w:br/>
        <w:t>Tył:</w:t>
      </w:r>
      <w:r>
        <w:br/>
        <w:t>4 porty USB 3.0</w:t>
      </w:r>
      <w:r>
        <w:br/>
        <w:t>2 porty USB 2.0</w:t>
      </w:r>
      <w:r>
        <w:br/>
        <w:t xml:space="preserve">2 porty </w:t>
      </w:r>
      <w:proofErr w:type="spellStart"/>
      <w:r>
        <w:t>DisplayPort</w:t>
      </w:r>
      <w:proofErr w:type="spellEnd"/>
      <w:r>
        <w:t xml:space="preserve"> 1.2</w:t>
      </w:r>
      <w:r>
        <w:br/>
        <w:t>1 port DVI-I (jedno połączenie)</w:t>
      </w:r>
      <w:r>
        <w:br/>
        <w:t>2 porty PS/2</w:t>
      </w:r>
      <w:r>
        <w:br/>
        <w:t>1 port RJ-45</w:t>
      </w:r>
      <w:r>
        <w:br/>
        <w:t>1 wejście sygnałowe audio</w:t>
      </w:r>
      <w:r>
        <w:br/>
        <w:t>1 wyjście sygnałowe audio</w:t>
      </w:r>
      <w:r>
        <w:br/>
      </w:r>
      <w:r>
        <w:br/>
      </w:r>
      <w:r>
        <w:lastRenderedPageBreak/>
        <w:t>Wewnętrzny:</w:t>
      </w:r>
      <w:r>
        <w:br/>
        <w:t>1 port USB 3.0</w:t>
      </w:r>
      <w:r>
        <w:br/>
        <w:t>2 porty USB 2.0</w:t>
      </w:r>
      <w:r>
        <w:br/>
      </w:r>
      <w:r>
        <w:br/>
      </w:r>
      <w:r>
        <w:rPr>
          <w:i/>
          <w:iCs/>
          <w:sz w:val="18"/>
          <w:szCs w:val="18"/>
        </w:rPr>
        <w:t>(1 port USB 3.0 i 2 porty USB 2.0 dostępne jako 2 osobne gniazda 2 × 10 (3.0 x1, 2.0 x1) i 2 × 5 (2.0 x2). Obsługuje zestaw portów wewnętrznych USB 2.0 HP i 1 czytnik kart pamięci USB 3.0.)</w:t>
      </w:r>
      <w:r>
        <w:t xml:space="preserve"> </w:t>
      </w:r>
    </w:p>
    <w:p w:rsidR="00ED07B6" w:rsidRDefault="00ED07B6" w:rsidP="00ED07B6">
      <w:pPr>
        <w:ind w:left="720"/>
        <w:jc w:val="left"/>
      </w:pPr>
      <w:r>
        <w:t>Kontroler wejścia/wyjścia</w:t>
      </w:r>
    </w:p>
    <w:p w:rsidR="00ED07B6" w:rsidRDefault="00ED07B6" w:rsidP="00ED07B6">
      <w:pPr>
        <w:numPr>
          <w:ilvl w:val="0"/>
          <w:numId w:val="7"/>
        </w:numPr>
        <w:spacing w:before="100" w:beforeAutospacing="1" w:after="100" w:afterAutospacing="1"/>
        <w:ind w:left="1440"/>
        <w:jc w:val="left"/>
      </w:pPr>
      <w:r>
        <w:t xml:space="preserve">Karta we/wy HP </w:t>
      </w:r>
      <w:proofErr w:type="spellStart"/>
      <w:r>
        <w:t>Thunderbolt</w:t>
      </w:r>
      <w:proofErr w:type="spellEnd"/>
      <w:r>
        <w:t xml:space="preserve">™-2 </w:t>
      </w:r>
      <w:proofErr w:type="spellStart"/>
      <w:r>
        <w:t>PCIe</w:t>
      </w:r>
      <w:proofErr w:type="spellEnd"/>
      <w:r>
        <w:t>, 1-portowa</w:t>
      </w:r>
    </w:p>
    <w:p w:rsidR="00ED07B6" w:rsidRDefault="00ED07B6" w:rsidP="00ED07B6">
      <w:pPr>
        <w:ind w:left="720"/>
        <w:jc w:val="left"/>
      </w:pPr>
      <w:r>
        <w:t>Gniazda rozszerzeń</w:t>
      </w:r>
    </w:p>
    <w:p w:rsidR="00ED07B6" w:rsidRDefault="00ED07B6" w:rsidP="00ED07B6">
      <w:pPr>
        <w:ind w:left="720"/>
        <w:jc w:val="left"/>
      </w:pPr>
      <w:r>
        <w:t xml:space="preserve">1 gniazdo </w:t>
      </w:r>
      <w:proofErr w:type="spellStart"/>
      <w:r>
        <w:t>PCIe</w:t>
      </w:r>
      <w:proofErr w:type="spellEnd"/>
      <w:r>
        <w:t xml:space="preserve"> Gen3 x16</w:t>
      </w:r>
      <w:r>
        <w:br/>
        <w:t xml:space="preserve">1 gniazdo </w:t>
      </w:r>
      <w:proofErr w:type="spellStart"/>
      <w:r>
        <w:t>PCIe</w:t>
      </w:r>
      <w:proofErr w:type="spellEnd"/>
      <w:r>
        <w:t xml:space="preserve"> Gen3 x4 (złącze × 4)</w:t>
      </w:r>
      <w:r>
        <w:br/>
        <w:t xml:space="preserve">1 gniazdo </w:t>
      </w:r>
      <w:proofErr w:type="spellStart"/>
      <w:r>
        <w:t>PCIe</w:t>
      </w:r>
      <w:proofErr w:type="spellEnd"/>
      <w:r>
        <w:t xml:space="preserve"> Gen3 x4 (złącze × 16)</w:t>
      </w:r>
      <w:r>
        <w:br/>
        <w:t xml:space="preserve">1 gniazdo </w:t>
      </w:r>
      <w:proofErr w:type="spellStart"/>
      <w:r>
        <w:t>PCIe</w:t>
      </w:r>
      <w:proofErr w:type="spellEnd"/>
      <w:r>
        <w:t xml:space="preserve"> Gen3 x1</w:t>
      </w:r>
      <w:r>
        <w:br/>
        <w:t xml:space="preserve">1 gniazdo M.2 </w:t>
      </w:r>
      <w:proofErr w:type="spellStart"/>
      <w:r>
        <w:t>PCIe</w:t>
      </w:r>
      <w:proofErr w:type="spellEnd"/>
      <w:r>
        <w:t xml:space="preserve"> Gen3 x4 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Urządzenia komunikacyjne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>Interfejs sieciowy</w:t>
      </w:r>
    </w:p>
    <w:p w:rsidR="00ED07B6" w:rsidRDefault="00ED07B6" w:rsidP="00ED07B6">
      <w:pPr>
        <w:ind w:left="720"/>
        <w:jc w:val="left"/>
      </w:pPr>
      <w:r>
        <w:br/>
        <w:t xml:space="preserve">Sieć </w:t>
      </w:r>
      <w:proofErr w:type="spellStart"/>
      <w:r>
        <w:t>LANZintegrowana</w:t>
      </w:r>
      <w:proofErr w:type="spellEnd"/>
      <w:r>
        <w:t xml:space="preserve"> karta Intel® I219LM </w:t>
      </w:r>
      <w:proofErr w:type="spellStart"/>
      <w:r>
        <w:t>PCIe</w:t>
      </w:r>
      <w:proofErr w:type="spellEnd"/>
      <w:r>
        <w:t xml:space="preserve"> </w:t>
      </w:r>
      <w:proofErr w:type="spellStart"/>
      <w:r>
        <w:t>GbE</w:t>
      </w:r>
      <w:proofErr w:type="spellEnd"/>
      <w:r>
        <w:br/>
      </w:r>
      <w:proofErr w:type="spellStart"/>
      <w:r w:rsidR="0025710E">
        <w:t>Transceiver</w:t>
      </w:r>
      <w:proofErr w:type="spellEnd"/>
      <w:r w:rsidR="0025710E">
        <w:t xml:space="preserve"> HP SFP+ SR 10 </w:t>
      </w:r>
      <w:proofErr w:type="spellStart"/>
      <w:r w:rsidR="0025710E">
        <w:t>GbE</w:t>
      </w:r>
      <w:proofErr w:type="spellEnd"/>
    </w:p>
    <w:p w:rsidR="0025710E" w:rsidRDefault="0025710E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>Dźwięk</w:t>
      </w:r>
    </w:p>
    <w:p w:rsidR="00ED07B6" w:rsidRDefault="00ED07B6" w:rsidP="00ED07B6">
      <w:pPr>
        <w:ind w:left="720"/>
        <w:jc w:val="left"/>
      </w:pPr>
      <w:r>
        <w:t xml:space="preserve">Zintegrowana karta dźwiękowa </w:t>
      </w:r>
      <w:proofErr w:type="spellStart"/>
      <w:r>
        <w:t>Realtek</w:t>
      </w:r>
      <w:proofErr w:type="spellEnd"/>
      <w:r>
        <w:t xml:space="preserve"> HD ALC221-VB 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Wymagania dotyczące zasilania i eksploatacji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>Sprawność energetyczna</w:t>
      </w:r>
    </w:p>
    <w:p w:rsidR="00ED07B6" w:rsidRDefault="00ED07B6" w:rsidP="00ED07B6">
      <w:pPr>
        <w:ind w:left="720"/>
        <w:jc w:val="left"/>
      </w:pPr>
      <w:r>
        <w:t>Dostępne są konfiguracje z cert</w:t>
      </w:r>
      <w:r w:rsidR="0025710E">
        <w:t>yfikatami ENERGY STAR® i EPEAT®</w:t>
      </w:r>
    </w:p>
    <w:p w:rsidR="0025710E" w:rsidRDefault="0025710E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>Zasilacz</w:t>
      </w:r>
    </w:p>
    <w:p w:rsidR="00ED07B6" w:rsidRDefault="00ED07B6" w:rsidP="00ED07B6">
      <w:pPr>
        <w:numPr>
          <w:ilvl w:val="0"/>
          <w:numId w:val="8"/>
        </w:numPr>
        <w:spacing w:before="100" w:beforeAutospacing="1" w:after="100" w:afterAutospacing="1"/>
        <w:ind w:left="1440"/>
        <w:jc w:val="left"/>
      </w:pPr>
      <w:r>
        <w:t xml:space="preserve">400 W, sprawność 92%, </w:t>
      </w:r>
      <w:proofErr w:type="spellStart"/>
      <w:r>
        <w:t>szerokozakresowy</w:t>
      </w:r>
      <w:proofErr w:type="spellEnd"/>
      <w:r>
        <w:t>, aktywny stabilizator PFC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Wymiary i waga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 xml:space="preserve">Minimalne wymiary (szer. x głęb. x wys.) </w:t>
      </w:r>
    </w:p>
    <w:p w:rsidR="00ED07B6" w:rsidRDefault="00ED07B6" w:rsidP="00ED07B6">
      <w:pPr>
        <w:ind w:left="720"/>
        <w:jc w:val="left"/>
      </w:pPr>
      <w:r>
        <w:t xml:space="preserve">170 x 442 x 399 mm </w:t>
      </w:r>
    </w:p>
    <w:p w:rsidR="0025710E" w:rsidRDefault="0025710E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 xml:space="preserve">Waga </w:t>
      </w:r>
    </w:p>
    <w:p w:rsidR="00ED07B6" w:rsidRDefault="00ED07B6" w:rsidP="00ED07B6">
      <w:pPr>
        <w:ind w:left="720"/>
        <w:jc w:val="left"/>
      </w:pPr>
      <w:r>
        <w:t xml:space="preserve">Od 8,6 kg </w:t>
      </w:r>
    </w:p>
    <w:p w:rsidR="00ED07B6" w:rsidRDefault="00ED07B6" w:rsidP="00ED07B6">
      <w:pPr>
        <w:jc w:val="left"/>
        <w:rPr>
          <w:rStyle w:val="prog-disc-icn"/>
          <w:color w:val="0000FF"/>
          <w:u w:val="single"/>
        </w:rPr>
      </w:pPr>
      <w:r>
        <w:fldChar w:fldCharType="begin"/>
      </w:r>
      <w:r>
        <w:instrText xml:space="preserve"> HYPERLINK "javascript:%20void(0);" </w:instrText>
      </w:r>
      <w:r>
        <w:fldChar w:fldCharType="separate"/>
      </w:r>
    </w:p>
    <w:p w:rsidR="00ED07B6" w:rsidRDefault="00ED07B6" w:rsidP="00ED07B6">
      <w:pPr>
        <w:pStyle w:val="Nagwek2"/>
        <w:jc w:val="left"/>
        <w:rPr>
          <w:color w:val="0000FF"/>
          <w:u w:val="single"/>
        </w:rPr>
      </w:pPr>
      <w:r>
        <w:rPr>
          <w:color w:val="0000FF"/>
          <w:u w:val="single"/>
        </w:rPr>
        <w:t>W zestawie</w:t>
      </w:r>
    </w:p>
    <w:p w:rsidR="00ED07B6" w:rsidRDefault="00ED07B6" w:rsidP="00ED07B6">
      <w:pPr>
        <w:jc w:val="left"/>
      </w:pPr>
      <w:r>
        <w:fldChar w:fldCharType="end"/>
      </w:r>
    </w:p>
    <w:p w:rsidR="00ED07B6" w:rsidRDefault="00ED07B6" w:rsidP="00ED07B6">
      <w:pPr>
        <w:ind w:left="720"/>
        <w:jc w:val="left"/>
      </w:pPr>
      <w:r>
        <w:t>Oprogramowanie</w:t>
      </w:r>
    </w:p>
    <w:p w:rsidR="00ED07B6" w:rsidRPr="0025710E" w:rsidRDefault="00ED07B6" w:rsidP="00ED07B6">
      <w:pPr>
        <w:ind w:left="720"/>
        <w:jc w:val="left"/>
        <w:rPr>
          <w:lang w:val="en-US"/>
        </w:rPr>
      </w:pPr>
      <w:r w:rsidRPr="0025710E">
        <w:rPr>
          <w:lang w:val="en-US"/>
        </w:rPr>
        <w:lastRenderedPageBreak/>
        <w:t>HP Performance Advisor</w:t>
      </w:r>
      <w:r w:rsidRPr="0025710E">
        <w:rPr>
          <w:lang w:val="en-US"/>
        </w:rPr>
        <w:br/>
        <w:t>HP Remote Graphics Software (RGS) 7.1</w:t>
      </w:r>
      <w:r w:rsidRPr="0025710E">
        <w:rPr>
          <w:lang w:val="en-US"/>
        </w:rPr>
        <w:br/>
        <w:t>PDF Complete - Corporate Edition</w:t>
      </w:r>
      <w:r w:rsidRPr="0025710E">
        <w:rPr>
          <w:lang w:val="en-US"/>
        </w:rPr>
        <w:br/>
      </w:r>
      <w:proofErr w:type="spellStart"/>
      <w:r w:rsidRPr="0025710E">
        <w:rPr>
          <w:lang w:val="en-US"/>
        </w:rPr>
        <w:t>Cyberlink</w:t>
      </w:r>
      <w:proofErr w:type="spellEnd"/>
      <w:r w:rsidRPr="0025710E">
        <w:rPr>
          <w:lang w:val="en-US"/>
        </w:rPr>
        <w:t xml:space="preserve"> Power DVD i Power2Go</w:t>
      </w:r>
      <w:r w:rsidRPr="0025710E">
        <w:rPr>
          <w:lang w:val="en-US"/>
        </w:rPr>
        <w:br/>
        <w:t>HP PC Hardware Diagnostics UEFI</w:t>
      </w:r>
      <w:r w:rsidRPr="0025710E">
        <w:rPr>
          <w:lang w:val="en-US"/>
        </w:rPr>
        <w:br/>
      </w:r>
      <w:proofErr w:type="spellStart"/>
      <w:r w:rsidRPr="0025710E">
        <w:rPr>
          <w:lang w:val="en-US"/>
        </w:rPr>
        <w:t>Oprogramowanie</w:t>
      </w:r>
      <w:proofErr w:type="spellEnd"/>
      <w:r w:rsidRPr="0025710E">
        <w:rPr>
          <w:lang w:val="en-US"/>
        </w:rPr>
        <w:t xml:space="preserve"> HP Client Security</w:t>
      </w:r>
      <w:r w:rsidRPr="0025710E">
        <w:rPr>
          <w:lang w:val="en-US"/>
        </w:rPr>
        <w:br/>
      </w:r>
      <w:proofErr w:type="spellStart"/>
      <w:r w:rsidRPr="0025710E">
        <w:rPr>
          <w:lang w:val="en-US"/>
        </w:rPr>
        <w:t>Zarządzanie</w:t>
      </w:r>
      <w:proofErr w:type="spellEnd"/>
      <w:r w:rsidRPr="0025710E">
        <w:rPr>
          <w:lang w:val="en-US"/>
        </w:rPr>
        <w:t xml:space="preserve"> </w:t>
      </w:r>
      <w:proofErr w:type="spellStart"/>
      <w:r w:rsidRPr="0025710E">
        <w:rPr>
          <w:lang w:val="en-US"/>
        </w:rPr>
        <w:t>bezpieczeństwem</w:t>
      </w:r>
      <w:proofErr w:type="spellEnd"/>
    </w:p>
    <w:p w:rsidR="0025710E" w:rsidRDefault="0025710E" w:rsidP="00ED07B6">
      <w:pPr>
        <w:ind w:left="720"/>
        <w:jc w:val="left"/>
      </w:pPr>
    </w:p>
    <w:p w:rsidR="00ED07B6" w:rsidRDefault="00ED07B6" w:rsidP="00ED07B6">
      <w:pPr>
        <w:ind w:left="720"/>
        <w:jc w:val="left"/>
      </w:pPr>
      <w:r>
        <w:t xml:space="preserve">Gwarancja </w:t>
      </w:r>
    </w:p>
    <w:p w:rsidR="00ED07B6" w:rsidRDefault="00ED07B6" w:rsidP="00ED07B6">
      <w:pPr>
        <w:numPr>
          <w:ilvl w:val="0"/>
          <w:numId w:val="9"/>
        </w:numPr>
        <w:spacing w:before="100" w:beforeAutospacing="1" w:after="100" w:afterAutospacing="1"/>
        <w:ind w:left="1440"/>
        <w:jc w:val="left"/>
      </w:pPr>
      <w:r>
        <w:t xml:space="preserve">3-letnia (3-3-3) ograniczona gwarancja i oferta serwisowa obejmuje trzy lata gwarancji na części, robociznę i naprawę w miejscu instalacji. </w:t>
      </w:r>
    </w:p>
    <w:p w:rsidR="00BC4468" w:rsidRDefault="00BC4468" w:rsidP="00ED07B6">
      <w:pPr>
        <w:jc w:val="left"/>
      </w:pPr>
    </w:p>
    <w:p w:rsidR="0025710E" w:rsidRDefault="0025710E" w:rsidP="00ED07B6">
      <w:pPr>
        <w:jc w:val="left"/>
      </w:pPr>
    </w:p>
    <w:p w:rsidR="0025710E" w:rsidRPr="00485A1F" w:rsidRDefault="0025710E" w:rsidP="00ED07B6">
      <w:pPr>
        <w:jc w:val="left"/>
        <w:rPr>
          <w:b/>
          <w:color w:val="FF0000"/>
        </w:rPr>
      </w:pPr>
      <w:r w:rsidRPr="00485A1F">
        <w:rPr>
          <w:b/>
          <w:color w:val="FF0000"/>
        </w:rPr>
        <w:t>UWAGA !!</w:t>
      </w:r>
    </w:p>
    <w:p w:rsidR="0025710E" w:rsidRPr="00485A1F" w:rsidRDefault="0025710E" w:rsidP="00ED07B6">
      <w:pPr>
        <w:jc w:val="left"/>
        <w:rPr>
          <w:b/>
          <w:color w:val="FF0000"/>
        </w:rPr>
      </w:pPr>
      <w:r w:rsidRPr="00485A1F">
        <w:rPr>
          <w:b/>
          <w:color w:val="FF0000"/>
        </w:rPr>
        <w:t>W pr</w:t>
      </w:r>
      <w:bookmarkStart w:id="0" w:name="_GoBack"/>
      <w:bookmarkEnd w:id="0"/>
      <w:r w:rsidRPr="00485A1F">
        <w:rPr>
          <w:b/>
          <w:color w:val="FF0000"/>
        </w:rPr>
        <w:t>zypadku uszkodzenia nośników pamięci ( dysków ) w okresie gwarancji nie podlegają one zwrotowi.  W celu diagnostyki awarii zostaną udostępnione jedynie w siedzibie CBŚP w obecności funkcjonariusza</w:t>
      </w:r>
    </w:p>
    <w:sectPr w:rsidR="0025710E" w:rsidRPr="0048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C25"/>
    <w:multiLevelType w:val="multilevel"/>
    <w:tmpl w:val="6ED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BD4"/>
    <w:multiLevelType w:val="multilevel"/>
    <w:tmpl w:val="05A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E36DB"/>
    <w:multiLevelType w:val="multilevel"/>
    <w:tmpl w:val="4B04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E0BEA"/>
    <w:multiLevelType w:val="multilevel"/>
    <w:tmpl w:val="85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668A3"/>
    <w:multiLevelType w:val="multilevel"/>
    <w:tmpl w:val="F1F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069B0"/>
    <w:multiLevelType w:val="multilevel"/>
    <w:tmpl w:val="AE6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50A57"/>
    <w:multiLevelType w:val="multilevel"/>
    <w:tmpl w:val="9CA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533D8"/>
    <w:multiLevelType w:val="multilevel"/>
    <w:tmpl w:val="5AD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E2174"/>
    <w:multiLevelType w:val="multilevel"/>
    <w:tmpl w:val="3AD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6"/>
    <w:rsid w:val="0025710E"/>
    <w:rsid w:val="00485A1F"/>
    <w:rsid w:val="006753EA"/>
    <w:rsid w:val="00A87875"/>
    <w:rsid w:val="00BC4468"/>
    <w:rsid w:val="00ED07B6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07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7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D07B6"/>
    <w:rPr>
      <w:color w:val="0000FF"/>
      <w:u w:val="single"/>
    </w:rPr>
  </w:style>
  <w:style w:type="character" w:customStyle="1" w:styleId="prog-disc-icn">
    <w:name w:val="prog-disc-icn"/>
    <w:basedOn w:val="Domylnaczcionkaakapitu"/>
    <w:rsid w:val="00ED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07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7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D07B6"/>
    <w:rPr>
      <w:color w:val="0000FF"/>
      <w:u w:val="single"/>
    </w:rPr>
  </w:style>
  <w:style w:type="character" w:customStyle="1" w:styleId="prog-disc-icn">
    <w:name w:val="prog-disc-icn"/>
    <w:basedOn w:val="Domylnaczcionkaakapitu"/>
    <w:rsid w:val="00ED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2018-01-23T08:30:00Z</dcterms:created>
  <dcterms:modified xsi:type="dcterms:W3CDTF">2018-01-23T09:12:00Z</dcterms:modified>
</cp:coreProperties>
</file>