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E43A8" w14:textId="77777777" w:rsidR="00CE7A8A" w:rsidRPr="00CE7A8A" w:rsidRDefault="00CE7A8A" w:rsidP="00CE7A8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7A8A">
        <w:rPr>
          <w:rFonts w:asciiTheme="minorHAnsi" w:hAnsiTheme="minorHAnsi" w:cstheme="minorHAnsi"/>
          <w:b/>
          <w:sz w:val="20"/>
          <w:szCs w:val="20"/>
        </w:rPr>
        <w:t>Dostawę i montaż trzech dygestoriów do prac laboratoryjnych</w:t>
      </w:r>
    </w:p>
    <w:p w14:paraId="38CE99CD" w14:textId="34C516C8" w:rsidR="00962F33" w:rsidRPr="008D4F73" w:rsidRDefault="00C5179D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EF3180" w14:textId="3677E691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EZP.270.1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127E5F8C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242FC4" w14:textId="77777777" w:rsidR="00CE7A8A" w:rsidRPr="008D4F73" w:rsidRDefault="00CE7A8A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6726879B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1D2E4B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6096D" w:rsidRPr="001D2E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7918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586419" w:rsidRPr="001D2E4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D2E4B" w:rsidRPr="001D2E4B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24180658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C2BD6">
        <w:rPr>
          <w:rFonts w:asciiTheme="minorHAnsi" w:hAnsiTheme="minorHAnsi" w:cstheme="minorHAnsi"/>
          <w:sz w:val="20"/>
          <w:szCs w:val="20"/>
        </w:rPr>
        <w:t xml:space="preserve">   </w:t>
      </w:r>
      <w:r w:rsidR="00CE7A8A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460229CB" w14:textId="71F60581" w:rsidR="00C5179D" w:rsidRDefault="00C5179D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      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4A00DDF6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F3799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BA9CA8A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B15ED9">
        <w:rPr>
          <w:rFonts w:asciiTheme="minorHAnsi" w:hAnsiTheme="minorHAnsi" w:cstheme="minorHAnsi"/>
          <w:sz w:val="20"/>
          <w:szCs w:val="20"/>
        </w:rPr>
        <w:t xml:space="preserve">8 22 273 16 94;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19003530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2024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3EE35111" w:rsidR="00962F3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6705E32" w14:textId="77777777" w:rsidR="00E855D3" w:rsidRDefault="0021226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855D3">
        <w:rPr>
          <w:rFonts w:asciiTheme="minorHAnsi" w:hAnsiTheme="minorHAnsi" w:cstheme="minorHAnsi"/>
          <w:sz w:val="20"/>
          <w:szCs w:val="20"/>
        </w:rPr>
        <w:t xml:space="preserve">Przedsięwzięcie Ministra Nauki „Wsparcie działalności Centrów Doskonałości utworzonych w Polsce w ramach programu Horyzont 2020”, Umowa </w:t>
      </w:r>
      <w:proofErr w:type="spellStart"/>
      <w:r w:rsidRPr="00E855D3">
        <w:rPr>
          <w:rFonts w:asciiTheme="minorHAnsi" w:hAnsiTheme="minorHAnsi" w:cstheme="minorHAnsi"/>
          <w:sz w:val="20"/>
          <w:szCs w:val="20"/>
        </w:rPr>
        <w:t>MEiN</w:t>
      </w:r>
      <w:proofErr w:type="spellEnd"/>
      <w:r w:rsidRPr="00E855D3">
        <w:rPr>
          <w:rFonts w:asciiTheme="minorHAnsi" w:hAnsiTheme="minorHAnsi" w:cstheme="minorHAnsi"/>
          <w:sz w:val="20"/>
          <w:szCs w:val="20"/>
        </w:rPr>
        <w:t>/2023/DIR/3795</w:t>
      </w:r>
    </w:p>
    <w:p w14:paraId="2C672D27" w14:textId="27189DF4" w:rsidR="00D2120A" w:rsidRPr="00E62F73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</w:t>
      </w:r>
      <w:r w:rsidRPr="00E62F73">
        <w:rPr>
          <w:rFonts w:asciiTheme="minorHAnsi" w:hAnsiTheme="minorHAnsi" w:cstheme="minorHAnsi"/>
          <w:sz w:val="20"/>
          <w:szCs w:val="20"/>
        </w:rPr>
        <w:t>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4E1AA4" w14:textId="3C99E5EE" w:rsidR="00C5179D" w:rsidRPr="008D4F73" w:rsidRDefault="00962F33" w:rsidP="00C5179D">
      <w:pPr>
        <w:pStyle w:val="Tekstpodstawowy"/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E25A37">
        <w:rPr>
          <w:rFonts w:asciiTheme="minorHAnsi" w:hAnsiTheme="minorHAnsi" w:cstheme="minorHAnsi"/>
          <w:sz w:val="20"/>
          <w:szCs w:val="20"/>
        </w:rPr>
        <w:t>.1.</w:t>
      </w:r>
      <w:r w:rsidR="00E25A37">
        <w:rPr>
          <w:rFonts w:asciiTheme="minorHAnsi" w:hAnsiTheme="minorHAnsi" w:cstheme="minorHAnsi"/>
          <w:sz w:val="20"/>
          <w:szCs w:val="20"/>
        </w:rPr>
        <w:tab/>
      </w:r>
      <w:r w:rsidR="00CE7A8A">
        <w:rPr>
          <w:rFonts w:asciiTheme="minorHAnsi" w:hAnsiTheme="minorHAnsi" w:cstheme="minorHAnsi"/>
          <w:sz w:val="20"/>
          <w:szCs w:val="20"/>
        </w:rPr>
        <w:t>Przedmiotem postępowania</w:t>
      </w:r>
      <w:r w:rsidR="00CE7A8A" w:rsidRPr="00F70A6D">
        <w:rPr>
          <w:rFonts w:asciiTheme="minorHAnsi" w:hAnsiTheme="minorHAnsi" w:cstheme="minorHAnsi"/>
          <w:color w:val="000000"/>
          <w:sz w:val="20"/>
          <w:szCs w:val="20"/>
        </w:rPr>
        <w:t xml:space="preserve"> jest dostawa (rozumiana także jako montaż, uruchomienie oraz przeszkolenie wskazanych pracowników Zamawiającego w zakresie obsługi urządzenia) </w:t>
      </w:r>
      <w:r w:rsidR="00CE7A8A" w:rsidRPr="00E00863">
        <w:rPr>
          <w:rFonts w:asciiTheme="minorHAnsi" w:hAnsiTheme="minorHAnsi" w:cstheme="minorHAnsi"/>
          <w:color w:val="000000"/>
          <w:sz w:val="20"/>
          <w:szCs w:val="20"/>
        </w:rPr>
        <w:t>trzech fabrycznie nowych i nieużywanych dygestoriów do prac laboratoryjnych</w:t>
      </w:r>
      <w:r w:rsidR="00CE7A8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517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EECA524" w14:textId="5BD8FCEF" w:rsidR="00BA7C7A" w:rsidRDefault="00BA7C7A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58867AA7" w14:textId="2C881343" w:rsidR="00962F33" w:rsidRDefault="00CE7A8A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25F6D">
        <w:rPr>
          <w:rFonts w:asciiTheme="minorHAnsi" w:hAnsiTheme="minorHAnsi" w:cstheme="minorHAnsi"/>
          <w:sz w:val="20"/>
          <w:szCs w:val="20"/>
        </w:rPr>
        <w:t>Nie dokonano podziału zamówienia na części</w:t>
      </w:r>
      <w:r>
        <w:rPr>
          <w:rFonts w:asciiTheme="minorHAnsi" w:hAnsiTheme="minorHAnsi" w:cstheme="minorHAnsi"/>
          <w:sz w:val="20"/>
          <w:szCs w:val="20"/>
        </w:rPr>
        <w:t xml:space="preserve"> z powodu </w:t>
      </w:r>
      <w:r w:rsidRPr="000058F8">
        <w:rPr>
          <w:rFonts w:asciiTheme="minorHAnsi" w:hAnsiTheme="minorHAnsi" w:cstheme="minorHAnsi"/>
          <w:sz w:val="20"/>
          <w:szCs w:val="20"/>
        </w:rPr>
        <w:t>potrzeby zapewnienia sterowania i komunikacji pomiędzy wszystkimi elementami układu.</w:t>
      </w:r>
    </w:p>
    <w:p w14:paraId="7B57C52E" w14:textId="2B4A5B10" w:rsidR="00CE7A8A" w:rsidRDefault="00CE7A8A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E944EA6" w14:textId="77777777" w:rsidR="00CE7A8A" w:rsidRPr="000F14FD" w:rsidRDefault="00CE7A8A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72C20462" w:rsidR="00962F33" w:rsidRDefault="0077628D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42520000-7 Urządzenia wentylacyjne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1C51270D" w:rsidR="00DB506F" w:rsidRPr="00F718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Pr="00F718E8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77628D" w:rsidRPr="00F718E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12 tygodni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F718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 w:rsidRPr="00E855D3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 w:rsidRPr="00E855D3">
        <w:rPr>
          <w:rFonts w:asciiTheme="minorHAnsi" w:hAnsiTheme="minorHAnsi" w:cstheme="minorHAnsi"/>
          <w:b w:val="0"/>
          <w:sz w:val="20"/>
          <w:szCs w:val="20"/>
        </w:rPr>
        <w:t>kres gwarancji na przedmiot zamówienia wynosi</w:t>
      </w:r>
      <w:r w:rsidR="00AC1DD2" w:rsidRPr="00E855D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E855D3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E855D3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5CD37DA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iCs/>
          <w:sz w:val="20"/>
          <w:szCs w:val="20"/>
        </w:rPr>
        <w:t>Annę Dąbrowską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lastRenderedPageBreak/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3F36D35D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6CEC49EF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7628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0B5EF8">
        <w:rPr>
          <w:rFonts w:asciiTheme="minorHAnsi" w:hAnsiTheme="minorHAnsi" w:cstheme="minorHAnsi"/>
          <w:b w:val="0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77628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lastRenderedPageBreak/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799EA3ED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– 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2B538504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="00C5179D">
        <w:rPr>
          <w:rFonts w:asciiTheme="minorHAnsi" w:hAnsiTheme="minorHAnsi" w:cstheme="minorHAnsi"/>
          <w:sz w:val="20"/>
          <w:szCs w:val="20"/>
        </w:rPr>
        <w:t>wiający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C5179D">
        <w:rPr>
          <w:rFonts w:asciiTheme="minorHAnsi" w:hAnsiTheme="minorHAnsi" w:cstheme="minorHAnsi"/>
          <w:sz w:val="20"/>
          <w:szCs w:val="20"/>
        </w:rPr>
        <w:t>zedmiotowych środków dowodowych:</w:t>
      </w:r>
    </w:p>
    <w:p w14:paraId="3E22B18F" w14:textId="68EA89CD" w:rsidR="00C5179D" w:rsidRDefault="00C5179D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Formularz 2.2 IDW – Wykaz parametrów technicznych</w:t>
      </w:r>
      <w:r w:rsidR="003621A6">
        <w:rPr>
          <w:rFonts w:asciiTheme="minorHAnsi" w:hAnsiTheme="minorHAnsi" w:cstheme="minorHAnsi"/>
          <w:sz w:val="20"/>
          <w:szCs w:val="20"/>
        </w:rPr>
        <w:t xml:space="preserve"> wraz z dokumentacją potwierdzającą parametry techniczne oferowanych dygestoriów.</w:t>
      </w:r>
    </w:p>
    <w:p w14:paraId="5849FDC4" w14:textId="473FB9CE" w:rsidR="007F2032" w:rsidRDefault="007F2032" w:rsidP="007F203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0BF4FE3F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322AD5AD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</w:t>
      </w:r>
      <w:r w:rsidR="00AE696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nia sporządzone w języku obcym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5AAB2201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sz w:val="20"/>
          <w:szCs w:val="20"/>
        </w:rPr>
        <w:t xml:space="preserve">powinna być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2EEC83D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3344C6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1D2E4B" w:rsidRPr="001D2E4B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0B5EF8" w:rsidRPr="001D2E4B">
        <w:rPr>
          <w:rFonts w:asciiTheme="minorHAnsi" w:hAnsiTheme="minorHAnsi" w:cstheme="minorHAnsi"/>
          <w:b/>
          <w:bCs/>
          <w:sz w:val="20"/>
          <w:szCs w:val="20"/>
        </w:rPr>
        <w:t>.02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B5EF8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68A58458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1D2E4B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 w:rsidRPr="001D2E4B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8D7918">
        <w:rPr>
          <w:rFonts w:asciiTheme="minorHAnsi" w:hAnsiTheme="minorHAnsi" w:cstheme="minorHAnsi"/>
          <w:b/>
          <w:spacing w:val="4"/>
          <w:sz w:val="20"/>
          <w:szCs w:val="20"/>
        </w:rPr>
        <w:t>15</w:t>
      </w:r>
      <w:r w:rsidR="001D2E4B" w:rsidRPr="001D2E4B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0B5EF8">
        <w:rPr>
          <w:rFonts w:asciiTheme="minorHAnsi" w:hAnsiTheme="minorHAnsi" w:cstheme="minorHAnsi"/>
          <w:b/>
          <w:spacing w:val="4"/>
          <w:sz w:val="20"/>
          <w:szCs w:val="20"/>
        </w:rPr>
        <w:t>02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0B5EF8">
        <w:rPr>
          <w:rFonts w:asciiTheme="minorHAnsi" w:hAnsiTheme="minorHAnsi" w:cstheme="minorHAnsi"/>
          <w:b/>
          <w:spacing w:val="4"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0DECD79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1D2E4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5845B5" w:rsidRPr="001D2E4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1D2E4B" w:rsidRPr="001D2E4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15.</w:t>
      </w:r>
      <w:r w:rsidR="000B5EF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03</w:t>
      </w:r>
      <w:r w:rsidR="003344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.2024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 xml:space="preserve">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04AFAF9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E368179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F718E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</w:t>
      </w:r>
      <w:r w:rsidRPr="00F718E8">
        <w:rPr>
          <w:rFonts w:ascii="Calibri" w:hAnsi="Calibri" w:cs="Calibri"/>
          <w:sz w:val="20"/>
          <w:szCs w:val="20"/>
        </w:rPr>
        <w:t xml:space="preserve">punktów dla oferty badanej będzie przyznawana wg punktacji przedstawionej w poniższej </w:t>
      </w:r>
      <w:r w:rsidRPr="00F718E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F718E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E855D3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855D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E855D3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855D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F718E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E855D3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E855D3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185EA0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E855D3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E855D3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 w:rsidSect="009F4C7E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2F570457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</w:t>
            </w:r>
            <w:r w:rsidR="003621A6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2639068" w14:textId="6654C61D" w:rsidR="003621A6" w:rsidRPr="00CE7A8A" w:rsidRDefault="002F1CE9" w:rsidP="003621A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621A6">
        <w:rPr>
          <w:rFonts w:asciiTheme="minorHAnsi" w:hAnsiTheme="minorHAnsi" w:cstheme="minorHAnsi"/>
          <w:b/>
          <w:sz w:val="20"/>
          <w:szCs w:val="20"/>
        </w:rPr>
        <w:t>Dostawa</w:t>
      </w:r>
      <w:r w:rsidR="003621A6" w:rsidRPr="00CE7A8A">
        <w:rPr>
          <w:rFonts w:asciiTheme="minorHAnsi" w:hAnsiTheme="minorHAnsi" w:cstheme="minorHAnsi"/>
          <w:b/>
          <w:sz w:val="20"/>
          <w:szCs w:val="20"/>
        </w:rPr>
        <w:t xml:space="preserve"> i montaż trzech dygestoriów do prac laboratoryjnych</w:t>
      </w:r>
      <w:r w:rsidR="003621A6">
        <w:rPr>
          <w:rFonts w:asciiTheme="minorHAnsi" w:hAnsiTheme="minorHAnsi" w:cstheme="minorHAnsi"/>
          <w:b/>
          <w:sz w:val="20"/>
          <w:szCs w:val="20"/>
        </w:rPr>
        <w:t>”</w:t>
      </w:r>
    </w:p>
    <w:p w14:paraId="63467A29" w14:textId="37E65B7D" w:rsidR="002F1CE9" w:rsidRDefault="002F1CE9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02E24428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784A22E6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3621A6">
        <w:rPr>
          <w:rFonts w:asciiTheme="minorHAnsi" w:hAnsiTheme="minorHAnsi" w:cstheme="minorHAnsi"/>
          <w:b/>
          <w:sz w:val="20"/>
          <w:szCs w:val="20"/>
        </w:rPr>
        <w:t>1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3621A6">
        <w:rPr>
          <w:rFonts w:asciiTheme="minorHAnsi" w:hAnsiTheme="minorHAnsi" w:cstheme="minorHAnsi"/>
          <w:b/>
          <w:sz w:val="20"/>
          <w:szCs w:val="20"/>
        </w:rPr>
        <w:t>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697FF7CE" w14:textId="57AF1B40" w:rsidR="00962F33" w:rsidRPr="008D4F73" w:rsidRDefault="00962F33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_________________________ zł (słownie złotych:____________</w:t>
      </w:r>
      <w:r w:rsidR="00C17F23">
        <w:rPr>
          <w:rFonts w:asciiTheme="minorHAnsi" w:hAnsiTheme="minorHAnsi" w:cstheme="minorHAnsi"/>
          <w:b/>
        </w:rPr>
        <w:t>_________________________</w:t>
      </w:r>
      <w:r w:rsidRPr="008D4F73">
        <w:rPr>
          <w:rFonts w:asciiTheme="minorHAnsi" w:hAnsiTheme="minorHAnsi" w:cstheme="minorHAnsi"/>
          <w:b/>
        </w:rPr>
        <w:t xml:space="preserve">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592AD13B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621A6">
        <w:rPr>
          <w:rFonts w:asciiTheme="minorHAnsi" w:hAnsiTheme="minorHAnsi" w:cstheme="minorHAnsi"/>
          <w:b/>
          <w:i/>
          <w:sz w:val="20"/>
          <w:szCs w:val="20"/>
        </w:rPr>
        <w:t>do 12 tygodni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12975C99" w:rsidR="00962F33" w:rsidRDefault="00962F33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3C8233C" w14:textId="05F96676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BDC6FAB" w14:textId="3D79FEDD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C332FBE" w14:textId="0E8E74CC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A237D5F" w14:textId="6242B7AA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48CD0FF" w14:textId="193903B0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B4F3295" w14:textId="4A31FEDE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B0B78CA" w14:textId="1228AB23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D3A0C19" w14:textId="3A98838A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7FB287E" w14:textId="4DBA56F8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0A74755" w14:textId="46A0BDF5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FA4337A" w14:textId="77777777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A5852FB" w14:textId="77777777" w:rsidR="00436EC6" w:rsidRPr="003D059B" w:rsidRDefault="00436EC6" w:rsidP="00436EC6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1425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10296"/>
      </w:tblGrid>
      <w:tr w:rsidR="00436EC6" w:rsidRPr="003D059B" w14:paraId="222744DE" w14:textId="77777777" w:rsidTr="00EC2BD6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9741F14" w14:textId="77777777" w:rsidR="00436EC6" w:rsidRPr="003D059B" w:rsidRDefault="00436EC6" w:rsidP="00EC2B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10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6D92F71" w14:textId="77777777" w:rsidR="00436EC6" w:rsidRPr="003D059B" w:rsidRDefault="00436EC6" w:rsidP="00EC2B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54FDA81D" w14:textId="77777777" w:rsidR="00436EC6" w:rsidRPr="003D059B" w:rsidRDefault="00436EC6" w:rsidP="00EC2B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5789B471" w14:textId="77777777" w:rsidR="00436EC6" w:rsidRPr="00436EC6" w:rsidRDefault="00436EC6" w:rsidP="00436EC6">
      <w:pPr>
        <w:pStyle w:val="Tekstpodstawowy"/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1" w:name="_GoBack"/>
      <w:r>
        <w:rPr>
          <w:rFonts w:asciiTheme="minorHAnsi" w:hAnsiTheme="minorHAnsi" w:cstheme="minorHAnsi"/>
          <w:b/>
          <w:sz w:val="20"/>
          <w:szCs w:val="20"/>
        </w:rPr>
        <w:t>Dostawa</w:t>
      </w:r>
      <w:r w:rsidRPr="00CE7A8A">
        <w:rPr>
          <w:rFonts w:asciiTheme="minorHAnsi" w:hAnsiTheme="minorHAnsi" w:cstheme="minorHAnsi"/>
          <w:b/>
          <w:sz w:val="20"/>
          <w:szCs w:val="20"/>
        </w:rPr>
        <w:t xml:space="preserve"> i montaż trzech dygestoriów do prac </w:t>
      </w:r>
      <w:r w:rsidRPr="00436EC6">
        <w:rPr>
          <w:rFonts w:ascii="Calibri" w:hAnsi="Calibri" w:cs="Calibri"/>
          <w:b/>
          <w:sz w:val="20"/>
          <w:szCs w:val="20"/>
        </w:rPr>
        <w:t>laboratoryjnych</w:t>
      </w:r>
      <w:bookmarkEnd w:id="1"/>
    </w:p>
    <w:p w14:paraId="58DC2AF1" w14:textId="77777777" w:rsidR="00436EC6" w:rsidRPr="00436EC6" w:rsidRDefault="00436EC6" w:rsidP="00436EC6">
      <w:pPr>
        <w:pStyle w:val="Zwykytekst1"/>
        <w:jc w:val="both"/>
        <w:rPr>
          <w:rFonts w:ascii="Calibri" w:hAnsi="Calibri" w:cs="Calibri"/>
          <w:b/>
          <w:bCs/>
        </w:rPr>
      </w:pPr>
      <w:r w:rsidRPr="00436EC6">
        <w:rPr>
          <w:rFonts w:ascii="Calibri" w:hAnsi="Calibri" w:cs="Calibri"/>
          <w:bCs/>
        </w:rPr>
        <w:t>Znak postępowania:</w:t>
      </w:r>
      <w:r w:rsidRPr="00436EC6">
        <w:rPr>
          <w:rFonts w:ascii="Calibri" w:hAnsi="Calibri" w:cs="Calibri"/>
          <w:b/>
          <w:bCs/>
        </w:rPr>
        <w:t xml:space="preserve"> EZP.270.1.2024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1979"/>
        <w:gridCol w:w="2540"/>
        <w:gridCol w:w="2847"/>
        <w:gridCol w:w="1134"/>
      </w:tblGrid>
      <w:tr w:rsidR="00436EC6" w:rsidRPr="00436EC6" w14:paraId="5EBE2897" w14:textId="77777777" w:rsidTr="00EC2BD6">
        <w:trPr>
          <w:trHeight w:val="928"/>
          <w:tblHeader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1683BDE" w14:textId="77777777" w:rsidR="00436EC6" w:rsidRPr="00436EC6" w:rsidRDefault="00436EC6" w:rsidP="00EC2B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6CD5EBB" w14:textId="77777777" w:rsidR="00436EC6" w:rsidRPr="00436EC6" w:rsidRDefault="00436EC6" w:rsidP="00EC2B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>Elementy wyposażenia i parametry techniczne (zarówno samego Urządzenia,</w:t>
            </w:r>
            <w:r w:rsidRPr="00436E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6FB816C7" w14:textId="77777777" w:rsidR="00436EC6" w:rsidRPr="00436EC6" w:rsidRDefault="00436EC6" w:rsidP="00EC2B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>Wymagania minimalne</w:t>
            </w:r>
            <w:r w:rsidRPr="00436EC6">
              <w:rPr>
                <w:rFonts w:ascii="Calibri" w:eastAsia="Calibri" w:hAnsi="Calibri" w:cs="Calibr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4ED140" w14:textId="77777777" w:rsidR="00436EC6" w:rsidRPr="00436EC6" w:rsidRDefault="00436EC6" w:rsidP="00EC2B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bCs/>
                <w:sz w:val="20"/>
                <w:szCs w:val="20"/>
                <w:lang w:eastAsia="ko-KR"/>
              </w:rPr>
              <w:t>Parametry oferowane (wypełnia Oferent)</w:t>
            </w:r>
            <w:r w:rsidRPr="00436EC6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  <w:lang w:eastAsia="ko-KR"/>
              </w:rPr>
              <w:footnoteReference w:id="14"/>
            </w:r>
            <w:r w:rsidRPr="00436EC6">
              <w:rPr>
                <w:rFonts w:ascii="Calibri" w:hAnsi="Calibri" w:cs="Calibri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436EC6" w:rsidRPr="00436EC6" w14:paraId="3E1D5919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 w:val="restart"/>
            <w:shd w:val="clear" w:color="auto" w:fill="auto"/>
          </w:tcPr>
          <w:p w14:paraId="4028065E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5A8911FF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7845946" w14:textId="77777777" w:rsidR="00436EC6" w:rsidRPr="00436EC6" w:rsidRDefault="00436EC6" w:rsidP="00436EC6">
            <w:pPr>
              <w:pStyle w:val="Akapitzlist"/>
              <w:spacing w:after="60" w:line="240" w:lineRule="auto"/>
              <w:ind w:left="357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urządzenie fabrycznie nowe z bieżącej produkcji seryjnej;</w:t>
            </w:r>
          </w:p>
        </w:tc>
        <w:tc>
          <w:tcPr>
            <w:tcW w:w="1134" w:type="dxa"/>
          </w:tcPr>
          <w:p w14:paraId="0B61B304" w14:textId="77777777" w:rsidR="00436EC6" w:rsidRPr="00436EC6" w:rsidRDefault="00436EC6" w:rsidP="00436EC6">
            <w:pPr>
              <w:pStyle w:val="Akapitzlist"/>
              <w:spacing w:after="60" w:line="240" w:lineRule="auto"/>
              <w:ind w:left="357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57978E2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06EFFA3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F5EB332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F0D6D3E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urządzenie musi być dostarczone w stanie gotowym do pracy: bez konieczności kupna dodatkowych przystawek, okablowania, licencji, urządzeń i narzędzi niezbędnych do jego uruchomienia i prawidłowego funkcjonowania;</w:t>
            </w:r>
          </w:p>
        </w:tc>
        <w:tc>
          <w:tcPr>
            <w:tcW w:w="1134" w:type="dxa"/>
          </w:tcPr>
          <w:p w14:paraId="3124A277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7A4860C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001F6526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F781D9F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E154D28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 (elektrycznych, sanitarnych – dopływ i odpływ wody, gazowych, wentylacji itd., uruchomienie, a także przeszkolenie wskazanych pracowników;</w:t>
            </w:r>
          </w:p>
        </w:tc>
        <w:tc>
          <w:tcPr>
            <w:tcW w:w="1134" w:type="dxa"/>
          </w:tcPr>
          <w:p w14:paraId="223DCB14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5859D8C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3DB754A6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D37396C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AA2CB44" w14:textId="77777777" w:rsidR="00436EC6" w:rsidRPr="00436EC6" w:rsidRDefault="00436EC6" w:rsidP="00436EC6">
            <w:pPr>
              <w:pStyle w:val="Akapitzlist"/>
              <w:spacing w:after="60" w:line="240" w:lineRule="auto"/>
              <w:ind w:left="357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zasilane 230 V;</w:t>
            </w:r>
          </w:p>
        </w:tc>
        <w:tc>
          <w:tcPr>
            <w:tcW w:w="1134" w:type="dxa"/>
          </w:tcPr>
          <w:p w14:paraId="225C99D1" w14:textId="77777777" w:rsidR="00436EC6" w:rsidRPr="00436EC6" w:rsidRDefault="00436EC6" w:rsidP="00436EC6">
            <w:pPr>
              <w:pStyle w:val="Akapitzlist"/>
              <w:spacing w:after="60" w:line="240" w:lineRule="auto"/>
              <w:ind w:left="357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24ADDC9A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01F9EDAA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C1F3227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3D3E022" w14:textId="0991DDBC" w:rsidR="00436EC6" w:rsidRPr="00436EC6" w:rsidRDefault="003B48E1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gwarancja minimum 12</w:t>
            </w:r>
            <w:r w:rsidR="00436EC6"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-miesięczna, zapewniająca bezpłatny serwis gwarancyjny, części zamienne oraz przyjazd serwisu w celu naprawy;</w:t>
            </w:r>
          </w:p>
        </w:tc>
        <w:tc>
          <w:tcPr>
            <w:tcW w:w="1134" w:type="dxa"/>
          </w:tcPr>
          <w:p w14:paraId="724A3A5C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138B2DEB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 w:val="restart"/>
            <w:shd w:val="clear" w:color="auto" w:fill="auto"/>
          </w:tcPr>
          <w:p w14:paraId="3CF4B91E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136E7E15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Wymiary i materiał wykonania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0E7985D" w14:textId="77777777" w:rsidR="00436EC6" w:rsidRPr="00436EC6" w:rsidRDefault="00436EC6" w:rsidP="00436EC6">
            <w:pPr>
              <w:pStyle w:val="Akapitzlist"/>
              <w:spacing w:after="60" w:line="240" w:lineRule="auto"/>
              <w:ind w:left="35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szerokość zewnętrzna 2100 mm;</w:t>
            </w:r>
          </w:p>
        </w:tc>
        <w:tc>
          <w:tcPr>
            <w:tcW w:w="1134" w:type="dxa"/>
          </w:tcPr>
          <w:p w14:paraId="1FCCEC1F" w14:textId="77777777" w:rsidR="00436EC6" w:rsidRPr="00436EC6" w:rsidRDefault="00436EC6" w:rsidP="00436EC6">
            <w:pPr>
              <w:pStyle w:val="Akapitzlist"/>
              <w:spacing w:after="60" w:line="240" w:lineRule="auto"/>
              <w:ind w:left="35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406C48B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5D6D3CE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2C55988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8088F6C" w14:textId="77777777" w:rsidR="00436EC6" w:rsidRPr="00436EC6" w:rsidRDefault="00436EC6" w:rsidP="00436EC6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głębokość zewnętrzna 900 mm;</w:t>
            </w:r>
          </w:p>
        </w:tc>
        <w:tc>
          <w:tcPr>
            <w:tcW w:w="1134" w:type="dxa"/>
          </w:tcPr>
          <w:p w14:paraId="6B72F3FB" w14:textId="77777777" w:rsidR="00436EC6" w:rsidRPr="00436EC6" w:rsidRDefault="00436EC6" w:rsidP="00436EC6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4AED079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02AED2C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7D7E9D1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131B725" w14:textId="77777777" w:rsidR="00436EC6" w:rsidRPr="00436EC6" w:rsidRDefault="00436EC6" w:rsidP="00436EC6">
            <w:pPr>
              <w:pStyle w:val="Akapitzlist"/>
              <w:spacing w:after="60" w:line="240" w:lineRule="auto"/>
              <w:ind w:left="35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wysokość 2500 – 3000 mm;</w:t>
            </w:r>
          </w:p>
        </w:tc>
        <w:tc>
          <w:tcPr>
            <w:tcW w:w="1134" w:type="dxa"/>
          </w:tcPr>
          <w:p w14:paraId="6B4BC419" w14:textId="77777777" w:rsidR="00436EC6" w:rsidRPr="00436EC6" w:rsidRDefault="00436EC6" w:rsidP="00436EC6">
            <w:pPr>
              <w:pStyle w:val="Akapitzlist"/>
              <w:spacing w:after="60" w:line="240" w:lineRule="auto"/>
              <w:ind w:left="35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0381E4D" w14:textId="77777777" w:rsidTr="00EC2BD6">
        <w:tblPrEx>
          <w:shd w:val="clear" w:color="auto" w:fill="DBE5F1" w:themeFill="accent1" w:themeFillTint="33"/>
        </w:tblPrEx>
        <w:trPr>
          <w:trHeight w:val="555"/>
        </w:trPr>
        <w:tc>
          <w:tcPr>
            <w:tcW w:w="885" w:type="dxa"/>
            <w:vMerge/>
            <w:shd w:val="clear" w:color="auto" w:fill="auto"/>
          </w:tcPr>
          <w:p w14:paraId="518084E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A776EAE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2DDDE1A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ściany i stelaż dygestorium wykonane ze stali kwasoodpornej gat. OH18N9 </w:t>
            </w:r>
            <w:r w:rsidRPr="00436EC6">
              <w:rPr>
                <w:rFonts w:ascii="Calibri" w:hAnsi="Calibri" w:cs="Calibri"/>
                <w:sz w:val="20"/>
                <w:szCs w:val="20"/>
              </w:rPr>
              <w:t>dwustronnie pokrytej proszkowo lakierem poliuretanowym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</w:tcPr>
          <w:p w14:paraId="749E83ED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76D1C1D" w14:textId="77777777" w:rsidTr="00EC2BD6">
        <w:tblPrEx>
          <w:shd w:val="clear" w:color="auto" w:fill="DBE5F1" w:themeFill="accent1" w:themeFillTint="33"/>
        </w:tblPrEx>
        <w:trPr>
          <w:trHeight w:val="180"/>
        </w:trPr>
        <w:tc>
          <w:tcPr>
            <w:tcW w:w="885" w:type="dxa"/>
            <w:vMerge/>
            <w:shd w:val="clear" w:color="auto" w:fill="auto"/>
          </w:tcPr>
          <w:p w14:paraId="03EF258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88040D5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B43EC7A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odporność korozyjna blach pokrytych lakierem poliuretanowym, z badania odporności korozyjnej blach, w obojętnej i kwaśnej mgle solnej wg normy PN – EN ISO 9227: 2012 –wskaźniki RP i RA wyglądu wszystkich badanych próbek, według normy PN – EN ISO 10289:2002 mają wynosić nie mniej niż 10,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sękania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, złuszczenia, zardzewienia i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spęcherzenia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, według normy PN-EN ISO 4628:2005, mają wynosić nie więcej niż 0;</w:t>
            </w:r>
          </w:p>
        </w:tc>
        <w:tc>
          <w:tcPr>
            <w:tcW w:w="1134" w:type="dxa"/>
          </w:tcPr>
          <w:p w14:paraId="37D3E7B7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C5ADF65" w14:textId="77777777" w:rsidTr="00EC2BD6">
        <w:tblPrEx>
          <w:shd w:val="clear" w:color="auto" w:fill="DBE5F1" w:themeFill="accent1" w:themeFillTint="33"/>
        </w:tblPrEx>
        <w:trPr>
          <w:trHeight w:val="180"/>
        </w:trPr>
        <w:tc>
          <w:tcPr>
            <w:tcW w:w="885" w:type="dxa"/>
            <w:vMerge/>
            <w:shd w:val="clear" w:color="auto" w:fill="auto"/>
          </w:tcPr>
          <w:p w14:paraId="0FDC6D1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650C134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31098D2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farba proszkowa poliuretanowa użyta do pokrywania blach dygestorium musi posiadać ważną klasyfikację w zakresie reakcji na ogień, o stopniu co najmniej: A2-s1, d0, według normy EN 13501-1;</w:t>
            </w:r>
          </w:p>
        </w:tc>
        <w:tc>
          <w:tcPr>
            <w:tcW w:w="1134" w:type="dxa"/>
          </w:tcPr>
          <w:p w14:paraId="1EC37B38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F29F6BB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55390D8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8C95DE6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023F036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komora robocza dygestorium wykonana w całości ze stali ocynkowanej pokrytej powłoką poliuretanową;</w:t>
            </w:r>
          </w:p>
        </w:tc>
        <w:tc>
          <w:tcPr>
            <w:tcW w:w="1134" w:type="dxa"/>
          </w:tcPr>
          <w:p w14:paraId="6DC30F2C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DA035ED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37EB459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57D8993A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B7B1FD6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króciec do połącznia wentylacji, z zabezpieczeniem przed zalaniem komory dygestorium skroplinami z układu wentylacji i odprowadzeniem skroplin do kanalizacji;</w:t>
            </w:r>
          </w:p>
        </w:tc>
        <w:tc>
          <w:tcPr>
            <w:tcW w:w="1134" w:type="dxa"/>
          </w:tcPr>
          <w:p w14:paraId="2D811F72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455E577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164192F3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CAF438D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ABF58C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możliwość późniejszej rozbudowy o dodatkowe media, bądź gniazdka elektryczne bez konieczność demontażu dygestorium;</w:t>
            </w:r>
          </w:p>
        </w:tc>
        <w:tc>
          <w:tcPr>
            <w:tcW w:w="1134" w:type="dxa"/>
          </w:tcPr>
          <w:p w14:paraId="39BEB5EC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C8C63F5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4E50F20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262C52D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2330AC3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okno z napędem manualnym otwierane pionowo;</w:t>
            </w:r>
          </w:p>
        </w:tc>
        <w:tc>
          <w:tcPr>
            <w:tcW w:w="1134" w:type="dxa"/>
          </w:tcPr>
          <w:p w14:paraId="2B30DC9E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0B55BB6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0E35738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C95AF13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56A3A6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okno przeszklone szybą ze szkła bezpiecznego typu VSG (wielowarstwowego laminowanego: szkło-folia-szkło) o grubości minimum 6 mm;</w:t>
            </w:r>
          </w:p>
        </w:tc>
        <w:tc>
          <w:tcPr>
            <w:tcW w:w="1134" w:type="dxa"/>
          </w:tcPr>
          <w:p w14:paraId="57505AB9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78F54A0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88C37E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6484F4A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F16853A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okno ruchome podnoszone za pomocą przeciwciężaru i sytemu dwóch niezależnych linek kwasoodpornych. Przeciwciężar okna i wszystkie elementy układu podnoszenia okna (linki, przeciwwaga, bloczki) muszą być umieszczone wyłącznie w przednim panelu dygestorium (ponad otworem okiennym) lub w kolumnach z boków okna;</w:t>
            </w:r>
          </w:p>
        </w:tc>
        <w:tc>
          <w:tcPr>
            <w:tcW w:w="1134" w:type="dxa"/>
          </w:tcPr>
          <w:p w14:paraId="3E01D684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C9D932C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0AE73B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F99008D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BB7045A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otwieranie okna musi być ograniczone elektroniczną blokadą bezpieczeństwa na wysokości około 500 mm, z możliwością zmiany jej wysokości;</w:t>
            </w:r>
          </w:p>
        </w:tc>
        <w:tc>
          <w:tcPr>
            <w:tcW w:w="1134" w:type="dxa"/>
          </w:tcPr>
          <w:p w14:paraId="672EE1E9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72D192B8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 w:val="restart"/>
            <w:shd w:val="clear" w:color="auto" w:fill="auto"/>
          </w:tcPr>
          <w:p w14:paraId="1423A533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3685616E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Układ nadzorujący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5F792E0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układ nadzorujący musi być wyposażony w panel sterujący z alfanumerycznym wyświetlaczem LCD;</w:t>
            </w:r>
          </w:p>
        </w:tc>
        <w:tc>
          <w:tcPr>
            <w:tcW w:w="1134" w:type="dxa"/>
          </w:tcPr>
          <w:p w14:paraId="75CA7403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2F090FA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6CF691F4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A4A3A3F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CA95F6D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układ nadzoru musi posiadać funkcję włączania i wyłączania dygestorium, włączenia i wyłączenia oświetlenia komory roboczej dygestorium bez wyłączania dygestorium, wyłączanie alarmu akustycznego;</w:t>
            </w:r>
          </w:p>
        </w:tc>
        <w:tc>
          <w:tcPr>
            <w:tcW w:w="1134" w:type="dxa"/>
          </w:tcPr>
          <w:p w14:paraId="28BE9897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2CAC3FA3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51F6A288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DC621D4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50CCDD5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układ nadzoru musi posiadać funkcję włączania i wyłączania dygestorium, włączenia i wyłączenia oświetlenia komory roboczej dygestorium bez wyłączania dygestorium, wyłączanie alarmu akustycznego;</w:t>
            </w:r>
          </w:p>
        </w:tc>
        <w:tc>
          <w:tcPr>
            <w:tcW w:w="1134" w:type="dxa"/>
          </w:tcPr>
          <w:p w14:paraId="47413C1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2092978B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 w:val="restart"/>
            <w:shd w:val="clear" w:color="auto" w:fill="auto"/>
          </w:tcPr>
          <w:p w14:paraId="671229E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3EDE6D04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Blat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6091415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blat wykonany z ceramiki lanej monolitycznej ze zintegrowanym podwyższonym obrzeżem ze wszystkich stron;</w:t>
            </w:r>
          </w:p>
        </w:tc>
        <w:tc>
          <w:tcPr>
            <w:tcW w:w="1134" w:type="dxa"/>
          </w:tcPr>
          <w:p w14:paraId="55545D78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B241A61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32CC65E5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66DD715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EE1391E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grubość blatu powinna wynosić nie mniej niż 25 mm na całej powierzchni części płaskiej i co najmniej 32 mm wraz z podniesionym obrzeżem;</w:t>
            </w:r>
          </w:p>
        </w:tc>
        <w:tc>
          <w:tcPr>
            <w:tcW w:w="1134" w:type="dxa"/>
          </w:tcPr>
          <w:p w14:paraId="4158EA5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D101F19" w14:textId="77777777" w:rsidTr="00EC2BD6">
        <w:tblPrEx>
          <w:shd w:val="clear" w:color="auto" w:fill="DBE5F1" w:themeFill="accent1" w:themeFillTint="33"/>
        </w:tblPrEx>
        <w:trPr>
          <w:trHeight w:val="191"/>
        </w:trPr>
        <w:tc>
          <w:tcPr>
            <w:tcW w:w="885" w:type="dxa"/>
            <w:vMerge/>
            <w:shd w:val="clear" w:color="auto" w:fill="auto"/>
          </w:tcPr>
          <w:p w14:paraId="0314A2E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9B94896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4227AD5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twardość ceramiki: min 7 w skali Mohsa;</w:t>
            </w:r>
          </w:p>
        </w:tc>
        <w:tc>
          <w:tcPr>
            <w:tcW w:w="1134" w:type="dxa"/>
          </w:tcPr>
          <w:p w14:paraId="19CF3425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94B8856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2E85C9A4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5D955DF6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64287D9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nasiąkliwość średnia nie większa niż 5%;</w:t>
            </w:r>
          </w:p>
        </w:tc>
        <w:tc>
          <w:tcPr>
            <w:tcW w:w="1134" w:type="dxa"/>
          </w:tcPr>
          <w:p w14:paraId="016275BD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1B52C1CE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21BA1952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B6A2811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29006BE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gęstość objętościowa nie mniejsza niż 2,17 g/cm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vertAlign w:val="superscript"/>
                <w:lang w:eastAsia="ar-SA"/>
              </w:rPr>
              <w:t>3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;</w:t>
            </w:r>
            <w:r w:rsidRPr="00436EC6">
              <w:rPr>
                <w:rFonts w:ascii="Calibri" w:eastAsia="Arial" w:hAnsi="Calibri" w:cs="Calibri"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A5F7685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D7BAF81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50E1CE7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1BB2BF0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4915535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średnia otwarta porowatość nie większa niż 10,1%; </w:t>
            </w:r>
          </w:p>
        </w:tc>
        <w:tc>
          <w:tcPr>
            <w:tcW w:w="1134" w:type="dxa"/>
          </w:tcPr>
          <w:p w14:paraId="567E7C84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D20B788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1D08D76F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73D828E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DC67B7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wytrzymałość na zginanie nie mniej niż 44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MPa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</w:tcPr>
          <w:p w14:paraId="127C7EF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6362B97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7B2DAD6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2622FD2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BD1583E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wytrzymałość na ściskanie nie mnisza niż 130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MPa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</w:tcPr>
          <w:p w14:paraId="19330AE8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993C319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77331A5E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E87722B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D33DCB9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obciążenie dopuszczalne blatu, nie mniejsze niż 200 kg;</w:t>
            </w:r>
          </w:p>
        </w:tc>
        <w:tc>
          <w:tcPr>
            <w:tcW w:w="1134" w:type="dxa"/>
          </w:tcPr>
          <w:p w14:paraId="39A77DD9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4582DF2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 w:val="restart"/>
            <w:shd w:val="clear" w:color="auto" w:fill="auto"/>
          </w:tcPr>
          <w:p w14:paraId="64B08B0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63D31397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Szafki na chemikalia nieagresywne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3A36598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szafki ze stali ocynkowanej pokrytej farbą poliuretanową;</w:t>
            </w:r>
          </w:p>
        </w:tc>
        <w:tc>
          <w:tcPr>
            <w:tcW w:w="1134" w:type="dxa"/>
          </w:tcPr>
          <w:p w14:paraId="1E7D349D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1BAC3F16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5E77EA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CF16E35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51DB5ED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zawiasy drzwiczek o kącie otwarcia co najmniej 270°;</w:t>
            </w:r>
          </w:p>
        </w:tc>
        <w:tc>
          <w:tcPr>
            <w:tcW w:w="1134" w:type="dxa"/>
          </w:tcPr>
          <w:p w14:paraId="0FD93AAA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203E09BE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39FCF2BA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7F8AB34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9CCB75D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półki w szafkach muszą posiadać możliwość regulacji wysokości ich zawieszenia;</w:t>
            </w:r>
          </w:p>
        </w:tc>
        <w:tc>
          <w:tcPr>
            <w:tcW w:w="1134" w:type="dxa"/>
          </w:tcPr>
          <w:p w14:paraId="1DA363F2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57887C6F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70874C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A75877B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9DB5D90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szafka na chemikalia, wyposażona w króciec wentylacyjny oraz półki/kuwety, przewód wentylacyjny szafki wyprowadzony narożniku dygestorium, ponad sufit dygestorium;</w:t>
            </w:r>
          </w:p>
        </w:tc>
        <w:tc>
          <w:tcPr>
            <w:tcW w:w="1134" w:type="dxa"/>
          </w:tcPr>
          <w:p w14:paraId="2FA13C06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4AE8E518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 w:val="restart"/>
            <w:shd w:val="clear" w:color="auto" w:fill="auto"/>
          </w:tcPr>
          <w:p w14:paraId="2A1A8864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56EF248A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Przepływy powietrza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F59B586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dygestorium musi skutecznie i bezpiecznie pracować (potwierdzić katalogiem producenta i certyfikatem EN 14175 cz. 3) przy następujących parametrach:</w:t>
            </w:r>
          </w:p>
        </w:tc>
        <w:tc>
          <w:tcPr>
            <w:tcW w:w="1134" w:type="dxa"/>
          </w:tcPr>
          <w:p w14:paraId="1F95A508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CD0067B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63A9A49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E1CB4CF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E51559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minimalny przepływ powietrza (próg alarmu) nie mniejszy niż 500 m</w:t>
            </w:r>
            <w:r w:rsidRPr="00436EC6"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ar-SA"/>
              </w:rPr>
              <w:t>3</w:t>
            </w:r>
            <w:r w:rsidRPr="00436EC6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/h (przy oknie otwartym do pracy roboczej);</w:t>
            </w:r>
          </w:p>
        </w:tc>
        <w:tc>
          <w:tcPr>
            <w:tcW w:w="1134" w:type="dxa"/>
          </w:tcPr>
          <w:p w14:paraId="014E8850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</w:p>
        </w:tc>
      </w:tr>
      <w:tr w:rsidR="00436EC6" w:rsidRPr="00436EC6" w14:paraId="042AF756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139576FA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8020F0A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207D1A5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zalecany przepływ nie większy niż 650 m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vertAlign w:val="superscript"/>
                <w:lang w:eastAsia="ar-SA"/>
              </w:rPr>
              <w:t>3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/h;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0266B4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EFE4A88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 w:val="restart"/>
            <w:shd w:val="clear" w:color="auto" w:fill="auto"/>
          </w:tcPr>
          <w:p w14:paraId="7F5F601A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08F6B8B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 xml:space="preserve">Dodatkowe wyposażenie </w:t>
            </w:r>
          </w:p>
        </w:tc>
        <w:tc>
          <w:tcPr>
            <w:tcW w:w="2540" w:type="dxa"/>
            <w:shd w:val="clear" w:color="auto" w:fill="EEECE1" w:themeFill="background2"/>
          </w:tcPr>
          <w:p w14:paraId="7C17F97F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Wymagania dla 2 dygestoriów: </w:t>
            </w:r>
          </w:p>
        </w:tc>
        <w:tc>
          <w:tcPr>
            <w:tcW w:w="2847" w:type="dxa"/>
            <w:shd w:val="clear" w:color="auto" w:fill="EEECE1" w:themeFill="background2"/>
          </w:tcPr>
          <w:p w14:paraId="3ECB7ADE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Wymagane dla 1 dygestorium: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1F3568B2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1A74046C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5C7E2363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E2080F4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6FFFF15F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zlewik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 ceramiczny; 3 krany z zimną wodą;</w:t>
            </w:r>
          </w:p>
        </w:tc>
        <w:tc>
          <w:tcPr>
            <w:tcW w:w="2847" w:type="dxa"/>
            <w:shd w:val="clear" w:color="auto" w:fill="auto"/>
          </w:tcPr>
          <w:p w14:paraId="48DBB688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u w:val="single"/>
                <w:lang w:eastAsia="ar-SA"/>
              </w:rPr>
              <w:t>Brak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zlewiku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 oraz kranów na wodę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F66456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436EC6" w:rsidRPr="00436EC6" w14:paraId="3D1F0642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6FDA5A2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6C18FD8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EEECE1" w:themeFill="background2"/>
          </w:tcPr>
          <w:p w14:paraId="6AB806BE" w14:textId="77777777" w:rsidR="00436EC6" w:rsidRPr="00436EC6" w:rsidRDefault="00436EC6" w:rsidP="00EC2BD6">
            <w:pPr>
              <w:spacing w:after="60"/>
              <w:jc w:val="center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Wymagania dla wszystkich dygestoriów: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30E7867C" w14:textId="77777777" w:rsidR="00436EC6" w:rsidRPr="00436EC6" w:rsidRDefault="00436EC6" w:rsidP="00EC2BD6">
            <w:pPr>
              <w:spacing w:after="60"/>
              <w:jc w:val="center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2907796A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6A3FE93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0E1E72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56C86CC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1 x statyw chemiczny (kratownica) na tylnej ścianie dygestorium;</w:t>
            </w:r>
          </w:p>
        </w:tc>
        <w:tc>
          <w:tcPr>
            <w:tcW w:w="1134" w:type="dxa"/>
          </w:tcPr>
          <w:p w14:paraId="0F7C2797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24069D17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1EC99BC5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7699A4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94F603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  <w:t>2 x panel z 4 gniazdami elektrycznymi 230V IP 44 wewnątrz komory roboczej, przyciski włącz/wyłącz na zewnątrz dygestorium;</w:t>
            </w:r>
          </w:p>
        </w:tc>
        <w:tc>
          <w:tcPr>
            <w:tcW w:w="1134" w:type="dxa"/>
          </w:tcPr>
          <w:p w14:paraId="252BFFF2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</w:pPr>
          </w:p>
        </w:tc>
      </w:tr>
      <w:tr w:rsidR="00436EC6" w:rsidRPr="00436EC6" w14:paraId="1333BC38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2CC53B59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5827D75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A13A6DB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</w:pPr>
            <w:r w:rsidRPr="00436EC6"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  <w:t>2 x panel z 2 gniazdami elektrycznymi 230V IP 44 na zewnątrz komory;</w:t>
            </w:r>
          </w:p>
        </w:tc>
        <w:tc>
          <w:tcPr>
            <w:tcW w:w="1134" w:type="dxa"/>
          </w:tcPr>
          <w:p w14:paraId="7EF4DF9E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</w:pPr>
          </w:p>
        </w:tc>
      </w:tr>
      <w:tr w:rsidR="00436EC6" w:rsidRPr="00436EC6" w14:paraId="1FBFBCD0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42C861B9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C59C496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AD761D2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36EC6">
              <w:rPr>
                <w:rFonts w:ascii="Calibri" w:hAnsi="Calibri" w:cs="Calibri"/>
                <w:sz w:val="20"/>
                <w:szCs w:val="20"/>
                <w:lang w:eastAsia="pl-PL"/>
              </w:rPr>
              <w:t>lampa oświetlająca komorę roboczą. Dostęp do źródła światła od frontu dygestorium, nie dopuszcza się dostępu od sufitu ani od komory robocze;</w:t>
            </w:r>
          </w:p>
        </w:tc>
        <w:tc>
          <w:tcPr>
            <w:tcW w:w="1134" w:type="dxa"/>
          </w:tcPr>
          <w:p w14:paraId="73D07905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436EC6" w:rsidRPr="00436EC6" w14:paraId="49583C46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19BB451E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057434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EBDABAC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5"/>
              <w:contextualSpacing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1 x zawór do gazów obojętnych o jakości technicznej;</w:t>
            </w:r>
          </w:p>
        </w:tc>
        <w:tc>
          <w:tcPr>
            <w:tcW w:w="1134" w:type="dxa"/>
          </w:tcPr>
          <w:p w14:paraId="7D6FE95B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0691560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590D18C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67C71D8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F28465B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1 x zawór do sprężonego powietrza;</w:t>
            </w:r>
          </w:p>
        </w:tc>
        <w:tc>
          <w:tcPr>
            <w:tcW w:w="1134" w:type="dxa"/>
          </w:tcPr>
          <w:p w14:paraId="571FF78F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3CC1DD1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5A65B0F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A43745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8D3DA37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pod dygestorium zainstalowane szafki na odczynniki chemiczne nieagresywne;</w:t>
            </w:r>
          </w:p>
        </w:tc>
        <w:tc>
          <w:tcPr>
            <w:tcW w:w="1134" w:type="dxa"/>
          </w:tcPr>
          <w:p w14:paraId="5267664B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8CB1873" w14:textId="77777777" w:rsidTr="00EC2BD6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885" w:type="dxa"/>
            <w:vMerge w:val="restart"/>
            <w:shd w:val="clear" w:color="auto" w:fill="auto"/>
          </w:tcPr>
          <w:p w14:paraId="28A0BB36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393AC9C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 xml:space="preserve">Instalacja i szkolenie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F5AC15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instalacja urządzenia wraz ze sprawdzeniem kompatybilności systemu z wentylacją dla pomieszczeń, w których ustawiono dygestoria;</w:t>
            </w:r>
          </w:p>
        </w:tc>
        <w:tc>
          <w:tcPr>
            <w:tcW w:w="1134" w:type="dxa"/>
          </w:tcPr>
          <w:p w14:paraId="77B8D4D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7DCE80A1" w14:textId="77777777" w:rsidTr="00EC2BD6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885" w:type="dxa"/>
            <w:vMerge/>
            <w:shd w:val="clear" w:color="auto" w:fill="auto"/>
          </w:tcPr>
          <w:p w14:paraId="7275B87C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9335C8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271FEC3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szkolenie wyznaczonych pracowników do obsługi systemu;</w:t>
            </w:r>
          </w:p>
        </w:tc>
        <w:tc>
          <w:tcPr>
            <w:tcW w:w="1134" w:type="dxa"/>
          </w:tcPr>
          <w:p w14:paraId="5A475681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2C2AB6A7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shd w:val="clear" w:color="auto" w:fill="auto"/>
          </w:tcPr>
          <w:p w14:paraId="7629A4A9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14:paraId="369ED11F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36EC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5C95121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7 dni roboczych;</w:t>
            </w:r>
          </w:p>
        </w:tc>
        <w:tc>
          <w:tcPr>
            <w:tcW w:w="1134" w:type="dxa"/>
          </w:tcPr>
          <w:p w14:paraId="173A21A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436EC6" w:rsidRPr="00436EC6" w14:paraId="130D4F1D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shd w:val="clear" w:color="auto" w:fill="auto"/>
          </w:tcPr>
          <w:p w14:paraId="7DADDF1C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79" w:type="dxa"/>
            <w:shd w:val="clear" w:color="auto" w:fill="auto"/>
          </w:tcPr>
          <w:p w14:paraId="1255291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8160AD4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sz w:val="20"/>
                <w:szCs w:val="20"/>
                <w:lang w:eastAsia="ar-SA"/>
              </w:rPr>
              <w:t>zamawiający wymaga zagwarantowania obsługi serwisowej w okresie pogwarancyjnym i dostępności części zamiennych przez minimum 8 lat od daty wygaśnięcia gwarancji (tj. 10 lat od zakupu sprzętu);</w:t>
            </w:r>
          </w:p>
        </w:tc>
        <w:tc>
          <w:tcPr>
            <w:tcW w:w="1134" w:type="dxa"/>
          </w:tcPr>
          <w:p w14:paraId="30AA5F0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0A0D9C4" w14:textId="77777777" w:rsidR="00436EC6" w:rsidRPr="00436EC6" w:rsidRDefault="00436EC6" w:rsidP="00436EC6">
      <w:pPr>
        <w:rPr>
          <w:rFonts w:ascii="Calibri" w:hAnsi="Calibri" w:cs="Calibri"/>
          <w:sz w:val="20"/>
          <w:szCs w:val="20"/>
        </w:rPr>
      </w:pPr>
    </w:p>
    <w:p w14:paraId="35CED998" w14:textId="77777777" w:rsidR="00436EC6" w:rsidRPr="00436EC6" w:rsidRDefault="00436EC6" w:rsidP="00436EC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b/>
          <w:sz w:val="20"/>
          <w:szCs w:val="20"/>
        </w:rPr>
      </w:pPr>
      <w:r w:rsidRPr="00436EC6">
        <w:rPr>
          <w:rFonts w:ascii="Calibri" w:hAnsi="Calibri" w:cs="Calibri"/>
          <w:b/>
          <w:sz w:val="20"/>
          <w:szCs w:val="20"/>
        </w:rPr>
        <w:t>Dokumentacja, którą należy złożyć wraz z ofertą</w:t>
      </w:r>
    </w:p>
    <w:p w14:paraId="5B7E6832" w14:textId="77777777" w:rsidR="00436EC6" w:rsidRPr="00436EC6" w:rsidRDefault="00436EC6" w:rsidP="00436EC6">
      <w:pPr>
        <w:autoSpaceDE w:val="0"/>
        <w:autoSpaceDN w:val="0"/>
        <w:adjustRightInd w:val="0"/>
        <w:spacing w:before="100" w:beforeAutospacing="1" w:after="120"/>
        <w:rPr>
          <w:rFonts w:ascii="Calibri" w:hAnsi="Calibri" w:cs="Calibri"/>
          <w:b/>
          <w:bCs/>
          <w:sz w:val="20"/>
          <w:szCs w:val="20"/>
        </w:rPr>
      </w:pPr>
      <w:r w:rsidRPr="00436EC6">
        <w:rPr>
          <w:rFonts w:ascii="Calibri" w:hAnsi="Calibri" w:cs="Calibri"/>
          <w:b/>
          <w:bCs/>
          <w:sz w:val="20"/>
          <w:szCs w:val="20"/>
        </w:rPr>
        <w:t>Blachy ocynkowane pokryte powłoka poliuretanową z których są wykonane dygestoria:</w:t>
      </w:r>
    </w:p>
    <w:p w14:paraId="1B703283" w14:textId="77777777" w:rsidR="00436EC6" w:rsidRPr="00436EC6" w:rsidRDefault="00436EC6" w:rsidP="00436EC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0" w:beforeAutospacing="1" w:after="120" w:line="240" w:lineRule="auto"/>
        <w:ind w:left="714" w:hanging="357"/>
        <w:contextualSpacing/>
        <w:rPr>
          <w:rFonts w:ascii="Calibri" w:hAnsi="Calibri" w:cs="Calibri"/>
          <w:bCs/>
          <w:sz w:val="20"/>
          <w:szCs w:val="20"/>
        </w:rPr>
      </w:pPr>
      <w:r w:rsidRPr="00436EC6">
        <w:rPr>
          <w:rFonts w:ascii="Calibri" w:hAnsi="Calibri" w:cs="Calibri"/>
          <w:bCs/>
          <w:sz w:val="20"/>
          <w:szCs w:val="20"/>
        </w:rPr>
        <w:t xml:space="preserve">Dokument z badania odporności korozyjnej blach ocynkowanych (z których są wykonane stelaże, szafki, szafy belki instalacyjne i przystawki, nadstawki i dygestoria), pokrytych powłoką lakierniczą poliuretanową, w obojętnej i kwaśnej mgle solnej wg normy PN – EN ISO 9227: 2012, gdzie wskaźniki RP i RA wyglądu wszystkich badanych próbek, zgodnie z nomą PN – EN ISO 10289:2002 mają wynosić nie mniej niż 10, zaś wskaźniki spękania, złuszczenia, zardzewienia i </w:t>
      </w:r>
      <w:proofErr w:type="spellStart"/>
      <w:r w:rsidRPr="00436EC6">
        <w:rPr>
          <w:rFonts w:ascii="Calibri" w:hAnsi="Calibri" w:cs="Calibri"/>
          <w:bCs/>
          <w:sz w:val="20"/>
          <w:szCs w:val="20"/>
        </w:rPr>
        <w:t>spęcherzenia</w:t>
      </w:r>
      <w:proofErr w:type="spellEnd"/>
      <w:r w:rsidRPr="00436EC6">
        <w:rPr>
          <w:rFonts w:ascii="Calibri" w:hAnsi="Calibri" w:cs="Calibri"/>
          <w:bCs/>
          <w:sz w:val="20"/>
          <w:szCs w:val="20"/>
        </w:rPr>
        <w:t>, według normy PNEN ISO 4628:2005, mają wynosić nie więcej niż 0. Dokument ten musi dotyczyć wszystkich w/w norm i być wystawiony przez laboratorium akredytowane.</w:t>
      </w:r>
    </w:p>
    <w:p w14:paraId="3A4E9818" w14:textId="77777777" w:rsidR="00436EC6" w:rsidRPr="00436EC6" w:rsidRDefault="00436EC6" w:rsidP="00436EC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0" w:beforeAutospacing="1" w:after="120" w:line="240" w:lineRule="auto"/>
        <w:ind w:left="714" w:hanging="357"/>
        <w:contextualSpacing/>
        <w:rPr>
          <w:rFonts w:ascii="Calibri" w:hAnsi="Calibri" w:cs="Calibri"/>
          <w:bCs/>
          <w:sz w:val="20"/>
          <w:szCs w:val="20"/>
        </w:rPr>
      </w:pPr>
      <w:r w:rsidRPr="00436EC6">
        <w:rPr>
          <w:rFonts w:ascii="Calibri" w:hAnsi="Calibri" w:cs="Calibri"/>
          <w:bCs/>
          <w:sz w:val="20"/>
          <w:szCs w:val="20"/>
        </w:rPr>
        <w:t>Klasyfikację w zakresie reakcji na ogień dla farby poliuretanowej pokrywającej meble, o stopniu, co najmniej: A2-s1, d0, według normy EN 13501-1, wystawioną przez uprawnioną jednostkę notyfikowaną i akredytowaną, którą należy dołączyć do oferty.</w:t>
      </w:r>
    </w:p>
    <w:p w14:paraId="742D95A6" w14:textId="77777777" w:rsidR="00436EC6" w:rsidRPr="00436EC6" w:rsidRDefault="00436EC6" w:rsidP="00436EC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0" w:beforeAutospacing="1" w:after="120" w:line="240" w:lineRule="auto"/>
        <w:ind w:left="714" w:hanging="357"/>
        <w:contextualSpacing/>
        <w:rPr>
          <w:rFonts w:ascii="Calibri" w:hAnsi="Calibri" w:cs="Calibri"/>
          <w:bCs/>
          <w:sz w:val="20"/>
          <w:szCs w:val="20"/>
        </w:rPr>
      </w:pPr>
      <w:r w:rsidRPr="00436EC6">
        <w:rPr>
          <w:rFonts w:ascii="Calibri" w:hAnsi="Calibri" w:cs="Calibri"/>
          <w:bCs/>
          <w:sz w:val="20"/>
          <w:szCs w:val="20"/>
        </w:rPr>
        <w:t>Protokół z badań zgodnie z normą PN EN 2808: 2008, wydany przez akredytowane laboratorium, potwierdzający grubość poliuretanowej powłoki lakierniczej nakładanej proszkowo na blachę ocynkowaną.</w:t>
      </w:r>
    </w:p>
    <w:p w14:paraId="13D305B5" w14:textId="77777777" w:rsidR="00436EC6" w:rsidRPr="00436EC6" w:rsidRDefault="00436EC6" w:rsidP="00436EC6">
      <w:pPr>
        <w:autoSpaceDE w:val="0"/>
        <w:autoSpaceDN w:val="0"/>
        <w:adjustRightInd w:val="0"/>
        <w:spacing w:before="100" w:beforeAutospacing="1" w:after="120"/>
        <w:rPr>
          <w:rFonts w:ascii="Calibri" w:hAnsi="Calibri" w:cs="Calibri"/>
          <w:b/>
          <w:bCs/>
          <w:sz w:val="20"/>
          <w:szCs w:val="20"/>
        </w:rPr>
      </w:pPr>
      <w:r w:rsidRPr="00436EC6">
        <w:rPr>
          <w:rFonts w:ascii="Calibri" w:hAnsi="Calibri" w:cs="Calibri"/>
          <w:b/>
          <w:bCs/>
          <w:sz w:val="20"/>
          <w:szCs w:val="20"/>
        </w:rPr>
        <w:t>Blaty ceramiczne w dygestoriach:</w:t>
      </w:r>
    </w:p>
    <w:p w14:paraId="218EA2BC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Dokument potwierdzający badania odporności termicznej ceramiki, według normy PN-EN ISO 10545-9:1998.</w:t>
      </w:r>
    </w:p>
    <w:p w14:paraId="7805BFB0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 xml:space="preserve"> Dokument potwierdzający badania odporności chemicznej, według normy PN-EN ISO 10545-13:1999.</w:t>
      </w:r>
    </w:p>
    <w:p w14:paraId="0F97C863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Dokument potwierdzający badania odporności na plamienie, według normy PN-EN ISO 10545-14:1999.</w:t>
      </w:r>
    </w:p>
    <w:p w14:paraId="4CEF44C6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Dokument potwierdzający adsorpcję wody, według normy PN-EN ISO 10545-3.</w:t>
      </w:r>
    </w:p>
    <w:p w14:paraId="122E2C5C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lastRenderedPageBreak/>
        <w:t>Dokument potwierdzający odporność na przetarcie powierzchni, minimum 5 klasy, według normy PN-EN ISO 10545-7.</w:t>
      </w:r>
    </w:p>
    <w:p w14:paraId="10688364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Dokument potwierdzający twardość na zarysowania wg skali Mohs, według normy PN-EN 15771,</w:t>
      </w:r>
    </w:p>
    <w:p w14:paraId="14854F20" w14:textId="77777777" w:rsidR="00436EC6" w:rsidRPr="00436EC6" w:rsidRDefault="00436EC6" w:rsidP="00436EC6">
      <w:pPr>
        <w:autoSpaceDE w:val="0"/>
        <w:autoSpaceDN w:val="0"/>
        <w:adjustRightInd w:val="0"/>
        <w:spacing w:before="100" w:beforeAutospacing="1" w:after="120"/>
        <w:rPr>
          <w:rFonts w:ascii="Calibri" w:hAnsi="Calibri" w:cs="Calibri"/>
          <w:b/>
          <w:bCs/>
          <w:sz w:val="20"/>
          <w:szCs w:val="20"/>
        </w:rPr>
      </w:pPr>
      <w:r w:rsidRPr="00436EC6">
        <w:rPr>
          <w:rFonts w:ascii="Calibri" w:hAnsi="Calibri" w:cs="Calibri"/>
          <w:b/>
          <w:bCs/>
          <w:sz w:val="20"/>
          <w:szCs w:val="20"/>
        </w:rPr>
        <w:t>Wymagane dokumenty dla dygestoriów i szafek pod blatem dygestoriów</w:t>
      </w:r>
    </w:p>
    <w:p w14:paraId="59393027" w14:textId="77777777" w:rsidR="00436EC6" w:rsidRPr="00436EC6" w:rsidRDefault="00436EC6" w:rsidP="00436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Dygestoria do prac ogólnych muszą posiadać certyfikat, wystawiony przez niezależne laboratorium, z przeprowadzonego badania zgodności z normą EN 14175 cz. 2 i 3, które należy dołączyć do oferty.</w:t>
      </w:r>
    </w:p>
    <w:p w14:paraId="01F9247C" w14:textId="77777777" w:rsidR="00436EC6" w:rsidRPr="00436EC6" w:rsidRDefault="00436EC6" w:rsidP="00436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Dygestoria muszą posiadać deklaracje zgodności CE, którą należy dołączyć do oferty.</w:t>
      </w:r>
    </w:p>
    <w:p w14:paraId="4DF95421" w14:textId="77777777" w:rsidR="00436EC6" w:rsidRPr="00436EC6" w:rsidRDefault="00436EC6" w:rsidP="00436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Szafki na chemikalia i zwykłe szafki, muszą posiadać certyfikat, wystawiony przez niezależne laboratorium, z przeprowadzonego badania zgodności z normą PN EN 16121+A1, który należy dołączyć do oferty.</w:t>
      </w:r>
    </w:p>
    <w:p w14:paraId="711D60D6" w14:textId="2E0E63A9" w:rsidR="00436EC6" w:rsidRPr="00CA70F0" w:rsidRDefault="0021226A" w:rsidP="00436EC6">
      <w:pPr>
        <w:rPr>
          <w:rFonts w:ascii="Calibri" w:hAnsi="Calibri" w:cs="Calibri"/>
          <w:sz w:val="20"/>
          <w:szCs w:val="20"/>
        </w:rPr>
      </w:pPr>
      <w:bookmarkStart w:id="2" w:name="_Hlk157933508"/>
      <w:r w:rsidRPr="00CA70F0">
        <w:rPr>
          <w:rFonts w:ascii="Calibri" w:hAnsi="Calibri" w:cs="Calibri"/>
          <w:sz w:val="20"/>
          <w:szCs w:val="20"/>
        </w:rPr>
        <w:t xml:space="preserve">Wymagane dokumenty od producenta dygestoriów </w:t>
      </w:r>
    </w:p>
    <w:bookmarkEnd w:id="2"/>
    <w:p w14:paraId="0B12D1AB" w14:textId="77777777" w:rsidR="00CA70F0" w:rsidRPr="00CA70F0" w:rsidRDefault="00CA70F0" w:rsidP="00CA70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A70F0">
        <w:rPr>
          <w:rFonts w:asciiTheme="minorHAnsi" w:hAnsiTheme="minorHAnsi" w:cstheme="minorHAnsi"/>
          <w:sz w:val="20"/>
          <w:szCs w:val="20"/>
        </w:rPr>
        <w:t>Certyfikat dla Systemu Zarządzania wg EN ISO 9001 lub równoważny zaświadczający, że stosuje system zarządzania zgodnie z normą w zakresie projektowania, produkcji i sprzedaży kompleksowego wyposażenia laboratoryjnego;</w:t>
      </w:r>
    </w:p>
    <w:p w14:paraId="6C023654" w14:textId="77777777" w:rsidR="00CA70F0" w:rsidRPr="00CA70F0" w:rsidRDefault="00CA70F0" w:rsidP="00CA70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A70F0">
        <w:rPr>
          <w:rFonts w:asciiTheme="minorHAnsi" w:hAnsiTheme="minorHAnsi" w:cstheme="minorHAnsi"/>
          <w:sz w:val="20"/>
          <w:szCs w:val="20"/>
        </w:rPr>
        <w:t>Certyfikat ISO 45001 lub równoważny dla Systemu Zarządzania Bezpieczeństwem i higieną pracy w zakresie projektowania, produkcji i sprzedaży kompleksowego wyposażenia laboratoryjnego;</w:t>
      </w:r>
    </w:p>
    <w:p w14:paraId="2BEB30F9" w14:textId="77777777" w:rsidR="00CA70F0" w:rsidRPr="00CA70F0" w:rsidRDefault="00CA70F0" w:rsidP="00CA70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A70F0">
        <w:rPr>
          <w:rFonts w:asciiTheme="minorHAnsi" w:hAnsiTheme="minorHAnsi" w:cstheme="minorHAnsi"/>
          <w:sz w:val="20"/>
          <w:szCs w:val="20"/>
        </w:rPr>
        <w:t>Certyfikat dla Systemu Zarządzania wg EN ISO 14001  lub równoważny zaświadczający, że stosuje system zarządzania środowiskiem zgodnie z normą w zakresie projektowania, produkcji i sprzedaży kompleksowego wyposażenia laboratoryjnego;</w:t>
      </w:r>
    </w:p>
    <w:p w14:paraId="78C28F0E" w14:textId="77777777" w:rsidR="00CA70F0" w:rsidRPr="00CA70F0" w:rsidRDefault="00CA70F0" w:rsidP="00CA70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A70F0">
        <w:rPr>
          <w:rFonts w:asciiTheme="minorHAnsi" w:hAnsiTheme="minorHAnsi" w:cstheme="minorHAnsi"/>
          <w:sz w:val="20"/>
          <w:szCs w:val="20"/>
        </w:rPr>
        <w:t>Certyfikat dla Systemu Zarządzania Energią wg EN ISO 50001 lub równoważny zaświadczający, że stosuje  system zarządzania energią zgodnie z normą w zakresie projektowania, produkcji i sprzedaży kompleksowego wyposażenia laboratoryjnego.</w:t>
      </w:r>
    </w:p>
    <w:p w14:paraId="3A5975AB" w14:textId="77777777" w:rsidR="00436EC6" w:rsidRPr="006D12F8" w:rsidRDefault="00436EC6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436EC6" w:rsidRPr="006D12F8" w:rsidSect="009F4C7E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42DE989" w14:textId="16358056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 w:rsidSect="009F4C7E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0E56198E" w:rsidR="00493F68" w:rsidRDefault="003621A6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Dostawa</w:t>
      </w:r>
      <w:r w:rsidRPr="00CE7A8A">
        <w:rPr>
          <w:rFonts w:asciiTheme="minorHAnsi" w:hAnsiTheme="minorHAnsi" w:cstheme="minorHAnsi"/>
          <w:b/>
          <w:sz w:val="20"/>
          <w:szCs w:val="20"/>
        </w:rPr>
        <w:t xml:space="preserve"> i montaż trzech dygestoriów do prac laboratoryjnych</w:t>
      </w:r>
      <w:r w:rsidR="005E44B8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4E1FE1EF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3621A6">
        <w:rPr>
          <w:rFonts w:ascii="Calibri" w:hAnsi="Calibri" w:cs="Calibri"/>
          <w:b/>
          <w:bCs/>
          <w:sz w:val="20"/>
          <w:szCs w:val="20"/>
          <w:lang w:eastAsia="ar-SA"/>
        </w:rPr>
        <w:t>1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3621A6">
        <w:rPr>
          <w:rFonts w:ascii="Calibri" w:hAnsi="Calibri" w:cs="Calibri"/>
          <w:b/>
          <w:bCs/>
          <w:sz w:val="20"/>
          <w:szCs w:val="20"/>
          <w:lang w:eastAsia="ar-SA"/>
        </w:rPr>
        <w:t>2024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F33DCE3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F830EA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F8C358A" w14:textId="77777777" w:rsidR="00436EC6" w:rsidRPr="00436EC6" w:rsidRDefault="00436EC6" w:rsidP="00436EC6">
      <w:pPr>
        <w:pStyle w:val="Zwykytekst1"/>
        <w:spacing w:before="120" w:after="120"/>
        <w:jc w:val="center"/>
        <w:rPr>
          <w:rFonts w:ascii="Calibri" w:hAnsi="Calibri" w:cs="Calibri"/>
          <w:b/>
          <w:bCs/>
        </w:rPr>
      </w:pPr>
    </w:p>
    <w:p w14:paraId="1BAB6B58" w14:textId="77777777" w:rsidR="00436EC6" w:rsidRPr="00436EC6" w:rsidRDefault="00436EC6" w:rsidP="00436EC6">
      <w:pPr>
        <w:pStyle w:val="Zwykytekst1"/>
        <w:jc w:val="both"/>
        <w:rPr>
          <w:rFonts w:ascii="Calibri" w:hAnsi="Calibri" w:cs="Calibri"/>
          <w:b/>
          <w:bCs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BFE3" w14:textId="77777777" w:rsidR="009F4C7E" w:rsidRDefault="009F4C7E" w:rsidP="00962F33">
      <w:r>
        <w:separator/>
      </w:r>
    </w:p>
  </w:endnote>
  <w:endnote w:type="continuationSeparator" w:id="0">
    <w:p w14:paraId="29052E96" w14:textId="77777777" w:rsidR="009F4C7E" w:rsidRDefault="009F4C7E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44611F28" w:rsidR="00EC2BD6" w:rsidRDefault="00EC2BD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3B48E1">
      <w:rPr>
        <w:rStyle w:val="Numerstrony"/>
        <w:rFonts w:ascii="Verdana" w:hAnsi="Verdana" w:cs="Verdana"/>
        <w:b/>
        <w:bCs/>
        <w:noProof/>
      </w:rPr>
      <w:t>27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DFAA" w14:textId="77777777" w:rsidR="009F4C7E" w:rsidRDefault="009F4C7E" w:rsidP="00962F33">
      <w:r>
        <w:separator/>
      </w:r>
    </w:p>
  </w:footnote>
  <w:footnote w:type="continuationSeparator" w:id="0">
    <w:p w14:paraId="100EB4AA" w14:textId="77777777" w:rsidR="009F4C7E" w:rsidRDefault="009F4C7E" w:rsidP="00962F33">
      <w:r>
        <w:continuationSeparator/>
      </w:r>
    </w:p>
  </w:footnote>
  <w:footnote w:id="1">
    <w:p w14:paraId="34CF9D91" w14:textId="5D783A2C" w:rsidR="00EC2BD6" w:rsidRDefault="00EC2BD6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EC2BD6" w:rsidRDefault="00EC2BD6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482A32C" w:rsidR="00EC2BD6" w:rsidRDefault="00EC2BD6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EC2BD6" w:rsidRDefault="00EC2BD6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EC2BD6" w:rsidRDefault="00EC2BD6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EC2BD6" w:rsidRDefault="00EC2BD6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EC2BD6" w:rsidRDefault="00EC2BD6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EC2BD6" w:rsidRDefault="00EC2BD6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EC2BD6" w:rsidRPr="00DC4C42" w:rsidRDefault="00EC2BD6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EC2BD6" w:rsidRDefault="00EC2BD6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EC2BD6" w:rsidRDefault="00EC2BD6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EC2BD6" w:rsidRDefault="00EC2BD6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EC2BD6" w:rsidRDefault="00EC2BD6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EC2BD6" w:rsidRPr="00874DFA" w:rsidRDefault="00EC2BD6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EC2BD6" w:rsidRDefault="00EC2BD6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EC2BD6" w:rsidRDefault="00EC2BD6" w:rsidP="00962F33">
      <w:pPr>
        <w:pStyle w:val="Tekstprzypisudolnego"/>
      </w:pPr>
    </w:p>
  </w:footnote>
  <w:footnote w:id="12">
    <w:p w14:paraId="6C728FBD" w14:textId="77777777" w:rsidR="00EC2BD6" w:rsidRPr="002F6DD9" w:rsidRDefault="00EC2BD6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EC2BD6" w:rsidRPr="002F6DD9" w:rsidRDefault="00EC2BD6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F18E356" w14:textId="77777777" w:rsidR="00EC2BD6" w:rsidRDefault="00EC2BD6" w:rsidP="00436E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0C7B">
        <w:rPr>
          <w:rFonts w:asciiTheme="minorHAnsi" w:hAnsiTheme="minorHAnsi" w:cstheme="minorHAnsi"/>
          <w:bCs/>
          <w:lang w:eastAsia="ko-KR"/>
        </w:rPr>
        <w:t>Wykonawca powinien potwierdzić parametry wymagane</w:t>
      </w:r>
      <w:r w:rsidRPr="00D60C7B">
        <w:rPr>
          <w:rFonts w:asciiTheme="minorHAnsi" w:hAnsiTheme="minorHAnsi" w:cstheme="minorHAnsi"/>
          <w:b/>
          <w:bCs/>
          <w:lang w:eastAsia="ko-KR"/>
        </w:rPr>
        <w:t xml:space="preserve"> </w:t>
      </w:r>
      <w:r w:rsidRPr="00D60C7B">
        <w:rPr>
          <w:rFonts w:asciiTheme="minorHAnsi" w:hAnsiTheme="minorHAnsi" w:cstheme="minorHAnsi"/>
          <w:lang w:eastAsia="ko-KR"/>
        </w:rPr>
        <w:t>przez Zamawiającego przez wpisanie: „tak” lub „jak obok” lub „zgodnie z wymaganiami” oraz w przypadku parametrów lub funkcji innych należy je podać/opisać.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0F5CF058" w:rsidR="00EC2BD6" w:rsidRDefault="00593CFB">
    <w:pPr>
      <w:pStyle w:val="Nagwek"/>
    </w:pPr>
    <w:r>
      <w:rPr>
        <w:noProof/>
      </w:rPr>
      <w:drawing>
        <wp:inline distT="0" distB="0" distL="0" distR="0" wp14:anchorId="0044166E" wp14:editId="00CE1686">
          <wp:extent cx="1943100" cy="7115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310" cy="71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615203">
      <w:rPr>
        <w:noProof/>
      </w:rPr>
      <w:drawing>
        <wp:inline distT="0" distB="0" distL="0" distR="0" wp14:anchorId="7B7D2952" wp14:editId="0BA72854">
          <wp:extent cx="3177540" cy="68580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774EAD"/>
    <w:multiLevelType w:val="hybridMultilevel"/>
    <w:tmpl w:val="62E6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5B4C"/>
    <w:multiLevelType w:val="hybridMultilevel"/>
    <w:tmpl w:val="96887C24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E4D18A7"/>
    <w:multiLevelType w:val="hybridMultilevel"/>
    <w:tmpl w:val="9B0A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184B59"/>
    <w:multiLevelType w:val="hybridMultilevel"/>
    <w:tmpl w:val="C2442828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D8D441F"/>
    <w:multiLevelType w:val="hybridMultilevel"/>
    <w:tmpl w:val="BD365D62"/>
    <w:lvl w:ilvl="0" w:tplc="0D46B7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31"/>
  </w:num>
  <w:num w:numId="5">
    <w:abstractNumId w:val="13"/>
  </w:num>
  <w:num w:numId="6">
    <w:abstractNumId w:val="38"/>
  </w:num>
  <w:num w:numId="7">
    <w:abstractNumId w:val="25"/>
  </w:num>
  <w:num w:numId="8">
    <w:abstractNumId w:val="21"/>
  </w:num>
  <w:num w:numId="9">
    <w:abstractNumId w:val="47"/>
  </w:num>
  <w:num w:numId="10">
    <w:abstractNumId w:val="9"/>
  </w:num>
  <w:num w:numId="11">
    <w:abstractNumId w:val="44"/>
  </w:num>
  <w:num w:numId="12">
    <w:abstractNumId w:val="35"/>
  </w:num>
  <w:num w:numId="13">
    <w:abstractNumId w:val="1"/>
  </w:num>
  <w:num w:numId="14">
    <w:abstractNumId w:val="22"/>
  </w:num>
  <w:num w:numId="15">
    <w:abstractNumId w:val="36"/>
  </w:num>
  <w:num w:numId="16">
    <w:abstractNumId w:val="18"/>
  </w:num>
  <w:num w:numId="17">
    <w:abstractNumId w:val="42"/>
  </w:num>
  <w:num w:numId="18">
    <w:abstractNumId w:val="24"/>
  </w:num>
  <w:num w:numId="19">
    <w:abstractNumId w:val="40"/>
  </w:num>
  <w:num w:numId="20">
    <w:abstractNumId w:val="28"/>
  </w:num>
  <w:num w:numId="21">
    <w:abstractNumId w:val="8"/>
  </w:num>
  <w:num w:numId="22">
    <w:abstractNumId w:val="46"/>
  </w:num>
  <w:num w:numId="23">
    <w:abstractNumId w:val="4"/>
  </w:num>
  <w:num w:numId="24">
    <w:abstractNumId w:val="17"/>
  </w:num>
  <w:num w:numId="25">
    <w:abstractNumId w:val="27"/>
  </w:num>
  <w:num w:numId="26">
    <w:abstractNumId w:val="32"/>
  </w:num>
  <w:num w:numId="27">
    <w:abstractNumId w:val="34"/>
  </w:num>
  <w:num w:numId="28">
    <w:abstractNumId w:val="2"/>
  </w:num>
  <w:num w:numId="29">
    <w:abstractNumId w:val="6"/>
  </w:num>
  <w:num w:numId="30">
    <w:abstractNumId w:val="15"/>
  </w:num>
  <w:num w:numId="31">
    <w:abstractNumId w:val="3"/>
  </w:num>
  <w:num w:numId="32">
    <w:abstractNumId w:val="12"/>
  </w:num>
  <w:num w:numId="33">
    <w:abstractNumId w:val="41"/>
  </w:num>
  <w:num w:numId="34">
    <w:abstractNumId w:val="19"/>
  </w:num>
  <w:num w:numId="35">
    <w:abstractNumId w:val="45"/>
  </w:num>
  <w:num w:numId="36">
    <w:abstractNumId w:val="26"/>
  </w:num>
  <w:num w:numId="37">
    <w:abstractNumId w:val="48"/>
  </w:num>
  <w:num w:numId="38">
    <w:abstractNumId w:val="33"/>
  </w:num>
  <w:num w:numId="39">
    <w:abstractNumId w:val="43"/>
  </w:num>
  <w:num w:numId="40">
    <w:abstractNumId w:val="16"/>
  </w:num>
  <w:num w:numId="41">
    <w:abstractNumId w:val="39"/>
  </w:num>
  <w:num w:numId="42">
    <w:abstractNumId w:val="30"/>
  </w:num>
  <w:num w:numId="43">
    <w:abstractNumId w:val="11"/>
  </w:num>
  <w:num w:numId="44">
    <w:abstractNumId w:val="29"/>
  </w:num>
  <w:num w:numId="45">
    <w:abstractNumId w:val="20"/>
  </w:num>
  <w:num w:numId="46">
    <w:abstractNumId w:val="7"/>
  </w:num>
  <w:num w:numId="47">
    <w:abstractNumId w:val="37"/>
  </w:num>
  <w:num w:numId="48">
    <w:abstractNumId w:val="5"/>
  </w:num>
  <w:num w:numId="49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75FCE"/>
    <w:rsid w:val="00076012"/>
    <w:rsid w:val="00076CFC"/>
    <w:rsid w:val="000835B4"/>
    <w:rsid w:val="00092546"/>
    <w:rsid w:val="000B5EF8"/>
    <w:rsid w:val="000B7BBB"/>
    <w:rsid w:val="000C48E5"/>
    <w:rsid w:val="000D550A"/>
    <w:rsid w:val="00110887"/>
    <w:rsid w:val="00114B5A"/>
    <w:rsid w:val="001307FD"/>
    <w:rsid w:val="001350D0"/>
    <w:rsid w:val="00137563"/>
    <w:rsid w:val="001769D2"/>
    <w:rsid w:val="00185E43"/>
    <w:rsid w:val="00185EA0"/>
    <w:rsid w:val="001A491A"/>
    <w:rsid w:val="001A6297"/>
    <w:rsid w:val="001B2578"/>
    <w:rsid w:val="001D11C5"/>
    <w:rsid w:val="001D2E4B"/>
    <w:rsid w:val="001D3153"/>
    <w:rsid w:val="001F51F6"/>
    <w:rsid w:val="00203539"/>
    <w:rsid w:val="0021226A"/>
    <w:rsid w:val="00221FB9"/>
    <w:rsid w:val="0024616A"/>
    <w:rsid w:val="0026420E"/>
    <w:rsid w:val="0027149B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344C6"/>
    <w:rsid w:val="00341203"/>
    <w:rsid w:val="003553CA"/>
    <w:rsid w:val="003621A6"/>
    <w:rsid w:val="00364737"/>
    <w:rsid w:val="00366CB1"/>
    <w:rsid w:val="0038344E"/>
    <w:rsid w:val="003878D5"/>
    <w:rsid w:val="003A4298"/>
    <w:rsid w:val="003B24E8"/>
    <w:rsid w:val="003B48E1"/>
    <w:rsid w:val="003B4A39"/>
    <w:rsid w:val="003B5C3F"/>
    <w:rsid w:val="003B6436"/>
    <w:rsid w:val="003D75E0"/>
    <w:rsid w:val="003E42D2"/>
    <w:rsid w:val="003F75D8"/>
    <w:rsid w:val="00400E8C"/>
    <w:rsid w:val="00401315"/>
    <w:rsid w:val="004358C3"/>
    <w:rsid w:val="00436EC6"/>
    <w:rsid w:val="00461863"/>
    <w:rsid w:val="00463C8D"/>
    <w:rsid w:val="00463D83"/>
    <w:rsid w:val="00464994"/>
    <w:rsid w:val="00466AD0"/>
    <w:rsid w:val="004863B6"/>
    <w:rsid w:val="00493F68"/>
    <w:rsid w:val="004B5B4C"/>
    <w:rsid w:val="004C6FD6"/>
    <w:rsid w:val="004C7103"/>
    <w:rsid w:val="004E43A9"/>
    <w:rsid w:val="004E615A"/>
    <w:rsid w:val="004F0713"/>
    <w:rsid w:val="004F0EEF"/>
    <w:rsid w:val="005072FE"/>
    <w:rsid w:val="005132AA"/>
    <w:rsid w:val="005168BF"/>
    <w:rsid w:val="00533E72"/>
    <w:rsid w:val="00556ADA"/>
    <w:rsid w:val="00573676"/>
    <w:rsid w:val="00580621"/>
    <w:rsid w:val="005845B5"/>
    <w:rsid w:val="00586419"/>
    <w:rsid w:val="00586BF8"/>
    <w:rsid w:val="00593CFB"/>
    <w:rsid w:val="0059746D"/>
    <w:rsid w:val="005A1913"/>
    <w:rsid w:val="005D10CB"/>
    <w:rsid w:val="005D4610"/>
    <w:rsid w:val="005E44B8"/>
    <w:rsid w:val="00604E5E"/>
    <w:rsid w:val="00612202"/>
    <w:rsid w:val="00624CAA"/>
    <w:rsid w:val="00627388"/>
    <w:rsid w:val="00643705"/>
    <w:rsid w:val="0065736B"/>
    <w:rsid w:val="0067459C"/>
    <w:rsid w:val="00674E15"/>
    <w:rsid w:val="00693E3D"/>
    <w:rsid w:val="006C0522"/>
    <w:rsid w:val="006F0EED"/>
    <w:rsid w:val="006F51A3"/>
    <w:rsid w:val="006F535A"/>
    <w:rsid w:val="00721367"/>
    <w:rsid w:val="00730B39"/>
    <w:rsid w:val="00742ABC"/>
    <w:rsid w:val="007444A6"/>
    <w:rsid w:val="007510A0"/>
    <w:rsid w:val="00751A12"/>
    <w:rsid w:val="00753E83"/>
    <w:rsid w:val="007724C4"/>
    <w:rsid w:val="0077628D"/>
    <w:rsid w:val="00785D15"/>
    <w:rsid w:val="0078628A"/>
    <w:rsid w:val="007963CB"/>
    <w:rsid w:val="00797222"/>
    <w:rsid w:val="007A32E3"/>
    <w:rsid w:val="007A4AFA"/>
    <w:rsid w:val="007B3AF4"/>
    <w:rsid w:val="007F2032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8D7918"/>
    <w:rsid w:val="008E0F3E"/>
    <w:rsid w:val="00907F48"/>
    <w:rsid w:val="009121D0"/>
    <w:rsid w:val="009152DF"/>
    <w:rsid w:val="00915F6A"/>
    <w:rsid w:val="0091727F"/>
    <w:rsid w:val="00920C49"/>
    <w:rsid w:val="00926C11"/>
    <w:rsid w:val="009472B1"/>
    <w:rsid w:val="00962F33"/>
    <w:rsid w:val="009A1F7B"/>
    <w:rsid w:val="009A2FF8"/>
    <w:rsid w:val="009B22F7"/>
    <w:rsid w:val="009D5B26"/>
    <w:rsid w:val="009D6CCD"/>
    <w:rsid w:val="009F46C7"/>
    <w:rsid w:val="009F4C7E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3AF6"/>
    <w:rsid w:val="00A7402B"/>
    <w:rsid w:val="00AA5F90"/>
    <w:rsid w:val="00AB3044"/>
    <w:rsid w:val="00AB4103"/>
    <w:rsid w:val="00AC092C"/>
    <w:rsid w:val="00AC1DD2"/>
    <w:rsid w:val="00AC1F4C"/>
    <w:rsid w:val="00AD2647"/>
    <w:rsid w:val="00AD460F"/>
    <w:rsid w:val="00AE3729"/>
    <w:rsid w:val="00AE6962"/>
    <w:rsid w:val="00AF121F"/>
    <w:rsid w:val="00B05155"/>
    <w:rsid w:val="00B15ED9"/>
    <w:rsid w:val="00B2530B"/>
    <w:rsid w:val="00B436A1"/>
    <w:rsid w:val="00B5073E"/>
    <w:rsid w:val="00B675BA"/>
    <w:rsid w:val="00B9572F"/>
    <w:rsid w:val="00B974D2"/>
    <w:rsid w:val="00BA7C7A"/>
    <w:rsid w:val="00BF6384"/>
    <w:rsid w:val="00C00B4B"/>
    <w:rsid w:val="00C102AB"/>
    <w:rsid w:val="00C17F23"/>
    <w:rsid w:val="00C20FC4"/>
    <w:rsid w:val="00C5179D"/>
    <w:rsid w:val="00C61745"/>
    <w:rsid w:val="00C65C0C"/>
    <w:rsid w:val="00C85C36"/>
    <w:rsid w:val="00CA062C"/>
    <w:rsid w:val="00CA70F0"/>
    <w:rsid w:val="00CB4967"/>
    <w:rsid w:val="00CC1E91"/>
    <w:rsid w:val="00CE280D"/>
    <w:rsid w:val="00CE5F25"/>
    <w:rsid w:val="00CE6176"/>
    <w:rsid w:val="00CE7A8A"/>
    <w:rsid w:val="00CF28BA"/>
    <w:rsid w:val="00D048F1"/>
    <w:rsid w:val="00D051AB"/>
    <w:rsid w:val="00D2120A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E24F4"/>
    <w:rsid w:val="00DF4FE9"/>
    <w:rsid w:val="00DF5A1F"/>
    <w:rsid w:val="00E0525F"/>
    <w:rsid w:val="00E21CA0"/>
    <w:rsid w:val="00E25A37"/>
    <w:rsid w:val="00E27030"/>
    <w:rsid w:val="00E36B70"/>
    <w:rsid w:val="00E62F73"/>
    <w:rsid w:val="00E67952"/>
    <w:rsid w:val="00E70FF6"/>
    <w:rsid w:val="00E725EE"/>
    <w:rsid w:val="00E72827"/>
    <w:rsid w:val="00E80917"/>
    <w:rsid w:val="00E855D3"/>
    <w:rsid w:val="00E92DA5"/>
    <w:rsid w:val="00E93464"/>
    <w:rsid w:val="00EC2BD6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3799C"/>
    <w:rsid w:val="00F55C3E"/>
    <w:rsid w:val="00F6096D"/>
    <w:rsid w:val="00F718E8"/>
    <w:rsid w:val="00F71FBA"/>
    <w:rsid w:val="00F830EA"/>
    <w:rsid w:val="00F840FB"/>
    <w:rsid w:val="00F8565F"/>
    <w:rsid w:val="00FA052C"/>
    <w:rsid w:val="00FB311C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D12A-BFC7-46F6-B740-5EC1F722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28</Pages>
  <Words>8271</Words>
  <Characters>49628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7</cp:revision>
  <cp:lastPrinted>2024-02-05T09:06:00Z</cp:lastPrinted>
  <dcterms:created xsi:type="dcterms:W3CDTF">2024-02-05T08:52:00Z</dcterms:created>
  <dcterms:modified xsi:type="dcterms:W3CDTF">2024-02-06T10:14:00Z</dcterms:modified>
</cp:coreProperties>
</file>