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C9B" w14:textId="77777777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492FE4" w14:textId="08A2D213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CB2E9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Pr="00CB2E9A">
        <w:rPr>
          <w:rFonts w:asciiTheme="minorHAnsi" w:hAnsiTheme="minorHAnsi" w:cstheme="minorHAnsi"/>
          <w:b/>
          <w:sz w:val="20"/>
          <w:szCs w:val="20"/>
        </w:rPr>
        <w:t>D25M/252/US/</w:t>
      </w:r>
      <w:r w:rsidR="00495F81">
        <w:rPr>
          <w:rFonts w:asciiTheme="minorHAnsi" w:hAnsiTheme="minorHAnsi" w:cstheme="minorHAnsi"/>
          <w:b/>
          <w:sz w:val="20"/>
          <w:szCs w:val="20"/>
        </w:rPr>
        <w:t>3</w:t>
      </w:r>
      <w:r w:rsidR="00883438">
        <w:rPr>
          <w:rFonts w:asciiTheme="minorHAnsi" w:hAnsiTheme="minorHAnsi" w:cstheme="minorHAnsi"/>
          <w:b/>
          <w:sz w:val="20"/>
          <w:szCs w:val="20"/>
        </w:rPr>
        <w:t>7</w:t>
      </w:r>
      <w:r w:rsidRPr="00CB2E9A">
        <w:rPr>
          <w:rFonts w:asciiTheme="minorHAnsi" w:hAnsiTheme="minorHAnsi" w:cstheme="minorHAnsi"/>
          <w:b/>
          <w:sz w:val="20"/>
          <w:szCs w:val="20"/>
        </w:rPr>
        <w:t>-</w:t>
      </w:r>
      <w:r w:rsidR="00883438">
        <w:rPr>
          <w:rFonts w:asciiTheme="minorHAnsi" w:hAnsiTheme="minorHAnsi" w:cstheme="minorHAnsi"/>
          <w:b/>
          <w:sz w:val="20"/>
          <w:szCs w:val="20"/>
        </w:rPr>
        <w:t>5</w:t>
      </w:r>
      <w:r w:rsidR="00F5206E">
        <w:rPr>
          <w:rFonts w:asciiTheme="minorHAnsi" w:hAnsiTheme="minorHAnsi" w:cstheme="minorHAnsi"/>
          <w:b/>
          <w:sz w:val="20"/>
          <w:szCs w:val="20"/>
        </w:rPr>
        <w:t>7</w:t>
      </w:r>
      <w:r w:rsidRPr="00CB2E9A">
        <w:rPr>
          <w:rFonts w:asciiTheme="minorHAnsi" w:hAnsiTheme="minorHAnsi" w:cstheme="minorHAnsi"/>
          <w:b/>
          <w:sz w:val="20"/>
          <w:szCs w:val="20"/>
        </w:rPr>
        <w:t>rj/23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E05ECC">
        <w:rPr>
          <w:rFonts w:asciiTheme="minorHAnsi" w:hAnsiTheme="minorHAnsi" w:cstheme="minorHAnsi"/>
          <w:b/>
          <w:sz w:val="20"/>
          <w:szCs w:val="20"/>
        </w:rPr>
        <w:t>21-09</w:t>
      </w:r>
      <w:r w:rsidRPr="00CB2E9A">
        <w:rPr>
          <w:rFonts w:asciiTheme="minorHAnsi" w:hAnsiTheme="minorHAnsi" w:cstheme="minorHAnsi"/>
          <w:b/>
          <w:sz w:val="20"/>
          <w:szCs w:val="20"/>
        </w:rPr>
        <w:t>-2023 r.</w:t>
      </w:r>
    </w:p>
    <w:p w14:paraId="1CBEFF8B" w14:textId="77777777" w:rsidR="00A75972" w:rsidRPr="00CB2E9A" w:rsidRDefault="00A75972" w:rsidP="00A759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665E366F" w14:textId="032153F2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pkt 1) 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ustawy z dnia 11 września 2019 r. Prawo zamówień publicznych (t. j. Dz.  U.  z  202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3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r. poz.   1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605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z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późn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.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zm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);</w:t>
      </w:r>
    </w:p>
    <w:p w14:paraId="475B3058" w14:textId="7777777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05A68A7" w14:textId="77777777" w:rsidR="00A75972" w:rsidRPr="00CB2E9A" w:rsidRDefault="00A75972" w:rsidP="00A759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b/>
          <w:sz w:val="20"/>
          <w:szCs w:val="20"/>
        </w:rPr>
        <w:t>Zamawiający: Szpitale Pomorskie Sp. z o.o. ul. Powstania Styczniowego 1,  81-519 Gdynia</w:t>
      </w:r>
    </w:p>
    <w:p w14:paraId="776D897C" w14:textId="77777777" w:rsidR="00A75972" w:rsidRPr="00CB2E9A" w:rsidRDefault="00A75972" w:rsidP="00A759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CB2E9A">
        <w:rPr>
          <w:rFonts w:asciiTheme="minorHAnsi" w:hAnsiTheme="minorHAnsi" w:cstheme="minorHAnsi"/>
          <w:sz w:val="20"/>
          <w:szCs w:val="20"/>
        </w:rPr>
        <w:t>na:</w:t>
      </w:r>
    </w:p>
    <w:p w14:paraId="40404A71" w14:textId="76ACA36C" w:rsidR="00A75972" w:rsidRPr="00CB2E9A" w:rsidRDefault="00A75972" w:rsidP="00A75972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B2E9A">
        <w:rPr>
          <w:rFonts w:asciiTheme="minorHAnsi" w:hAnsiTheme="minorHAnsi" w:cstheme="minorHAnsi"/>
          <w:b/>
          <w:i/>
          <w:sz w:val="20"/>
          <w:szCs w:val="20"/>
        </w:rPr>
        <w:t xml:space="preserve">Wyłonienie </w:t>
      </w:r>
      <w:r w:rsidR="00671E5A" w:rsidRPr="00671E5A">
        <w:rPr>
          <w:rFonts w:asciiTheme="minorHAnsi" w:hAnsiTheme="minorHAnsi" w:cstheme="minorHAnsi"/>
          <w:b/>
          <w:i/>
          <w:sz w:val="20"/>
          <w:szCs w:val="20"/>
        </w:rPr>
        <w:t>Wykonawcy interwencji zdrowotnej w ramach projektu „Pomorskie wspiera” – szczepienia przeciw pneumokokom w 13 obszarach - powiatach - Miasto Sopot, lęborskim, puckim, kartuskim, kościerskim, bytowskim, starogardzkim, tczewskim, gdańskim, nowodworskim, malborskim, sztumskim i kwidzyńskim</w:t>
      </w:r>
    </w:p>
    <w:p w14:paraId="7D749635" w14:textId="305D2B03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Ogłoszenie o postępowaniu ukazało się na, stronie internetowej Zamawiającego www.szpitalepomorskie.eu, na stronie internetowej Biuletynu Zamówień Publicznych pod numerem 2023/BPZ 00</w:t>
      </w:r>
      <w:r w:rsidR="00120958">
        <w:rPr>
          <w:rFonts w:asciiTheme="minorHAnsi" w:hAnsiTheme="minorHAnsi" w:cstheme="minorHAnsi"/>
          <w:sz w:val="20"/>
          <w:szCs w:val="20"/>
          <w:lang w:val="pl-PL"/>
        </w:rPr>
        <w:t>384249/01</w:t>
      </w:r>
      <w:bookmarkStart w:id="0" w:name="_GoBack"/>
      <w:bookmarkEnd w:id="0"/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z dnia </w:t>
      </w:r>
      <w:r w:rsidR="00120958">
        <w:rPr>
          <w:rFonts w:asciiTheme="minorHAnsi" w:hAnsiTheme="minorHAnsi" w:cstheme="minorHAnsi"/>
          <w:sz w:val="20"/>
          <w:szCs w:val="20"/>
          <w:lang w:val="pl-PL"/>
        </w:rPr>
        <w:t>06-09-2023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r, oraz na stronie internetowej www.platformazakupowa.pl/pn/szpitalepomorskie </w:t>
      </w:r>
    </w:p>
    <w:p w14:paraId="7CB36231" w14:textId="77777777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08CAE438" w14:textId="0D0BF5C6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dopuszczał składanie ofert częściowych – 1</w:t>
      </w:r>
      <w:r w:rsidR="00FA41C0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zadań</w:t>
      </w:r>
    </w:p>
    <w:p w14:paraId="6AA1F9E7" w14:textId="21F33B0A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FA41C0">
        <w:rPr>
          <w:rFonts w:asciiTheme="minorHAnsi" w:hAnsiTheme="minorHAnsi" w:cstheme="minorHAnsi"/>
          <w:sz w:val="20"/>
          <w:szCs w:val="20"/>
          <w:lang w:val="pl-PL"/>
        </w:rPr>
        <w:t>6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62FD10A5" w14:textId="199D9F08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FA41C0">
        <w:rPr>
          <w:rFonts w:asciiTheme="minorHAnsi" w:hAnsiTheme="minorHAnsi" w:cstheme="minorHAnsi"/>
          <w:sz w:val="20"/>
          <w:szCs w:val="20"/>
          <w:lang w:val="pl-PL"/>
        </w:rPr>
        <w:t>8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21748234" w14:textId="6A169126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E05ECC">
        <w:rPr>
          <w:rFonts w:asciiTheme="minorHAnsi" w:hAnsiTheme="minorHAnsi" w:cstheme="minorHAnsi"/>
          <w:sz w:val="20"/>
          <w:szCs w:val="20"/>
          <w:lang w:val="pl-PL"/>
        </w:rPr>
        <w:t>2</w:t>
      </w:r>
    </w:p>
    <w:p w14:paraId="0DB3CCD3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45C57C84" w14:textId="77777777" w:rsidR="00A75972" w:rsidRDefault="00A75972" w:rsidP="00A7597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Informacja o Wykonawcach, którzy złożyli oferty niepodlegające odrzuceniu oraz ilość uzyskanych punktów w kryterium: „Cena”   w wyniku porównania ofert: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CF750F" w:rsidRPr="00CF750F" w14:paraId="751FE6B2" w14:textId="77777777" w:rsidTr="007735D7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013BC56" w14:textId="77777777" w:rsidR="00CF750F" w:rsidRPr="00CF750F" w:rsidRDefault="00CF750F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02D1944" w14:textId="77777777" w:rsidR="00CF750F" w:rsidRPr="00CF750F" w:rsidRDefault="00CF750F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D2F2072" w14:textId="77777777" w:rsidR="00CF750F" w:rsidRPr="00CF750F" w:rsidRDefault="00CF750F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33FC679E" w14:textId="77777777" w:rsidR="00CF750F" w:rsidRPr="00CF750F" w:rsidRDefault="00CF750F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</w:tr>
      <w:tr w:rsidR="00CF750F" w:rsidRPr="00CF750F" w14:paraId="422F7C28" w14:textId="77777777" w:rsidTr="007735D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A79A9" w14:textId="03B75D84" w:rsidR="00CF750F" w:rsidRPr="00CF750F" w:rsidRDefault="002D0CCC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</w:t>
            </w:r>
            <w:r w:rsidR="00CF750F"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6AA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NIEPUBLICZNY ZAKŁAD OPIEKI ZDROWOTNEJ SANMED SPÓŁKA Z OGRANICZONĄ ODPOWIEDZIALNOŚCIĄ</w:t>
            </w:r>
          </w:p>
          <w:p w14:paraId="007E5911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82-500 Kwidzyn, ul. Kołłątaja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8239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17 – 24 000,00 zł</w:t>
            </w:r>
          </w:p>
        </w:tc>
      </w:tr>
      <w:tr w:rsidR="00CF750F" w:rsidRPr="00CF750F" w14:paraId="007446D9" w14:textId="77777777" w:rsidTr="007735D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AD965" w14:textId="74F28B75" w:rsidR="00CF750F" w:rsidRPr="00CF750F" w:rsidRDefault="002D0CCC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</w:t>
            </w:r>
            <w:r w:rsidR="00CF750F"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52B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MEDICAL MEDYCYNA SPÓŁKA Z OGRANICZONĄ ODPOWIEDZIALNOŚCIĄ</w:t>
            </w:r>
          </w:p>
          <w:p w14:paraId="47C2D56B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83-110 Tczew, ul. Wojska Polskiego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38B3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12 – 33 000,00 zł</w:t>
            </w:r>
          </w:p>
          <w:p w14:paraId="56C5E1CD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13 – 30 000,00 zł</w:t>
            </w:r>
          </w:p>
        </w:tc>
      </w:tr>
      <w:tr w:rsidR="00CF750F" w:rsidRPr="00CF750F" w14:paraId="186B35F0" w14:textId="77777777" w:rsidTr="007735D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79CF2" w14:textId="165DB26B" w:rsidR="00CF750F" w:rsidRPr="00CF750F" w:rsidRDefault="002D0CCC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3</w:t>
            </w:r>
            <w:r w:rsidR="00CF750F"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898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NIEPUBLICZNY ZAKŁAD OPIEKI ZDROWOTNEJ "PRZYCHODNIA" SPÓŁKA Z OGRANICZONĄ ODPOWIEDZIALNOŚCIĄ</w:t>
            </w:r>
          </w:p>
          <w:p w14:paraId="60228066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83-400 Kościerzyna, ul. Marii Skłodowskiej-Curie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973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7 – 78 000,00 zł</w:t>
            </w:r>
          </w:p>
        </w:tc>
      </w:tr>
      <w:tr w:rsidR="00CF750F" w:rsidRPr="00CF750F" w14:paraId="34A766EB" w14:textId="77777777" w:rsidTr="007735D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104C3" w14:textId="4139A3D8" w:rsidR="00CF750F" w:rsidRPr="00CF750F" w:rsidRDefault="002D0CCC" w:rsidP="00CF750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4</w:t>
            </w:r>
            <w:r w:rsidR="00CF750F"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F1C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Powiatowe Centrum Zdrowia Sp. z o.o.</w:t>
            </w:r>
          </w:p>
          <w:p w14:paraId="7C84A8B8" w14:textId="77777777" w:rsidR="00CF750F" w:rsidRPr="00CF750F" w:rsidRDefault="00CF750F" w:rsidP="00CF7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 xml:space="preserve"> ul. 500-lecia 23, 82-200 Malbork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9DA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14 – 16 450,00 zł</w:t>
            </w:r>
          </w:p>
          <w:p w14:paraId="0A9FEF2E" w14:textId="77777777" w:rsidR="00CF750F" w:rsidRPr="00CF750F" w:rsidRDefault="00CF750F" w:rsidP="00CF750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CF750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Obszar 15 – 23 030,00 zł</w:t>
            </w:r>
          </w:p>
        </w:tc>
      </w:tr>
    </w:tbl>
    <w:p w14:paraId="327021F1" w14:textId="77777777" w:rsidR="00A75972" w:rsidRPr="00CB2E9A" w:rsidRDefault="00A75972" w:rsidP="00A75972">
      <w:pPr>
        <w:rPr>
          <w:rFonts w:asciiTheme="minorHAnsi" w:hAnsiTheme="minorHAnsi" w:cstheme="minorHAnsi"/>
          <w:sz w:val="20"/>
          <w:szCs w:val="20"/>
        </w:rPr>
      </w:pPr>
    </w:p>
    <w:p w14:paraId="12D2E7A8" w14:textId="77777777" w:rsidR="00A75972" w:rsidRPr="00CB2E9A" w:rsidRDefault="00A75972" w:rsidP="00A7597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wybrał ofertę Wykonawcy:</w:t>
      </w:r>
    </w:p>
    <w:p w14:paraId="400DDEFD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127AD24" w14:textId="25D07FEE" w:rsidR="00310C3A" w:rsidRPr="002D0CCC" w:rsidRDefault="00310C3A" w:rsidP="002D0CCC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2D0CCC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lastRenderedPageBreak/>
        <w:t>Obszar 7</w:t>
      </w:r>
    </w:p>
    <w:p w14:paraId="06505CDD" w14:textId="5AB77C35" w:rsidR="00310C3A" w:rsidRPr="00310C3A" w:rsidRDefault="00310C3A" w:rsidP="00310C3A">
      <w:pPr>
        <w:pStyle w:val="Akapitzlist"/>
        <w:ind w:left="360"/>
        <w:rPr>
          <w:rFonts w:asciiTheme="minorHAnsi" w:eastAsiaTheme="minorHAnsi" w:hAnsiTheme="minorHAnsi" w:cs="Calibri"/>
          <w:color w:val="000000"/>
          <w:sz w:val="20"/>
          <w:szCs w:val="20"/>
          <w:lang w:val="pl-PL"/>
        </w:rPr>
      </w:pPr>
      <w:r w:rsidRPr="00310C3A">
        <w:rPr>
          <w:rFonts w:asciiTheme="minorHAnsi" w:eastAsiaTheme="minorHAnsi" w:hAnsiTheme="minorHAnsi" w:cs="Calibri"/>
          <w:color w:val="000000"/>
          <w:sz w:val="20"/>
          <w:szCs w:val="20"/>
          <w:lang w:val="pl-PL"/>
        </w:rPr>
        <w:t>NIEPUBLICZNY ZAKŁAD OPIEKI ZDROWOTNEJ "PRZYCHODNIA" SPÓŁKA Z OGRANICZONĄ ODPOWIEDZIALNOŚCIĄ</w:t>
      </w:r>
    </w:p>
    <w:p w14:paraId="1A2A4062" w14:textId="54072FE6" w:rsidR="00310C3A" w:rsidRPr="00CB2E9A" w:rsidRDefault="00310C3A" w:rsidP="00310C3A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310C3A">
        <w:rPr>
          <w:rFonts w:asciiTheme="minorHAnsi" w:eastAsiaTheme="minorHAnsi" w:hAnsiTheme="minorHAnsi" w:cs="Calibri"/>
          <w:color w:val="000000"/>
          <w:sz w:val="20"/>
          <w:szCs w:val="20"/>
          <w:lang w:val="pl-PL"/>
        </w:rPr>
        <w:t>83-400 Kościerzyna, ul. Marii Skłodowskiej-Curie 7</w:t>
      </w:r>
    </w:p>
    <w:p w14:paraId="15165DA5" w14:textId="3946B53C" w:rsidR="00A75972" w:rsidRDefault="00310C3A" w:rsidP="00076CB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Cena oferty – 7</w:t>
      </w:r>
      <w:r w:rsidR="00076CB2">
        <w:rPr>
          <w:rFonts w:asciiTheme="minorHAnsi" w:hAnsiTheme="minorHAnsi" w:cstheme="minorHAnsi"/>
          <w:sz w:val="20"/>
          <w:szCs w:val="20"/>
          <w:lang w:val="pl-PL"/>
        </w:rPr>
        <w:t>8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 000,00 zł Liczba punktów w kryterium „Cena” – 100,00 pkt. Łącznie 100,00 pkt Oferta uzyskała najwyższą liczbę punktów w kryterium oceny ofert.   </w:t>
      </w:r>
    </w:p>
    <w:p w14:paraId="68A39AA8" w14:textId="77777777" w:rsidR="00076CB2" w:rsidRPr="00310C3A" w:rsidRDefault="00076CB2" w:rsidP="00076CB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161331ED" w14:textId="4195A19F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Obszar </w:t>
      </w:r>
      <w:r w:rsidR="00FF6B20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17</w:t>
      </w:r>
    </w:p>
    <w:p w14:paraId="2F88A1CE" w14:textId="4BAD71AD" w:rsidR="00FF6B20" w:rsidRPr="00FF6B20" w:rsidRDefault="00FF6B20" w:rsidP="00FF6B2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FF6B20">
        <w:rPr>
          <w:rFonts w:asciiTheme="minorHAnsi" w:hAnsiTheme="minorHAnsi" w:cstheme="minorHAnsi"/>
          <w:sz w:val="20"/>
          <w:szCs w:val="20"/>
          <w:lang w:val="pl-PL"/>
        </w:rPr>
        <w:t>NIEPUBLICZNY ZAKŁAD OPIEKI ZDROWOTNEJ SANMED SPÓŁKA Z OGRANICZONĄ ODPOWIEDZIALNOŚCIĄ</w:t>
      </w:r>
    </w:p>
    <w:p w14:paraId="796F004D" w14:textId="27B43920" w:rsidR="00A75972" w:rsidRPr="00CB2E9A" w:rsidRDefault="00FF6B20" w:rsidP="00FF6B20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FF6B20">
        <w:rPr>
          <w:rFonts w:asciiTheme="minorHAnsi" w:hAnsiTheme="minorHAnsi" w:cstheme="minorHAnsi"/>
          <w:sz w:val="20"/>
          <w:szCs w:val="20"/>
          <w:lang w:val="pl-PL"/>
        </w:rPr>
        <w:t>82-500 Kwidzyn, ul. Kołłątaja 3</w:t>
      </w:r>
    </w:p>
    <w:p w14:paraId="326B7472" w14:textId="3F65505A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Cena oferty – </w:t>
      </w:r>
      <w:r w:rsidR="00FF6B20">
        <w:rPr>
          <w:rFonts w:asciiTheme="minorHAnsi" w:hAnsiTheme="minorHAnsi" w:cstheme="minorHAnsi"/>
          <w:sz w:val="20"/>
          <w:szCs w:val="20"/>
          <w:lang w:val="pl-PL"/>
        </w:rPr>
        <w:t>24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FF6B20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0,00 zł Liczba punktów w kryterium „Cena” – 100,00 pkt. Łącznie 100,00 pkt Oferta uzyskała najwyższą liczbę punktów w kryterium oceny ofert.   </w:t>
      </w:r>
    </w:p>
    <w:p w14:paraId="5F5F1799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5E192EC8" w14:textId="491713AD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Obszar </w:t>
      </w:r>
      <w:r w:rsidR="00DC778A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12</w:t>
      </w:r>
    </w:p>
    <w:p w14:paraId="0724A592" w14:textId="2EDF5479" w:rsidR="00A75972" w:rsidRPr="00DC778A" w:rsidRDefault="00DC778A" w:rsidP="00DC778A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DC778A">
        <w:rPr>
          <w:rFonts w:asciiTheme="minorHAnsi" w:hAnsiTheme="minorHAnsi" w:cstheme="minorHAnsi"/>
          <w:sz w:val="20"/>
          <w:szCs w:val="20"/>
          <w:lang w:val="pl-PL"/>
        </w:rPr>
        <w:t>MEDICAL MEDYCYNA SPÓŁKA Z OGRANICZONĄ ODPOWIEDZIALNOŚCIĄ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DC778A">
        <w:rPr>
          <w:rFonts w:asciiTheme="minorHAnsi" w:hAnsiTheme="minorHAnsi" w:cstheme="minorHAnsi"/>
          <w:sz w:val="20"/>
          <w:szCs w:val="20"/>
          <w:lang w:val="pl-PL"/>
        </w:rPr>
        <w:t>83-110 Tczew, ul. Wojska Polskiego 5</w:t>
      </w:r>
    </w:p>
    <w:p w14:paraId="23F08FA2" w14:textId="791AB615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Cena oferty – </w:t>
      </w:r>
      <w:r w:rsidR="00DC778A">
        <w:rPr>
          <w:rFonts w:asciiTheme="minorHAnsi" w:hAnsiTheme="minorHAnsi" w:cstheme="minorHAnsi"/>
          <w:sz w:val="20"/>
          <w:szCs w:val="20"/>
          <w:lang w:val="pl-PL"/>
        </w:rPr>
        <w:t>33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000,00 zł Liczba punktów w kryterium „Cena” – 100,00 pkt. Łącznie 100,00 pkt Oferta uzyskała najwyższą liczbę punktów w kryterium oceny ofert.   </w:t>
      </w:r>
    </w:p>
    <w:p w14:paraId="5EC2F92A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6895C566" w14:textId="224FFB78" w:rsidR="00DC778A" w:rsidRPr="00CB2E9A" w:rsidRDefault="00DC778A" w:rsidP="00DC778A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Obszar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13</w:t>
      </w:r>
    </w:p>
    <w:p w14:paraId="54C2C859" w14:textId="77777777" w:rsidR="00DC778A" w:rsidRPr="00DC778A" w:rsidRDefault="00DC778A" w:rsidP="00DC778A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DC778A">
        <w:rPr>
          <w:rFonts w:asciiTheme="minorHAnsi" w:hAnsiTheme="minorHAnsi" w:cstheme="minorHAnsi"/>
          <w:sz w:val="20"/>
          <w:szCs w:val="20"/>
          <w:lang w:val="pl-PL"/>
        </w:rPr>
        <w:t>MEDICAL MEDYCYNA SPÓŁKA Z OGRANICZONĄ ODPOWIEDZIALNOŚCIĄ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DC778A">
        <w:rPr>
          <w:rFonts w:asciiTheme="minorHAnsi" w:hAnsiTheme="minorHAnsi" w:cstheme="minorHAnsi"/>
          <w:sz w:val="20"/>
          <w:szCs w:val="20"/>
          <w:lang w:val="pl-PL"/>
        </w:rPr>
        <w:t>83-110 Tczew, ul. Wojska Polskiego 5</w:t>
      </w:r>
    </w:p>
    <w:p w14:paraId="45A86775" w14:textId="5AF2B335" w:rsidR="00DC778A" w:rsidRPr="00310C3A" w:rsidRDefault="00DC778A" w:rsidP="00310C3A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Cena oferty – </w:t>
      </w:r>
      <w:r>
        <w:rPr>
          <w:rFonts w:asciiTheme="minorHAnsi" w:hAnsiTheme="minorHAnsi" w:cstheme="minorHAnsi"/>
          <w:sz w:val="20"/>
          <w:szCs w:val="20"/>
          <w:lang w:val="pl-PL"/>
        </w:rPr>
        <w:t>30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000,00 zł Liczba punktów w kryterium „Cena” – 100,00 pkt. Łącznie 100,00 pkt Oferta uzyskała najwyższą liczbę punktów w kryterium oceny ofert.   </w:t>
      </w:r>
    </w:p>
    <w:p w14:paraId="36BCA886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45CEB982" w14:textId="0B26906C" w:rsidR="00C86288" w:rsidRPr="00C86288" w:rsidRDefault="00A75972" w:rsidP="00C86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informuje, iż umowa dla obszaru </w:t>
      </w:r>
      <w:r w:rsidR="00C86288">
        <w:rPr>
          <w:rFonts w:asciiTheme="minorHAnsi" w:hAnsiTheme="minorHAnsi" w:cstheme="minorHAnsi"/>
          <w:sz w:val="20"/>
          <w:szCs w:val="20"/>
          <w:lang w:val="pl-PL"/>
        </w:rPr>
        <w:t>7,17,12,13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  może zostać zawarta przed upływem terminu na wniesienie środków ochrony prawnej</w:t>
      </w:r>
      <w:r w:rsidR="00C8628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2B5C7F2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42C472CB" w14:textId="2223D999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sz w:val="20"/>
          <w:szCs w:val="20"/>
          <w:u w:val="single"/>
          <w:lang w:val="pl-PL" w:eastAsia="pl-PL"/>
        </w:rPr>
      </w:pP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Zamawiający działając na podstawie art. 260 ust. 1 </w:t>
      </w:r>
      <w:r>
        <w:rPr>
          <w:rFonts w:ascii="Calibri" w:hAnsi="Calibri" w:cs="Calibri"/>
          <w:sz w:val="20"/>
          <w:szCs w:val="20"/>
          <w:lang w:val="pl-PL" w:eastAsia="pl-PL"/>
        </w:rPr>
        <w:t xml:space="preserve">ustawy </w:t>
      </w:r>
      <w:proofErr w:type="spellStart"/>
      <w:r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informuje o </w:t>
      </w:r>
      <w:r w:rsidRPr="00CB2E9A">
        <w:rPr>
          <w:rFonts w:ascii="Calibri" w:hAnsi="Calibri" w:cs="Calibri"/>
          <w:b/>
          <w:sz w:val="20"/>
          <w:szCs w:val="20"/>
          <w:lang w:val="pl-PL" w:eastAsia="pl-PL"/>
        </w:rPr>
        <w:t>unieważnieniu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 postępowania w zakresie zadań - obszarów o </w:t>
      </w:r>
      <w:r w:rsidRPr="00CB2E9A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numerach: </w:t>
      </w:r>
      <w:r w:rsidR="00C86288">
        <w:rPr>
          <w:rFonts w:ascii="Calibri" w:hAnsi="Calibri" w:cs="Calibri"/>
          <w:sz w:val="20"/>
          <w:szCs w:val="20"/>
          <w:u w:val="single"/>
          <w:lang w:val="pl-PL" w:eastAsia="pl-PL"/>
        </w:rPr>
        <w:t>1,4,5,</w:t>
      </w:r>
      <w:r w:rsidR="004308C6">
        <w:rPr>
          <w:rFonts w:ascii="Calibri" w:hAnsi="Calibri" w:cs="Calibri"/>
          <w:sz w:val="20"/>
          <w:szCs w:val="20"/>
          <w:u w:val="single"/>
          <w:lang w:val="pl-PL" w:eastAsia="pl-PL"/>
        </w:rPr>
        <w:t>6,</w:t>
      </w:r>
      <w:r w:rsidR="00C86288">
        <w:rPr>
          <w:rFonts w:ascii="Calibri" w:hAnsi="Calibri" w:cs="Calibri"/>
          <w:sz w:val="20"/>
          <w:szCs w:val="20"/>
          <w:u w:val="single"/>
          <w:lang w:val="pl-PL" w:eastAsia="pl-PL"/>
        </w:rPr>
        <w:t>8,11,16</w:t>
      </w:r>
    </w:p>
    <w:p w14:paraId="0574B489" w14:textId="77777777" w:rsidR="00A75972" w:rsidRPr="00CB2E9A" w:rsidRDefault="00A75972" w:rsidP="00A75972">
      <w:pPr>
        <w:pStyle w:val="Akapitzlist"/>
        <w:ind w:left="0" w:hanging="284"/>
        <w:jc w:val="both"/>
        <w:rPr>
          <w:rFonts w:ascii="Calibri" w:hAnsi="Calibri" w:cs="Calibri"/>
          <w:color w:val="FF0000"/>
          <w:sz w:val="20"/>
          <w:szCs w:val="20"/>
          <w:lang w:val="pl-PL" w:eastAsia="pl-PL"/>
        </w:rPr>
      </w:pPr>
    </w:p>
    <w:p w14:paraId="693E96A0" w14:textId="70E16559" w:rsidR="00A75972" w:rsidRPr="00CB2E9A" w:rsidRDefault="00A75972" w:rsidP="00A75972">
      <w:pPr>
        <w:pStyle w:val="Akapitzlist"/>
        <w:ind w:left="426"/>
        <w:jc w:val="both"/>
        <w:rPr>
          <w:rFonts w:ascii="Calibri" w:hAnsi="Calibri" w:cs="Calibri"/>
          <w:b/>
          <w:sz w:val="20"/>
          <w:szCs w:val="20"/>
          <w:lang w:val="pl-PL" w:eastAsia="pl-PL"/>
        </w:rPr>
      </w:pPr>
      <w:r w:rsidRPr="00CB2E9A">
        <w:rPr>
          <w:rFonts w:ascii="Calibri" w:hAnsi="Calibri" w:cs="Calibri"/>
          <w:b/>
          <w:sz w:val="20"/>
          <w:szCs w:val="20"/>
          <w:lang w:val="pl-PL" w:eastAsia="pl-PL"/>
        </w:rPr>
        <w:t>ZADANIE – obszary  NR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 xml:space="preserve"> 1,4,5,</w:t>
      </w:r>
      <w:r w:rsidR="004308C6">
        <w:rPr>
          <w:rFonts w:ascii="Calibri" w:hAnsi="Calibri" w:cs="Calibri"/>
          <w:b/>
          <w:sz w:val="20"/>
          <w:szCs w:val="20"/>
          <w:lang w:val="pl-PL" w:eastAsia="pl-PL"/>
        </w:rPr>
        <w:t>6,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>8,11,16</w:t>
      </w:r>
    </w:p>
    <w:p w14:paraId="2125746F" w14:textId="77777777" w:rsidR="00A75972" w:rsidRPr="00CB2E9A" w:rsidRDefault="00A75972" w:rsidP="00A75972">
      <w:pPr>
        <w:pStyle w:val="Akapitzlist"/>
        <w:ind w:left="426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CB2E9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34F086EA" w14:textId="5867FFA9" w:rsidR="00A75972" w:rsidRPr="00CB2E9A" w:rsidRDefault="00A75972" w:rsidP="00A75972">
      <w:pPr>
        <w:pStyle w:val="Akapitzlist"/>
        <w:ind w:left="426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CB2E9A">
        <w:rPr>
          <w:rFonts w:ascii="Calibri" w:hAnsi="Calibri" w:cs="Calibri"/>
          <w:bCs/>
          <w:sz w:val="20"/>
          <w:szCs w:val="20"/>
          <w:lang w:val="pl-PL" w:eastAsia="pl-PL"/>
        </w:rPr>
        <w:t>W przedmiotowym postępowaniu w zakresie zadań – obszarów o numerach:</w:t>
      </w:r>
      <w:r w:rsidR="00C86288" w:rsidRPr="00C86288">
        <w:rPr>
          <w:rFonts w:ascii="Calibri" w:hAnsi="Calibri" w:cs="Calibri"/>
          <w:b/>
          <w:sz w:val="20"/>
          <w:szCs w:val="20"/>
          <w:lang w:val="pl-PL" w:eastAsia="pl-PL"/>
        </w:rPr>
        <w:t xml:space="preserve"> 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>1,4,5,</w:t>
      </w:r>
      <w:r w:rsidR="00E05ECC">
        <w:rPr>
          <w:rFonts w:ascii="Calibri" w:hAnsi="Calibri" w:cs="Calibri"/>
          <w:b/>
          <w:sz w:val="20"/>
          <w:szCs w:val="20"/>
          <w:lang w:val="pl-PL" w:eastAsia="pl-PL"/>
        </w:rPr>
        <w:t>6,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>8,11,16</w:t>
      </w:r>
      <w:r w:rsidRPr="00CB2E9A">
        <w:rPr>
          <w:rFonts w:ascii="Calibri" w:hAnsi="Calibri" w:cs="Calibri"/>
          <w:bCs/>
          <w:sz w:val="20"/>
          <w:szCs w:val="20"/>
          <w:lang w:val="pl-PL" w:eastAsia="pl-PL"/>
        </w:rPr>
        <w:t xml:space="preserve">  nie została złożona żadna oferta</w:t>
      </w:r>
      <w:r w:rsidR="00A04553">
        <w:rPr>
          <w:rFonts w:ascii="Calibri" w:hAnsi="Calibri" w:cs="Calibri"/>
          <w:bCs/>
          <w:sz w:val="20"/>
          <w:szCs w:val="20"/>
          <w:lang w:val="pl-PL" w:eastAsia="pl-PL"/>
        </w:rPr>
        <w:t xml:space="preserve"> niepodlagająca odrzuceniu</w:t>
      </w:r>
      <w:r w:rsidRPr="00CB2E9A">
        <w:rPr>
          <w:rFonts w:ascii="Calibri" w:hAnsi="Calibri" w:cs="Calibri"/>
          <w:bCs/>
          <w:sz w:val="20"/>
          <w:szCs w:val="20"/>
          <w:lang w:val="pl-PL" w:eastAsia="pl-PL"/>
        </w:rPr>
        <w:t xml:space="preserve">. </w:t>
      </w:r>
    </w:p>
    <w:p w14:paraId="0A748884" w14:textId="77777777" w:rsidR="00A75972" w:rsidRPr="00CB2E9A" w:rsidRDefault="00A75972" w:rsidP="00A75972">
      <w:pPr>
        <w:pStyle w:val="Akapitzlist"/>
        <w:ind w:left="426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CB2E9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223F0D68" w14:textId="5D7CF5B3" w:rsidR="00C86288" w:rsidRPr="002D0CCC" w:rsidRDefault="00A75972" w:rsidP="002D0CCC">
      <w:pPr>
        <w:pStyle w:val="Akapitzlist"/>
        <w:ind w:left="426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CB2E9A">
        <w:rPr>
          <w:rFonts w:ascii="Calibri" w:hAnsi="Calibri" w:cs="Calibri"/>
          <w:sz w:val="20"/>
          <w:szCs w:val="20"/>
          <w:lang w:val="pl-PL" w:eastAsia="pl-PL"/>
        </w:rPr>
        <w:t>Postępowanie w zakresie zadań - obszarów o numerach</w:t>
      </w:r>
      <w:r w:rsidRPr="00C8195E">
        <w:rPr>
          <w:rFonts w:ascii="Calibri" w:hAnsi="Calibri" w:cs="Calibri"/>
          <w:sz w:val="20"/>
          <w:szCs w:val="20"/>
          <w:u w:val="single"/>
          <w:lang w:val="pl-PL" w:eastAsia="pl-PL"/>
        </w:rPr>
        <w:t>:</w:t>
      </w:r>
      <w:r w:rsidRPr="00C8195E">
        <w:rPr>
          <w:sz w:val="20"/>
          <w:szCs w:val="20"/>
          <w:u w:val="single"/>
          <w:lang w:val="pl-PL"/>
        </w:rPr>
        <w:t xml:space="preserve"> 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>1,4,5,</w:t>
      </w:r>
      <w:r w:rsidR="004308C6">
        <w:rPr>
          <w:rFonts w:ascii="Calibri" w:hAnsi="Calibri" w:cs="Calibri"/>
          <w:b/>
          <w:sz w:val="20"/>
          <w:szCs w:val="20"/>
          <w:lang w:val="pl-PL" w:eastAsia="pl-PL"/>
        </w:rPr>
        <w:t>6,</w:t>
      </w:r>
      <w:r w:rsidR="00C86288">
        <w:rPr>
          <w:rFonts w:ascii="Calibri" w:hAnsi="Calibri" w:cs="Calibri"/>
          <w:b/>
          <w:sz w:val="20"/>
          <w:szCs w:val="20"/>
          <w:lang w:val="pl-PL" w:eastAsia="pl-PL"/>
        </w:rPr>
        <w:t>8,11,16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 zostaje unieważ</w:t>
      </w:r>
      <w:r>
        <w:rPr>
          <w:rFonts w:ascii="Calibri" w:hAnsi="Calibri" w:cs="Calibri"/>
          <w:sz w:val="20"/>
          <w:szCs w:val="20"/>
          <w:lang w:val="pl-PL" w:eastAsia="pl-PL"/>
        </w:rPr>
        <w:t>nione na podstawie art. 255 pkt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 1</w:t>
      </w:r>
      <w:r>
        <w:rPr>
          <w:rFonts w:ascii="Calibri" w:hAnsi="Calibri" w:cs="Calibri"/>
          <w:sz w:val="20"/>
          <w:szCs w:val="20"/>
          <w:lang w:val="pl-PL" w:eastAsia="pl-PL"/>
        </w:rPr>
        <w:t>)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 xml:space="preserve"> ustawy </w:t>
      </w:r>
      <w:proofErr w:type="spellStart"/>
      <w:r w:rsidRPr="00CB2E9A"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 w:rsidRPr="00CB2E9A">
        <w:rPr>
          <w:rFonts w:ascii="Calibri" w:hAnsi="Calibri" w:cs="Calibri"/>
          <w:sz w:val="20"/>
          <w:szCs w:val="20"/>
          <w:lang w:val="pl-PL" w:eastAsia="pl-PL"/>
        </w:rPr>
        <w:t>, ponieważ w zakresie wymienionych zadań - obszarów nie złożono żadnej oferty</w:t>
      </w:r>
      <w:r w:rsidR="00B154B9">
        <w:rPr>
          <w:rFonts w:ascii="Calibri" w:hAnsi="Calibri" w:cs="Calibri"/>
          <w:sz w:val="20"/>
          <w:szCs w:val="20"/>
          <w:lang w:val="pl-PL" w:eastAsia="pl-PL"/>
        </w:rPr>
        <w:t xml:space="preserve"> niepodlegającej odrzuceniu</w:t>
      </w:r>
      <w:r w:rsidRPr="00CB2E9A">
        <w:rPr>
          <w:rFonts w:ascii="Calibri" w:hAnsi="Calibri" w:cs="Calibri"/>
          <w:sz w:val="20"/>
          <w:szCs w:val="20"/>
          <w:lang w:val="pl-PL" w:eastAsia="pl-PL"/>
        </w:rPr>
        <w:t>.</w:t>
      </w:r>
    </w:p>
    <w:p w14:paraId="7F299816" w14:textId="77777777" w:rsidR="00A75972" w:rsidRPr="00CB2E9A" w:rsidRDefault="00A75972" w:rsidP="00A75972">
      <w:pPr>
        <w:pStyle w:val="Akapitzlist"/>
        <w:ind w:left="426"/>
        <w:jc w:val="both"/>
        <w:rPr>
          <w:rFonts w:ascii="Calibri" w:hAnsi="Calibri" w:cs="Calibri"/>
          <w:sz w:val="20"/>
          <w:szCs w:val="20"/>
          <w:lang w:val="pl-PL" w:eastAsia="pl-PL"/>
        </w:rPr>
      </w:pPr>
    </w:p>
    <w:p w14:paraId="1D6B886E" w14:textId="5B5D941E" w:rsidR="00784EFD" w:rsidRPr="002D0CCC" w:rsidRDefault="00A75972" w:rsidP="002D0C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informuje, iż na podstawie art. 226 ust. 1 pkt. 10)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odrzuca ofertę Wykonawcy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w </w:t>
      </w:r>
      <w:r w:rsidR="002D0CCC">
        <w:rPr>
          <w:rFonts w:asciiTheme="minorHAnsi" w:hAnsiTheme="minorHAnsi" w:cstheme="minorHAnsi"/>
          <w:sz w:val="20"/>
          <w:szCs w:val="20"/>
          <w:lang w:val="pl-PL"/>
        </w:rPr>
        <w:t xml:space="preserve">Obszarze </w:t>
      </w:r>
      <w:r w:rsidR="00784EFD">
        <w:rPr>
          <w:rFonts w:asciiTheme="minorHAnsi" w:hAnsiTheme="minorHAnsi" w:cstheme="minorHAnsi"/>
          <w:sz w:val="20"/>
          <w:szCs w:val="20"/>
          <w:lang w:val="pl-PL"/>
        </w:rPr>
        <w:t>7</w:t>
      </w:r>
      <w:r w:rsidR="002D0CCC">
        <w:rPr>
          <w:rFonts w:asciiTheme="minorHAnsi" w:hAnsiTheme="minorHAnsi" w:cstheme="minorHAnsi"/>
          <w:sz w:val="20"/>
          <w:szCs w:val="20"/>
          <w:lang w:val="pl-PL"/>
        </w:rPr>
        <w:t xml:space="preserve"> oraz Obszarze 6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1223BF94" w14:textId="3C36CD37" w:rsidR="00A75972" w:rsidRPr="00A75972" w:rsidRDefault="00784EFD" w:rsidP="00784EFD">
      <w:pPr>
        <w:ind w:firstLine="284"/>
        <w:rPr>
          <w:rFonts w:asciiTheme="minorHAnsi" w:hAnsiTheme="minorHAnsi" w:cstheme="minorHAnsi"/>
          <w:b/>
          <w:sz w:val="20"/>
          <w:szCs w:val="20"/>
        </w:rPr>
      </w:pPr>
      <w:r w:rsidRPr="00784EFD">
        <w:rPr>
          <w:rFonts w:asciiTheme="minorHAnsi" w:hAnsiTheme="minorHAnsi" w:cstheme="minorHAnsi"/>
          <w:b/>
          <w:sz w:val="20"/>
          <w:szCs w:val="20"/>
        </w:rPr>
        <w:t>NOVA Spółka z ograniczoną odpowiedzialnością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4EFD">
        <w:rPr>
          <w:rFonts w:asciiTheme="minorHAnsi" w:hAnsiTheme="minorHAnsi" w:cstheme="minorHAnsi"/>
          <w:b/>
          <w:sz w:val="20"/>
          <w:szCs w:val="20"/>
        </w:rPr>
        <w:t>83-400 Kościerzyna, ul. Piechowskiego 55,</w:t>
      </w:r>
    </w:p>
    <w:p w14:paraId="16CA0C0A" w14:textId="77777777" w:rsidR="00A75972" w:rsidRPr="00A75972" w:rsidRDefault="00A75972" w:rsidP="00A75972">
      <w:pPr>
        <w:pStyle w:val="Akapitzlist"/>
        <w:ind w:left="284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A75972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603CAAE8" w14:textId="357DCC0A" w:rsidR="00A75972" w:rsidRPr="005A028D" w:rsidRDefault="00A75972" w:rsidP="00A75972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A028D">
        <w:rPr>
          <w:rFonts w:asciiTheme="minorHAnsi" w:hAnsiTheme="minorHAnsi" w:cstheme="minorHAnsi"/>
          <w:sz w:val="20"/>
          <w:szCs w:val="20"/>
        </w:rPr>
        <w:t xml:space="preserve">Oferta ww. Wykonawcy zostaje odrzucona  na podstawie art. 226 ust.1 pkt  </w:t>
      </w:r>
      <w:r w:rsidR="005A028D"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A028D">
        <w:rPr>
          <w:rFonts w:asciiTheme="minorHAnsi" w:hAnsiTheme="minorHAnsi" w:cstheme="minorHAnsi"/>
          <w:sz w:val="20"/>
          <w:szCs w:val="20"/>
        </w:rPr>
        <w:t xml:space="preserve">, ponieważ oferta Wykonawcy zawiera błędy w obliczeniu. Zamawiający wymagał </w:t>
      </w:r>
      <w:r w:rsidR="005A028D">
        <w:rPr>
          <w:rFonts w:asciiTheme="minorHAnsi" w:hAnsiTheme="minorHAnsi" w:cstheme="minorHAnsi"/>
          <w:sz w:val="20"/>
          <w:szCs w:val="20"/>
        </w:rPr>
        <w:t xml:space="preserve">dla obszaru 7, aby ilość pacjentów objętych szczepieniem w tym obszarze wynosiła 260 os. Wykonawca w formularzu oferty dokonał wyliczenia kwoty w oparciu o planowaną ilość 200 pacjentów, co jest niezgodne z OPZ Załącznikiem nr do SWZ. </w:t>
      </w:r>
      <w:r w:rsidRPr="005A028D">
        <w:rPr>
          <w:rFonts w:asciiTheme="minorHAnsi" w:hAnsiTheme="minorHAnsi" w:cstheme="minorHAnsi"/>
          <w:sz w:val="20"/>
          <w:szCs w:val="20"/>
        </w:rPr>
        <w:t xml:space="preserve">Zgodnie art. </w:t>
      </w:r>
      <w:r w:rsidRPr="005A028D">
        <w:rPr>
          <w:rFonts w:asciiTheme="minorHAnsi" w:hAnsiTheme="minorHAnsi" w:cstheme="minorHAnsi"/>
          <w:sz w:val="20"/>
          <w:szCs w:val="20"/>
        </w:rPr>
        <w:lastRenderedPageBreak/>
        <w:t xml:space="preserve">226 ust. 1 pkt </w:t>
      </w:r>
      <w:r w:rsidR="005A028D"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A028D">
        <w:rPr>
          <w:rFonts w:asciiTheme="minorHAnsi" w:hAnsiTheme="minorHAnsi" w:cstheme="minorHAnsi"/>
          <w:sz w:val="20"/>
          <w:szCs w:val="20"/>
        </w:rPr>
        <w:t xml:space="preserve"> treść oferty jest niezgodna z warunkami zamówienia co</w:t>
      </w:r>
      <w:r w:rsidRPr="005A028D">
        <w:rPr>
          <w:rFonts w:asciiTheme="minorHAnsi" w:hAnsiTheme="minorHAnsi" w:cstheme="minorHAnsi"/>
          <w:sz w:val="20"/>
          <w:szCs w:val="20"/>
        </w:rPr>
        <w:t xml:space="preserve"> jest podstawą do odrzuceniu oferty</w:t>
      </w:r>
      <w:r w:rsidR="005A028D">
        <w:rPr>
          <w:rFonts w:asciiTheme="minorHAnsi" w:hAnsiTheme="minorHAnsi" w:cstheme="minorHAnsi"/>
          <w:sz w:val="20"/>
          <w:szCs w:val="20"/>
        </w:rPr>
        <w:t>.</w:t>
      </w:r>
    </w:p>
    <w:p w14:paraId="12757DDF" w14:textId="77777777" w:rsidR="00A75972" w:rsidRPr="005A028D" w:rsidRDefault="00A75972" w:rsidP="00A75972">
      <w:pPr>
        <w:pStyle w:val="Akapitzlist"/>
        <w:ind w:left="284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5A028D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2EF875BC" w14:textId="6F71836D" w:rsidR="002D0CCC" w:rsidRPr="002D0CCC" w:rsidRDefault="00A75972" w:rsidP="002D0CC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A028D">
        <w:rPr>
          <w:rFonts w:asciiTheme="minorHAnsi" w:hAnsiTheme="minorHAnsi" w:cstheme="minorHAnsi"/>
          <w:sz w:val="20"/>
          <w:szCs w:val="20"/>
        </w:rPr>
        <w:t xml:space="preserve">Oferta ww. Wykonawcy zostaje odrzucona  na podstawie art. 226 ust.1 pkt  </w:t>
      </w:r>
      <w:r w:rsidR="005A028D"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A028D">
        <w:rPr>
          <w:rFonts w:asciiTheme="minorHAnsi" w:hAnsiTheme="minorHAnsi" w:cstheme="minorHAnsi"/>
          <w:sz w:val="20"/>
          <w:szCs w:val="20"/>
        </w:rPr>
        <w:t xml:space="preserve">, ponieważ oferta Wykonawcy </w:t>
      </w:r>
      <w:r w:rsidR="005E679E">
        <w:rPr>
          <w:rFonts w:asciiTheme="minorHAnsi" w:hAnsiTheme="minorHAnsi" w:cstheme="minorHAnsi"/>
          <w:sz w:val="20"/>
          <w:szCs w:val="20"/>
        </w:rPr>
        <w:t>jest niezgodna z warunkami zamówienia określonymi w Załączniku nr 2 do SWZ.</w:t>
      </w:r>
    </w:p>
    <w:p w14:paraId="0CC97BAD" w14:textId="44E0D58F" w:rsidR="002D0CCC" w:rsidRPr="00A75972" w:rsidRDefault="002D0CCC" w:rsidP="002D0CCC">
      <w:pPr>
        <w:ind w:firstLine="284"/>
        <w:rPr>
          <w:rFonts w:asciiTheme="minorHAnsi" w:hAnsiTheme="minorHAnsi" w:cstheme="minorHAnsi"/>
          <w:b/>
          <w:sz w:val="20"/>
          <w:szCs w:val="20"/>
        </w:rPr>
      </w:pPr>
      <w:r w:rsidRPr="002D0CCC">
        <w:rPr>
          <w:rFonts w:asciiTheme="minorHAnsi" w:hAnsiTheme="minorHAnsi" w:cstheme="minorHAnsi"/>
          <w:b/>
          <w:sz w:val="20"/>
          <w:szCs w:val="20"/>
        </w:rPr>
        <w:t>NIEPUBLICZNY ZAKŁAD OPIEKI ZDROWOTNEJ Nr 1 KRYSTYNA MACH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0CCC">
        <w:rPr>
          <w:rFonts w:asciiTheme="minorHAnsi" w:hAnsiTheme="minorHAnsi" w:cstheme="minorHAnsi"/>
          <w:b/>
          <w:sz w:val="20"/>
          <w:szCs w:val="20"/>
        </w:rPr>
        <w:t xml:space="preserve">83-300 Kartuzy, ul. Jeziorna </w:t>
      </w:r>
    </w:p>
    <w:p w14:paraId="289A4F2D" w14:textId="77777777" w:rsidR="002D0CCC" w:rsidRPr="00A75972" w:rsidRDefault="002D0CCC" w:rsidP="002D0CCC">
      <w:pPr>
        <w:pStyle w:val="Akapitzlist"/>
        <w:ind w:left="284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A75972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42DC3515" w14:textId="6893214D" w:rsidR="002D0CCC" w:rsidRPr="005A028D" w:rsidRDefault="002D0CCC" w:rsidP="002D0CC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A028D">
        <w:rPr>
          <w:rFonts w:asciiTheme="minorHAnsi" w:hAnsiTheme="minorHAnsi" w:cstheme="minorHAnsi"/>
          <w:sz w:val="20"/>
          <w:szCs w:val="20"/>
        </w:rPr>
        <w:t xml:space="preserve">Oferta ww. Wykonawcy zostaje odrzucona  na podstawie art. 226 ust.1 pkt 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A028D">
        <w:rPr>
          <w:rFonts w:asciiTheme="minorHAnsi" w:hAnsiTheme="minorHAnsi" w:cstheme="minorHAnsi"/>
          <w:sz w:val="20"/>
          <w:szCs w:val="20"/>
        </w:rPr>
        <w:t xml:space="preserve">, ponieważ oferta Wykonawcy zawiera błędy w obliczeniu. Zamawiający wymagał </w:t>
      </w:r>
      <w:r>
        <w:rPr>
          <w:rFonts w:asciiTheme="minorHAnsi" w:hAnsiTheme="minorHAnsi" w:cstheme="minorHAnsi"/>
          <w:sz w:val="20"/>
          <w:szCs w:val="20"/>
        </w:rPr>
        <w:t xml:space="preserve">dla obszaru 6, aby ilość pacjentów objętych szczepieniem w tym obszarze wynosiła 70 os. Wykonawca w formularzu oferty dokonał wyliczenia kwoty w oparciu o planowaną ilość 100 pacjentów, co jest niezgodne z OPZ Załącznikiem nr do SWZ. </w:t>
      </w:r>
      <w:r w:rsidRPr="005A028D">
        <w:rPr>
          <w:rFonts w:asciiTheme="minorHAnsi" w:hAnsiTheme="minorHAnsi" w:cstheme="minorHAnsi"/>
          <w:sz w:val="20"/>
          <w:szCs w:val="20"/>
        </w:rPr>
        <w:t xml:space="preserve">Zgodnie art. 226 ust. 1 pkt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treść oferty jest niezgodna z warunkami zamówienia co</w:t>
      </w:r>
      <w:r w:rsidRPr="005A028D">
        <w:rPr>
          <w:rFonts w:asciiTheme="minorHAnsi" w:hAnsiTheme="minorHAnsi" w:cstheme="minorHAnsi"/>
          <w:sz w:val="20"/>
          <w:szCs w:val="20"/>
        </w:rPr>
        <w:t xml:space="preserve"> jest podstawą do odrzuceniu oferty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4ED4843" w14:textId="77777777" w:rsidR="002D0CCC" w:rsidRPr="005A028D" w:rsidRDefault="002D0CCC" w:rsidP="002D0CCC">
      <w:pPr>
        <w:pStyle w:val="Akapitzlist"/>
        <w:ind w:left="284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5A028D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6DF9FFD0" w14:textId="77777777" w:rsidR="002D0CCC" w:rsidRPr="00A75972" w:rsidRDefault="002D0CCC" w:rsidP="002D0CC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A028D">
        <w:rPr>
          <w:rFonts w:asciiTheme="minorHAnsi" w:hAnsiTheme="minorHAnsi" w:cstheme="minorHAnsi"/>
          <w:sz w:val="20"/>
          <w:szCs w:val="20"/>
        </w:rPr>
        <w:t xml:space="preserve">Oferta ww. Wykonawcy zostaje odrzucona  na podstawie art. 226 ust.1 pkt 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5A028D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5A028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A028D">
        <w:rPr>
          <w:rFonts w:asciiTheme="minorHAnsi" w:hAnsiTheme="minorHAnsi" w:cstheme="minorHAnsi"/>
          <w:sz w:val="20"/>
          <w:szCs w:val="20"/>
        </w:rPr>
        <w:t xml:space="preserve">, ponieważ oferta Wykonawcy </w:t>
      </w:r>
      <w:r>
        <w:rPr>
          <w:rFonts w:asciiTheme="minorHAnsi" w:hAnsiTheme="minorHAnsi" w:cstheme="minorHAnsi"/>
          <w:sz w:val="20"/>
          <w:szCs w:val="20"/>
        </w:rPr>
        <w:t>jest niezgodna z warunkami zamówienia określonymi w Załączniku nr 2 do SWZ.</w:t>
      </w:r>
    </w:p>
    <w:p w14:paraId="46055E2A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56FA3B5D" w14:textId="361E08FE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działając na podstawie art. 260 ust. 1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 ustawy </w:t>
      </w:r>
      <w:proofErr w:type="spellStart"/>
      <w:r w:rsidRPr="00CB2E9A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zawiadamia o </w:t>
      </w:r>
      <w:r w:rsidRPr="00AA7FEC">
        <w:rPr>
          <w:rFonts w:asciiTheme="minorHAnsi" w:hAnsiTheme="minorHAnsi" w:cstheme="minorHAnsi"/>
          <w:b/>
          <w:sz w:val="20"/>
          <w:szCs w:val="20"/>
          <w:lang w:val="pl-PL"/>
        </w:rPr>
        <w:t xml:space="preserve">unieważnieniu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postępowania w zakresie zadania – </w:t>
      </w:r>
      <w:r w:rsidRPr="00CB2E9A">
        <w:rPr>
          <w:rFonts w:asciiTheme="minorHAnsi" w:hAnsiTheme="minorHAnsi" w:cstheme="minorHAnsi"/>
          <w:b/>
          <w:sz w:val="20"/>
          <w:szCs w:val="20"/>
          <w:lang w:val="pl-PL"/>
        </w:rPr>
        <w:t xml:space="preserve">obszaru nr </w:t>
      </w:r>
      <w:r w:rsidR="00784EFD">
        <w:rPr>
          <w:rFonts w:asciiTheme="minorHAnsi" w:hAnsiTheme="minorHAnsi" w:cstheme="minorHAnsi"/>
          <w:b/>
          <w:sz w:val="20"/>
          <w:szCs w:val="20"/>
          <w:lang w:val="pl-PL"/>
        </w:rPr>
        <w:t>14</w:t>
      </w:r>
    </w:p>
    <w:p w14:paraId="58C43660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A66E7AC" w14:textId="77777777" w:rsidR="00A75972" w:rsidRPr="00CB2E9A" w:rsidRDefault="00A75972" w:rsidP="00A75972">
      <w:pPr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CB2E9A">
        <w:rPr>
          <w:rFonts w:asciiTheme="minorHAnsi" w:hAnsiTheme="minorHAnsi" w:cstheme="minorHAnsi"/>
          <w:i/>
          <w:sz w:val="20"/>
          <w:szCs w:val="20"/>
          <w:u w:val="single"/>
        </w:rPr>
        <w:t>Uzasadnienie faktyczne unieważnienia postępowania</w:t>
      </w:r>
    </w:p>
    <w:p w14:paraId="58D2B9C7" w14:textId="39C86DD1" w:rsidR="00A75972" w:rsidRPr="00CB2E9A" w:rsidRDefault="00A75972" w:rsidP="00A75972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W przedmiotowym postępowaniu ofertę złożył jeden Wykonawca niepodlegający odrzuceniu. Cena złożonej oferty przewyższa kwotę przeznaczoną na sfinansowanie zamówienia. Cena zaoferowana wyniosła 11</w:t>
      </w:r>
      <w:r w:rsidR="005B6211">
        <w:rPr>
          <w:rFonts w:asciiTheme="minorHAnsi" w:hAnsiTheme="minorHAnsi" w:cstheme="minorHAnsi"/>
          <w:sz w:val="20"/>
          <w:szCs w:val="20"/>
        </w:rPr>
        <w:t>6 450</w:t>
      </w:r>
      <w:r w:rsidRPr="00CB2E9A">
        <w:rPr>
          <w:rFonts w:asciiTheme="minorHAnsi" w:hAnsiTheme="minorHAnsi" w:cstheme="minorHAnsi"/>
          <w:sz w:val="20"/>
          <w:szCs w:val="20"/>
        </w:rPr>
        <w:t xml:space="preserve"> zł, zaś Zamawiający przeznaczył na realizację zamówienia kwotę </w:t>
      </w:r>
      <w:r w:rsidR="005B6211">
        <w:rPr>
          <w:rFonts w:asciiTheme="minorHAnsi" w:hAnsiTheme="minorHAnsi" w:cstheme="minorHAnsi"/>
          <w:sz w:val="20"/>
          <w:szCs w:val="20"/>
        </w:rPr>
        <w:t>15 000</w:t>
      </w:r>
      <w:r w:rsidRPr="00CB2E9A">
        <w:rPr>
          <w:rFonts w:asciiTheme="minorHAnsi" w:hAnsiTheme="minorHAnsi" w:cstheme="minorHAnsi"/>
          <w:sz w:val="20"/>
          <w:szCs w:val="20"/>
        </w:rPr>
        <w:t xml:space="preserve"> zł brutto. Zamawiający nie może zwiększyć kwoty przeznaczonej na realizację zamówienia do ceny najkorzystniejszej oferty.</w:t>
      </w:r>
    </w:p>
    <w:p w14:paraId="272DF0B8" w14:textId="77777777" w:rsidR="00A75972" w:rsidRPr="00CB2E9A" w:rsidRDefault="00A75972" w:rsidP="00A75972">
      <w:pPr>
        <w:pStyle w:val="Akapitzlist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 xml:space="preserve">Uzasadnienie prawne unieważnienia postepowania </w:t>
      </w:r>
    </w:p>
    <w:p w14:paraId="28788C20" w14:textId="77777777" w:rsidR="00A75972" w:rsidRPr="00CB2E9A" w:rsidRDefault="00A75972" w:rsidP="00A75972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Zamawiający działając zgodnie z d</w:t>
      </w:r>
      <w:r>
        <w:rPr>
          <w:rFonts w:asciiTheme="minorHAnsi" w:hAnsiTheme="minorHAnsi" w:cstheme="minorHAnsi"/>
          <w:sz w:val="20"/>
          <w:szCs w:val="20"/>
        </w:rPr>
        <w:t>yspozycją zawartą w art. 255 pkt</w:t>
      </w:r>
      <w:r w:rsidRPr="00CB2E9A">
        <w:rPr>
          <w:rFonts w:asciiTheme="minorHAnsi" w:hAnsiTheme="minorHAnsi" w:cstheme="minorHAnsi"/>
          <w:sz w:val="20"/>
          <w:szCs w:val="20"/>
        </w:rPr>
        <w:t xml:space="preserve"> 3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CB2E9A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CB2E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B2E9A">
        <w:rPr>
          <w:rFonts w:asciiTheme="minorHAnsi" w:hAnsiTheme="minorHAnsi" w:cstheme="minorHAnsi"/>
          <w:sz w:val="20"/>
          <w:szCs w:val="20"/>
        </w:rPr>
        <w:t>, unieważnia postępowanie o udzielenie zamówienia, ponieważ cena najkorzystniejszej oferty przewyższa kwotę, którą Zamawiający zamierza przeznaczyć na sfinansowanie zamówienia.</w:t>
      </w:r>
    </w:p>
    <w:p w14:paraId="33A473D4" w14:textId="2FAE2490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działając na podstawie art. 260 ust. 1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ustawy </w:t>
      </w:r>
      <w:proofErr w:type="spellStart"/>
      <w:r w:rsidRPr="00CB2E9A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zawiadamia o </w:t>
      </w:r>
      <w:r w:rsidRPr="00AA7FEC">
        <w:rPr>
          <w:rFonts w:asciiTheme="minorHAnsi" w:hAnsiTheme="minorHAnsi" w:cstheme="minorHAnsi"/>
          <w:b/>
          <w:sz w:val="20"/>
          <w:szCs w:val="20"/>
          <w:lang w:val="pl-PL"/>
        </w:rPr>
        <w:t xml:space="preserve">unieważnieniu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postępowania w zakresie zadania – </w:t>
      </w:r>
      <w:r w:rsidRPr="00CB2E9A">
        <w:rPr>
          <w:rFonts w:asciiTheme="minorHAnsi" w:hAnsiTheme="minorHAnsi" w:cstheme="minorHAnsi"/>
          <w:b/>
          <w:sz w:val="20"/>
          <w:szCs w:val="20"/>
          <w:lang w:val="pl-PL"/>
        </w:rPr>
        <w:t>obszaru nr 1</w:t>
      </w:r>
      <w:r w:rsidR="005B6211">
        <w:rPr>
          <w:rFonts w:asciiTheme="minorHAnsi" w:hAnsiTheme="minorHAnsi" w:cstheme="minorHAnsi"/>
          <w:b/>
          <w:sz w:val="20"/>
          <w:szCs w:val="20"/>
          <w:lang w:val="pl-PL"/>
        </w:rPr>
        <w:t>5</w:t>
      </w:r>
    </w:p>
    <w:p w14:paraId="46FC5B71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4CC635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>Uzasadnienie faktyczne unieważnienia postępowania</w:t>
      </w:r>
    </w:p>
    <w:p w14:paraId="4E5CB605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</w:p>
    <w:p w14:paraId="55BFC4B1" w14:textId="5EE4AD6A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W przedmiotowym postępowaniu ofertę złożył jeden Wykonawca niepodlegający odrzuceniu. Cena złożonej oferty przewyższa kwotę przeznaczoną na sfinansowanie zamówienia. Cena zaoferowana wyniosła </w:t>
      </w:r>
      <w:r w:rsidR="005B6211">
        <w:rPr>
          <w:rFonts w:asciiTheme="minorHAnsi" w:hAnsiTheme="minorHAnsi" w:cstheme="minorHAnsi"/>
          <w:sz w:val="20"/>
          <w:szCs w:val="20"/>
          <w:lang w:val="pl-PL"/>
        </w:rPr>
        <w:t>23 030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,00 zł, zaś Zamawiający przeznaczył na realizację zamówienia kwotę </w:t>
      </w:r>
      <w:r w:rsidR="005B6211">
        <w:rPr>
          <w:rFonts w:asciiTheme="minorHAnsi" w:hAnsiTheme="minorHAnsi" w:cstheme="minorHAnsi"/>
          <w:sz w:val="20"/>
          <w:szCs w:val="20"/>
          <w:lang w:val="pl-PL"/>
        </w:rPr>
        <w:t>21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000,00 zł brutto. Zamawiający nie może zwiększyć kwoty przeznaczonej na realizację zamówienia do ceny najkorzystniejszej oferty.</w:t>
      </w:r>
    </w:p>
    <w:p w14:paraId="38E9A333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626C0C1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CB2E9A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 xml:space="preserve">Uzasadnienie prawne unieważnienia postepowania </w:t>
      </w:r>
    </w:p>
    <w:p w14:paraId="47BD952A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</w:p>
    <w:p w14:paraId="4F103935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działając zgodnie z dyspozycją zawartą w art. 255 pkt 3</w:t>
      </w:r>
      <w:r>
        <w:rPr>
          <w:rFonts w:asciiTheme="minorHAnsi" w:hAnsiTheme="minorHAnsi" w:cstheme="minorHAnsi"/>
          <w:sz w:val="20"/>
          <w:szCs w:val="20"/>
          <w:lang w:val="pl-PL"/>
        </w:rPr>
        <w:t>)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ustawy </w:t>
      </w:r>
      <w:proofErr w:type="spellStart"/>
      <w:r w:rsidRPr="00CB2E9A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CB2E9A">
        <w:rPr>
          <w:rFonts w:asciiTheme="minorHAnsi" w:hAnsiTheme="minorHAnsi" w:cstheme="minorHAnsi"/>
          <w:sz w:val="20"/>
          <w:szCs w:val="20"/>
          <w:lang w:val="pl-PL"/>
        </w:rPr>
        <w:t>, unieważnia postępowanie o udzielenie zamówienia, ponieważ cena najkorzystniejszej oferty przewyższa kwotę, którą Zamawiający zamierza przeznaczyć na sfinansowanie zamówienia.</w:t>
      </w:r>
    </w:p>
    <w:p w14:paraId="3C6F9500" w14:textId="77777777" w:rsidR="00A75972" w:rsidRPr="00CB2E9A" w:rsidRDefault="00A75972" w:rsidP="00A7597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17687A4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6B3E8D18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59B7CEEC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B8A21A7" w14:textId="77777777" w:rsidR="00A75972" w:rsidRPr="00CB2E9A" w:rsidRDefault="00A75972" w:rsidP="00A75972">
      <w:pPr>
        <w:jc w:val="right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7C0A0900" w14:textId="77777777" w:rsidR="003A52C9" w:rsidRDefault="003A52C9" w:rsidP="003A52C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316A3EC" w14:textId="3049BA34" w:rsidR="008368DE" w:rsidRDefault="008368DE"/>
    <w:sectPr w:rsidR="008368DE" w:rsidSect="00DE33CC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9BB4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2F877EAB" w:rsidR="00AA25B2" w:rsidRPr="00FE0095" w:rsidRDefault="00C2154E" w:rsidP="00FE0095">
    <w:pPr>
      <w:pStyle w:val="Nagwek"/>
    </w:pPr>
    <w:r w:rsidRPr="00F64360">
      <w:rPr>
        <w:noProof/>
        <w:lang w:eastAsia="pl-PL"/>
      </w:rPr>
      <w:drawing>
        <wp:inline distT="0" distB="0" distL="0" distR="0" wp14:anchorId="52C00E47" wp14:editId="4C99CAF3">
          <wp:extent cx="5969000" cy="48895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543A94B6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54BD8"/>
    <w:rsid w:val="0006510A"/>
    <w:rsid w:val="00076CB2"/>
    <w:rsid w:val="00080F7B"/>
    <w:rsid w:val="000930E8"/>
    <w:rsid w:val="000C7EA3"/>
    <w:rsid w:val="000F17BE"/>
    <w:rsid w:val="00100B36"/>
    <w:rsid w:val="00111172"/>
    <w:rsid w:val="00120958"/>
    <w:rsid w:val="00123635"/>
    <w:rsid w:val="00144B8A"/>
    <w:rsid w:val="00145B93"/>
    <w:rsid w:val="00173EEF"/>
    <w:rsid w:val="001A56F1"/>
    <w:rsid w:val="001B60F1"/>
    <w:rsid w:val="001E36A0"/>
    <w:rsid w:val="0020553F"/>
    <w:rsid w:val="002071AE"/>
    <w:rsid w:val="00230860"/>
    <w:rsid w:val="00236BE5"/>
    <w:rsid w:val="002474F2"/>
    <w:rsid w:val="00265C0D"/>
    <w:rsid w:val="00265C5D"/>
    <w:rsid w:val="00280688"/>
    <w:rsid w:val="002A77B1"/>
    <w:rsid w:val="002B069E"/>
    <w:rsid w:val="002C6618"/>
    <w:rsid w:val="002D0CCC"/>
    <w:rsid w:val="002F40B6"/>
    <w:rsid w:val="00310C3A"/>
    <w:rsid w:val="00313A6D"/>
    <w:rsid w:val="00344AD2"/>
    <w:rsid w:val="00353738"/>
    <w:rsid w:val="00375EE9"/>
    <w:rsid w:val="003A52C9"/>
    <w:rsid w:val="003B0116"/>
    <w:rsid w:val="003D48E1"/>
    <w:rsid w:val="003F1129"/>
    <w:rsid w:val="00410688"/>
    <w:rsid w:val="00421721"/>
    <w:rsid w:val="004308C6"/>
    <w:rsid w:val="00464951"/>
    <w:rsid w:val="004656D4"/>
    <w:rsid w:val="004725EA"/>
    <w:rsid w:val="00493EE1"/>
    <w:rsid w:val="00495F81"/>
    <w:rsid w:val="004A68D7"/>
    <w:rsid w:val="004B160F"/>
    <w:rsid w:val="004C265A"/>
    <w:rsid w:val="004C28A5"/>
    <w:rsid w:val="004F7805"/>
    <w:rsid w:val="00515796"/>
    <w:rsid w:val="00522C07"/>
    <w:rsid w:val="0055495B"/>
    <w:rsid w:val="00577C55"/>
    <w:rsid w:val="00581E24"/>
    <w:rsid w:val="00583BF3"/>
    <w:rsid w:val="005A028D"/>
    <w:rsid w:val="005A07CB"/>
    <w:rsid w:val="005A113E"/>
    <w:rsid w:val="005B6211"/>
    <w:rsid w:val="005C1883"/>
    <w:rsid w:val="005E300B"/>
    <w:rsid w:val="005E679E"/>
    <w:rsid w:val="005F3DE9"/>
    <w:rsid w:val="00600476"/>
    <w:rsid w:val="00621006"/>
    <w:rsid w:val="00643AE5"/>
    <w:rsid w:val="006479D4"/>
    <w:rsid w:val="00656E84"/>
    <w:rsid w:val="0066262B"/>
    <w:rsid w:val="00671E5A"/>
    <w:rsid w:val="0069732D"/>
    <w:rsid w:val="006C0014"/>
    <w:rsid w:val="006F06AD"/>
    <w:rsid w:val="006F3DAD"/>
    <w:rsid w:val="007160A1"/>
    <w:rsid w:val="00722BB8"/>
    <w:rsid w:val="00723D13"/>
    <w:rsid w:val="00724842"/>
    <w:rsid w:val="0074051A"/>
    <w:rsid w:val="00742152"/>
    <w:rsid w:val="00774727"/>
    <w:rsid w:val="007762CF"/>
    <w:rsid w:val="00781BC0"/>
    <w:rsid w:val="0078397C"/>
    <w:rsid w:val="00784EFD"/>
    <w:rsid w:val="00785506"/>
    <w:rsid w:val="007920A2"/>
    <w:rsid w:val="007A28CD"/>
    <w:rsid w:val="007B6969"/>
    <w:rsid w:val="007C17CA"/>
    <w:rsid w:val="008114E9"/>
    <w:rsid w:val="00822BAF"/>
    <w:rsid w:val="00835B2F"/>
    <w:rsid w:val="008368DE"/>
    <w:rsid w:val="00850762"/>
    <w:rsid w:val="0086002C"/>
    <w:rsid w:val="008732BE"/>
    <w:rsid w:val="0087346C"/>
    <w:rsid w:val="00875012"/>
    <w:rsid w:val="0088216B"/>
    <w:rsid w:val="00883438"/>
    <w:rsid w:val="008A7366"/>
    <w:rsid w:val="008B012D"/>
    <w:rsid w:val="008B4552"/>
    <w:rsid w:val="008C43D7"/>
    <w:rsid w:val="008C58CD"/>
    <w:rsid w:val="008D06C6"/>
    <w:rsid w:val="008E3119"/>
    <w:rsid w:val="008F26BE"/>
    <w:rsid w:val="00905546"/>
    <w:rsid w:val="00931873"/>
    <w:rsid w:val="00937642"/>
    <w:rsid w:val="0094137C"/>
    <w:rsid w:val="00972C3B"/>
    <w:rsid w:val="00980119"/>
    <w:rsid w:val="00983D8F"/>
    <w:rsid w:val="009B7280"/>
    <w:rsid w:val="009C7756"/>
    <w:rsid w:val="00A04553"/>
    <w:rsid w:val="00A0460F"/>
    <w:rsid w:val="00A06C77"/>
    <w:rsid w:val="00A26C7F"/>
    <w:rsid w:val="00A35A6B"/>
    <w:rsid w:val="00A75972"/>
    <w:rsid w:val="00A96A55"/>
    <w:rsid w:val="00AA25B2"/>
    <w:rsid w:val="00AA6F4D"/>
    <w:rsid w:val="00AC4B71"/>
    <w:rsid w:val="00AC6BBA"/>
    <w:rsid w:val="00AF01FB"/>
    <w:rsid w:val="00AF506F"/>
    <w:rsid w:val="00B13CF8"/>
    <w:rsid w:val="00B154B9"/>
    <w:rsid w:val="00B23ED7"/>
    <w:rsid w:val="00B307C9"/>
    <w:rsid w:val="00B459B2"/>
    <w:rsid w:val="00B5173E"/>
    <w:rsid w:val="00B5234A"/>
    <w:rsid w:val="00B57549"/>
    <w:rsid w:val="00B83E64"/>
    <w:rsid w:val="00BA1A91"/>
    <w:rsid w:val="00BA6AD7"/>
    <w:rsid w:val="00BD23F1"/>
    <w:rsid w:val="00BD481F"/>
    <w:rsid w:val="00BF1751"/>
    <w:rsid w:val="00C066BD"/>
    <w:rsid w:val="00C15463"/>
    <w:rsid w:val="00C20563"/>
    <w:rsid w:val="00C2154E"/>
    <w:rsid w:val="00C4124E"/>
    <w:rsid w:val="00C67E76"/>
    <w:rsid w:val="00C80494"/>
    <w:rsid w:val="00C86288"/>
    <w:rsid w:val="00C96D8B"/>
    <w:rsid w:val="00CF750F"/>
    <w:rsid w:val="00D17572"/>
    <w:rsid w:val="00D3791D"/>
    <w:rsid w:val="00D468CF"/>
    <w:rsid w:val="00D51BF3"/>
    <w:rsid w:val="00D672C9"/>
    <w:rsid w:val="00DC0768"/>
    <w:rsid w:val="00DC4202"/>
    <w:rsid w:val="00DC778A"/>
    <w:rsid w:val="00DD137D"/>
    <w:rsid w:val="00DE0D25"/>
    <w:rsid w:val="00DE33CC"/>
    <w:rsid w:val="00DF21EE"/>
    <w:rsid w:val="00DF6D62"/>
    <w:rsid w:val="00E05ECC"/>
    <w:rsid w:val="00E23ECD"/>
    <w:rsid w:val="00E27880"/>
    <w:rsid w:val="00E42CFE"/>
    <w:rsid w:val="00E42D6A"/>
    <w:rsid w:val="00E531BE"/>
    <w:rsid w:val="00E85352"/>
    <w:rsid w:val="00E9422D"/>
    <w:rsid w:val="00EB16E0"/>
    <w:rsid w:val="00EE7205"/>
    <w:rsid w:val="00F10C97"/>
    <w:rsid w:val="00F23EF0"/>
    <w:rsid w:val="00F2588D"/>
    <w:rsid w:val="00F34B80"/>
    <w:rsid w:val="00F444D1"/>
    <w:rsid w:val="00F46894"/>
    <w:rsid w:val="00F5206E"/>
    <w:rsid w:val="00F61CD3"/>
    <w:rsid w:val="00F959A7"/>
    <w:rsid w:val="00FA07AD"/>
    <w:rsid w:val="00FA41C0"/>
    <w:rsid w:val="00FC4909"/>
    <w:rsid w:val="00FE0095"/>
    <w:rsid w:val="00FE17B7"/>
    <w:rsid w:val="00FE343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docId w15:val="{F6671011-4996-469C-BD1F-FC5FF1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11F8-8A0E-4BEC-BAA6-F64A62B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98</cp:revision>
  <cp:lastPrinted>2023-03-10T09:39:00Z</cp:lastPrinted>
  <dcterms:created xsi:type="dcterms:W3CDTF">2022-12-05T11:48:00Z</dcterms:created>
  <dcterms:modified xsi:type="dcterms:W3CDTF">2023-09-21T09:23:00Z</dcterms:modified>
</cp:coreProperties>
</file>