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6B0B55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5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032EE6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IV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032EE6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 sprzętu serwerowego</w:t>
      </w:r>
      <w:r w:rsidR="009E07B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9E07B0" w:rsidRPr="00F91F25" w:rsidTr="00971026">
        <w:tc>
          <w:tcPr>
            <w:tcW w:w="9497" w:type="dxa"/>
          </w:tcPr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……………………………………………………………………………………………….. brutto </w:t>
            </w:r>
          </w:p>
          <w:p w:rsidR="009E07B0" w:rsidRPr="00F91F25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10 dni nie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60dni)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9E07B0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9E07B0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E55709" w:rsidRPr="009E07B0" w:rsidRDefault="00E55709" w:rsidP="009E07B0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9E07B0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9E07B0" w:rsidRDefault="009E07B0">
      <w:pPr>
        <w:suppressAutoHyphens w:val="0"/>
        <w:spacing w:after="160" w:line="259" w:lineRule="auto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br w:type="page"/>
      </w:r>
    </w:p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9E07B0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</w:t>
      </w:r>
      <w:r w:rsidR="005B031E" w:rsidRPr="00511470">
        <w:rPr>
          <w:rFonts w:ascii="Garamond" w:hAnsi="Garamond" w:cs="Arial"/>
          <w:sz w:val="23"/>
          <w:szCs w:val="23"/>
        </w:rPr>
        <w:t>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6B0B55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lastRenderedPageBreak/>
        <w:t>Załącznik nr 5</w:t>
      </w:r>
      <w:bookmarkStart w:id="0" w:name="_GoBack"/>
      <w:bookmarkEnd w:id="0"/>
      <w:r w:rsidR="00380914" w:rsidRPr="006569A4">
        <w:rPr>
          <w:rFonts w:ascii="Garamond" w:hAnsi="Garamond" w:cs="Calibri"/>
          <w:b/>
          <w:bCs/>
          <w:sz w:val="22"/>
          <w:szCs w:val="22"/>
        </w:rPr>
        <w:t>a</w:t>
      </w:r>
    </w:p>
    <w:p w:rsidR="00380914" w:rsidRPr="009E07B0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9E07B0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9E07B0">
        <w:rPr>
          <w:rFonts w:ascii="Garamond" w:hAnsi="Garamond" w:cs="Calibri"/>
          <w:b/>
          <w:bCs/>
          <w:sz w:val="22"/>
          <w:szCs w:val="22"/>
          <w:u w:val="single"/>
        </w:rPr>
        <w:t>S</w:t>
      </w:r>
      <w:r w:rsidR="00032EE6">
        <w:rPr>
          <w:rFonts w:ascii="Garamond" w:hAnsi="Garamond" w:cs="Calibri"/>
          <w:b/>
          <w:bCs/>
          <w:sz w:val="22"/>
          <w:szCs w:val="22"/>
          <w:u w:val="single"/>
        </w:rPr>
        <w:t>PECYFIKACJA TECHNICZNA – SPRZĘT SERWEROWY</w:t>
      </w:r>
    </w:p>
    <w:p w:rsidR="00A602CC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9E07B0">
        <w:rPr>
          <w:rFonts w:ascii="Garamond" w:hAnsi="Garamond"/>
          <w:b/>
          <w:sz w:val="22"/>
          <w:szCs w:val="22"/>
          <w:u w:val="single"/>
        </w:rPr>
        <w:t>Wykonawca zobowiązany jest do potwierdzenia wszystkich wymagań zawartych w specyfikacji technicznej</w:t>
      </w:r>
      <w:r w:rsidRPr="009E07B0">
        <w:rPr>
          <w:rFonts w:ascii="Garamond" w:hAnsi="Garamond"/>
          <w:sz w:val="22"/>
          <w:szCs w:val="22"/>
        </w:rPr>
        <w:t xml:space="preserve">. Przez potwierdzenie wymagań Zamawiający rozumie </w:t>
      </w:r>
      <w:r w:rsidRPr="009E07B0">
        <w:rPr>
          <w:rFonts w:ascii="Garamond" w:hAnsi="Garamond"/>
          <w:b/>
          <w:sz w:val="22"/>
          <w:szCs w:val="22"/>
          <w:u w:val="single"/>
        </w:rPr>
        <w:t>wypisanie wszystkich parametrów technicznych proponowanego sprzętu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5242"/>
      </w:tblGrid>
      <w:tr w:rsidR="00380914" w:rsidRPr="00380914" w:rsidTr="006B0B55">
        <w:tc>
          <w:tcPr>
            <w:tcW w:w="4817" w:type="dxa"/>
          </w:tcPr>
          <w:p w:rsidR="00380914" w:rsidRPr="007768DC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2" w:type="dxa"/>
          </w:tcPr>
          <w:p w:rsidR="00380914" w:rsidRPr="007768DC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 w:rsidRPr="007768D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6B0B55">
        <w:tc>
          <w:tcPr>
            <w:tcW w:w="4817" w:type="dxa"/>
          </w:tcPr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</w:tcPr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Rodzaj obudowy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Przystosowana do instalacji w szafie </w:t>
            </w:r>
            <w:proofErr w:type="spellStart"/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Rack</w:t>
            </w:r>
            <w:proofErr w:type="spellEnd"/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19”, wysokość maksymalna 1U z zestawem szyn mocujących z możliwością wysuwania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Procesor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Architektura x64, minimum 8 rdzeni. Procesor nie może mieć mniej punktów w teście </w:t>
            </w:r>
            <w:proofErr w:type="spellStart"/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PassMark</w:t>
            </w:r>
            <w:proofErr w:type="spellEnd"/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CPU niż przykładowy Intel Xeon Silver 4208 (2,1GHz, 8 rdzeni/16 wątków, 9,6GT/s, 11MB pamięci podręcznej, Turbo, HT,85W)  </w:t>
            </w:r>
            <w:hyperlink r:id="rId8" w:history="1">
              <w:r w:rsidRPr="007768DC">
                <w:rPr>
                  <w:rStyle w:val="Hipercze"/>
                  <w:rFonts w:ascii="Garamond" w:eastAsia="Calibri" w:hAnsi="Garamond"/>
                  <w:sz w:val="22"/>
                  <w:szCs w:val="22"/>
                  <w:lang w:eastAsia="en-US"/>
                </w:rPr>
                <w:t>Link</w:t>
              </w:r>
            </w:hyperlink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Ilość procesorów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Płyta główna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Dedykowana do pracy w serwerach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Pamięć operacyjna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Zainstalowane minimum 32GB RAM RDIMM, 3200MT/s, w modułach dwubankowych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Karta graficzna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Zintegrowana karta graficzna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7768DC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Dyski twarde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Zainstalowane 4 480GB SSD SATA 6Gb/s 512 2,5" dysk AG do intensywnego odczytu wymieniany bez wyłączania, 1 DWPD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7768DC" w:rsidRPr="007768DC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Kontroler RAID</w:t>
            </w:r>
            <w:r w:rsidRPr="007768D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Wewnętrzny kontroler PERC</w:t>
            </w:r>
          </w:p>
          <w:p w:rsidR="009E07B0" w:rsidRPr="007768DC" w:rsidRDefault="007768DC" w:rsidP="007768DC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7768DC">
              <w:rPr>
                <w:rFonts w:ascii="Garamond" w:eastAsia="Calibri" w:hAnsi="Garamond"/>
                <w:sz w:val="22"/>
                <w:szCs w:val="22"/>
                <w:lang w:eastAsia="en-US"/>
              </w:rPr>
              <w:t>Karta PERC H750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6B0B55" w:rsidRDefault="007768DC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Zasilacz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Podwójny nadmiarowy zasilacz wymieniany bez wyłączania systemu (1+1), 550W, CE, Platinum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Interfejsy sieciowe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Broadcom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5720 dwuportowa karta sieciowa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Mezzanine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LOM 1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GbE</w:t>
            </w:r>
            <w:proofErr w:type="spellEnd"/>
          </w:p>
          <w:p w:rsidR="009E07B0" w:rsidRPr="006B0B55" w:rsidRDefault="007768DC" w:rsidP="007768DC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Dwuportowa karta LOM 1GbE na płycie głównej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Dodatkowe porty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Przód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obudowy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– 1 x Dedicated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iDRAC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direct USB</w:t>
            </w:r>
          </w:p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1 x USB 2.0</w:t>
            </w:r>
          </w:p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1 x Video</w:t>
            </w:r>
          </w:p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Tył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obudowy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- 1 x Dedicated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iDRAC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network port</w:t>
            </w:r>
          </w:p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1 x Serial</w:t>
            </w:r>
          </w:p>
          <w:p w:rsidR="007768DC" w:rsidRPr="006B0B55" w:rsidRDefault="007768DC" w:rsidP="007768DC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2 x USB 3.0</w:t>
            </w:r>
          </w:p>
          <w:p w:rsidR="009E07B0" w:rsidRPr="006B0B55" w:rsidRDefault="007768DC" w:rsidP="007768DC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1 x Video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6B0B55" w:rsidRPr="006B0B55" w:rsidRDefault="006B0B55" w:rsidP="006B0B55">
            <w:pPr>
              <w:suppressAutoHyphens w:val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Zarządzanie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Niezależny od systemu operacyjnego, zintegrowany z płytą główną sprzętowy kontroler zdalnego zarządzania urządzeniem umożliwiający: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- zdalny restart serwera</w:t>
            </w:r>
          </w:p>
          <w:p w:rsidR="006B0B55" w:rsidRPr="006B0B55" w:rsidRDefault="006B0B55" w:rsidP="006B0B55">
            <w:pPr>
              <w:suppressAutoHyphens w:val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- zdalne włączenie/wyłączenie serwera </w:t>
            </w:r>
          </w:p>
          <w:p w:rsidR="009E07B0" w:rsidRPr="006B0B55" w:rsidRDefault="006B0B55" w:rsidP="006B0B55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- zdalny dostęp do serwera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6B0B55" w:rsidRDefault="006B0B55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Zabezpieczenia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Moduł TPM 2.0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6B0B55" w:rsidRDefault="006B0B55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Wyświetlacz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Wyświetlacz LED na froncie obudowy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6B0B55" w:rsidRDefault="006B0B55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System operacyjny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Windows Server 2016 Standard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6B0B55" w:rsidRPr="006B0B55" w:rsidRDefault="006B0B55" w:rsidP="006B0B55">
            <w:pPr>
              <w:suppressAutoHyphens w:val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Gwarancja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Minimum 36 miesięcy wsparcia producenta lub autoryzowanego serwisu dla każdego podzespołu serwera, naprawa świadczona w miejscu instalacji sprzętu. Czas naprawy 24h od momentu zgłoszenia usterki (telefonicznie lub pocztą elektroniczną),</w:t>
            </w:r>
          </w:p>
          <w:p w:rsidR="006B0B55" w:rsidRPr="006B0B55" w:rsidRDefault="006B0B55" w:rsidP="006B0B55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Next Business Day 36 MONTHS,</w:t>
            </w:r>
          </w:p>
          <w:p w:rsidR="006B0B55" w:rsidRPr="006B0B55" w:rsidRDefault="006B0B55" w:rsidP="006B0B55">
            <w:pPr>
              <w:suppressAutoHyphens w:val="0"/>
              <w:rPr>
                <w:rFonts w:ascii="Garamond" w:eastAsia="Calibri" w:hAnsi="Garamond"/>
                <w:sz w:val="22"/>
                <w:szCs w:val="22"/>
                <w:lang w:val="en-US" w:eastAsia="en-US"/>
              </w:rPr>
            </w:pP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ProSupport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 Next Business Day Onsite Service Initial, 36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Mies</w:t>
            </w:r>
            <w:proofErr w:type="spellEnd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.</w:t>
            </w:r>
          </w:p>
          <w:p w:rsidR="009E07B0" w:rsidRPr="006B0B55" w:rsidRDefault="006B0B55" w:rsidP="006B0B55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 xml:space="preserve">Keep Your Hard Drive For Enterprise T2, 36 </w:t>
            </w:r>
            <w:proofErr w:type="spellStart"/>
            <w:r w:rsidRPr="006B0B55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Mies</w:t>
            </w:r>
            <w:proofErr w:type="spellEnd"/>
          </w:p>
        </w:tc>
        <w:tc>
          <w:tcPr>
            <w:tcW w:w="5242" w:type="dxa"/>
          </w:tcPr>
          <w:p w:rsidR="009E07B0" w:rsidRPr="007768DC" w:rsidRDefault="009E07B0" w:rsidP="009E07B0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9E07B0" w:rsidRPr="00380914" w:rsidTr="006B0B55">
        <w:trPr>
          <w:trHeight w:val="58"/>
        </w:trPr>
        <w:tc>
          <w:tcPr>
            <w:tcW w:w="4817" w:type="dxa"/>
          </w:tcPr>
          <w:p w:rsidR="009E07B0" w:rsidRPr="006B0B55" w:rsidRDefault="006B0B55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lastRenderedPageBreak/>
              <w:t>Certyfikaty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CE – dołączone do oferty dotyczący urządzenia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9E07B0" w:rsidRPr="00380914" w:rsidTr="006B0B55">
        <w:tc>
          <w:tcPr>
            <w:tcW w:w="4817" w:type="dxa"/>
          </w:tcPr>
          <w:p w:rsidR="009E07B0" w:rsidRPr="006B0B55" w:rsidRDefault="006B0B55" w:rsidP="009E07B0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Waga</w:t>
            </w:r>
            <w:r w:rsidRPr="006B0B5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: </w:t>
            </w:r>
            <w:r w:rsidRPr="006B0B55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Maksymalnie 18 kg</w:t>
            </w:r>
          </w:p>
        </w:tc>
        <w:tc>
          <w:tcPr>
            <w:tcW w:w="5242" w:type="dxa"/>
          </w:tcPr>
          <w:p w:rsidR="009E07B0" w:rsidRPr="007768DC" w:rsidRDefault="009E07B0" w:rsidP="009E07B0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24AFA" w:rsidRPr="00735C01" w:rsidRDefault="00380914" w:rsidP="009E07B0">
      <w:pPr>
        <w:suppressAutoHyphens w:val="0"/>
        <w:spacing w:line="276" w:lineRule="auto"/>
        <w:jc w:val="both"/>
        <w:rPr>
          <w:color w:val="FF0000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sectPr w:rsidR="00524AFA" w:rsidRPr="00735C01" w:rsidSect="0013309A">
      <w:pgSz w:w="11906" w:h="16838"/>
      <w:pgMar w:top="426" w:right="991" w:bottom="142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91" w:rsidRDefault="00035D91" w:rsidP="00E55709">
      <w:r>
        <w:separator/>
      </w:r>
    </w:p>
  </w:endnote>
  <w:endnote w:type="continuationSeparator" w:id="0">
    <w:p w:rsidR="00035D91" w:rsidRDefault="00035D91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91" w:rsidRDefault="00035D91" w:rsidP="00E55709">
      <w:r>
        <w:separator/>
      </w:r>
    </w:p>
  </w:footnote>
  <w:footnote w:type="continuationSeparator" w:id="0">
    <w:p w:rsidR="00035D91" w:rsidRDefault="00035D91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1BA7BE1"/>
    <w:multiLevelType w:val="hybridMultilevel"/>
    <w:tmpl w:val="7DC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732B6E"/>
    <w:multiLevelType w:val="hybridMultilevel"/>
    <w:tmpl w:val="C9E2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32EE6"/>
    <w:rsid w:val="00035D91"/>
    <w:rsid w:val="0013309A"/>
    <w:rsid w:val="001C6AC7"/>
    <w:rsid w:val="002A4954"/>
    <w:rsid w:val="00380914"/>
    <w:rsid w:val="003E1631"/>
    <w:rsid w:val="00524AFA"/>
    <w:rsid w:val="00564E75"/>
    <w:rsid w:val="005837FF"/>
    <w:rsid w:val="005B031E"/>
    <w:rsid w:val="005D6F4C"/>
    <w:rsid w:val="00615CE6"/>
    <w:rsid w:val="00617E43"/>
    <w:rsid w:val="006569A4"/>
    <w:rsid w:val="006B0B55"/>
    <w:rsid w:val="006B32CA"/>
    <w:rsid w:val="00735C01"/>
    <w:rsid w:val="007768DC"/>
    <w:rsid w:val="008D6799"/>
    <w:rsid w:val="00944AA8"/>
    <w:rsid w:val="00974B2C"/>
    <w:rsid w:val="009E07B0"/>
    <w:rsid w:val="00A602CC"/>
    <w:rsid w:val="00CE0AB9"/>
    <w:rsid w:val="00DB47C4"/>
    <w:rsid w:val="00E5570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A8A0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5z0">
    <w:name w:val="WW8Num15z0"/>
    <w:rsid w:val="009E07B0"/>
    <w:rPr>
      <w:b/>
    </w:rPr>
  </w:style>
  <w:style w:type="character" w:customStyle="1" w:styleId="Absatz-Standardschriftart">
    <w:name w:val="Absatz-Standardschriftart"/>
    <w:rsid w:val="009E07B0"/>
  </w:style>
  <w:style w:type="character" w:styleId="Hipercze">
    <w:name w:val="Hyperlink"/>
    <w:basedOn w:val="Domylnaczcionkaakapitu"/>
    <w:uiPriority w:val="99"/>
    <w:unhideWhenUsed/>
    <w:rsid w:val="0077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.php?cpu=Intel+Xeon+Silver+4208+%40+2.10GHz&amp;id=3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834A-841D-4FA6-8717-3B3F5F8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2022-03-01T11:46:00Z</dcterms:created>
  <dcterms:modified xsi:type="dcterms:W3CDTF">2022-03-01T11:59:00Z</dcterms:modified>
</cp:coreProperties>
</file>