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widowControl/>
        <w:rPr>
          <w:szCs w:val="24"/>
        </w:rPr>
      </w:pPr>
    </w:p>
    <w:tbl>
      <w:tblPr>
        <w:tblStyle w:val="12"/>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5"/>
        <w:gridCol w:w="7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974" w:hRule="atLeast"/>
        </w:trPr>
        <w:tc>
          <w:tcPr>
            <w:tcW w:w="9212" w:type="dxa"/>
            <w:gridSpan w:val="2"/>
            <w:shd w:val="clear" w:color="auto" w:fill="FFFFFF"/>
          </w:tcPr>
          <w:p>
            <w:pPr>
              <w:spacing w:before="240" w:line="360" w:lineRule="auto"/>
              <w:jc w:val="center"/>
              <w:rPr>
                <w:b/>
                <w:sz w:val="32"/>
              </w:rPr>
            </w:pPr>
            <w:r>
              <w:rPr>
                <w:b/>
                <w:sz w:val="32"/>
              </w:rPr>
              <w:t>Przedsiębiorstwo Energetyki Cieplnej Sp. z o.o.</w:t>
            </w:r>
          </w:p>
          <w:p>
            <w:pPr>
              <w:tabs>
                <w:tab w:val="left" w:pos="1720"/>
                <w:tab w:val="center" w:pos="4536"/>
              </w:tabs>
              <w:spacing w:before="240" w:line="360" w:lineRule="auto"/>
              <w:rPr>
                <w:sz w:val="32"/>
              </w:rPr>
            </w:pPr>
            <w:r>
              <w:rPr>
                <w:sz w:val="28"/>
              </w:rPr>
              <w:tab/>
            </w:r>
            <w:r>
              <w:rPr>
                <w:sz w:val="28"/>
              </w:rPr>
              <w:tab/>
            </w:r>
            <w:r>
              <w:rPr>
                <w:sz w:val="28"/>
              </w:rPr>
              <w:t>99-100 Łęczyca, ul. Tumska 2</w:t>
            </w:r>
          </w:p>
          <w:p>
            <w:pPr>
              <w:spacing w:before="120" w:line="360" w:lineRule="auto"/>
              <w:jc w:val="center"/>
              <w:rPr>
                <w:sz w:val="28"/>
              </w:rPr>
            </w:pPr>
            <w:r>
              <w:rPr>
                <w:sz w:val="28"/>
              </w:rPr>
              <w:t>tel./fax. 24 721-25-93, e-mail: empec@go2.pl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424" w:hRule="atLeast"/>
        </w:trPr>
        <w:tc>
          <w:tcPr>
            <w:tcW w:w="9212" w:type="dxa"/>
            <w:gridSpan w:val="2"/>
            <w:tcBorders>
              <w:bottom w:val="nil"/>
            </w:tcBorders>
            <w:vAlign w:val="center"/>
          </w:tcPr>
          <w:p>
            <w:pPr>
              <w:pStyle w:val="15"/>
              <w:jc w:val="center"/>
              <w:rPr>
                <w:b/>
                <w:sz w:val="26"/>
              </w:rPr>
            </w:pPr>
            <w:r>
              <w:rPr>
                <w:b/>
                <w:sz w:val="26"/>
              </w:rPr>
              <w:t xml:space="preserve">SPECYFIKACJA </w:t>
            </w:r>
          </w:p>
          <w:p>
            <w:pPr>
              <w:pStyle w:val="15"/>
              <w:jc w:val="center"/>
              <w:rPr>
                <w:b/>
                <w:sz w:val="20"/>
              </w:rPr>
            </w:pPr>
            <w:r>
              <w:rPr>
                <w:b/>
                <w:sz w:val="26"/>
              </w:rPr>
              <w:t>ISTOTNYCH WARUNKÓW ZAMÓWIENIA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277" w:hRule="atLeast"/>
        </w:trPr>
        <w:tc>
          <w:tcPr>
            <w:tcW w:w="9212" w:type="dxa"/>
            <w:gridSpan w:val="2"/>
            <w:tcBorders>
              <w:top w:val="nil"/>
              <w:bottom w:val="nil"/>
            </w:tcBorders>
          </w:tcPr>
          <w:p>
            <w:pPr>
              <w:tabs>
                <w:tab w:val="left" w:pos="8931"/>
              </w:tabs>
              <w:spacing w:line="360" w:lineRule="auto"/>
              <w:ind w:left="2466" w:right="1134" w:hanging="2466"/>
              <w:jc w:val="both"/>
              <w:rPr>
                <w:b/>
                <w:sz w:val="28"/>
              </w:rPr>
            </w:pPr>
            <w:r>
              <w:t xml:space="preserve"> Przedmiot zamówienia: </w:t>
            </w:r>
          </w:p>
          <w:p>
            <w:pPr>
              <w:pStyle w:val="46"/>
              <w:jc w:val="center"/>
              <w:rPr>
                <w:b/>
                <w:sz w:val="32"/>
              </w:rPr>
            </w:pPr>
          </w:p>
          <w:p>
            <w:pPr>
              <w:spacing w:line="360" w:lineRule="auto"/>
              <w:jc w:val="center"/>
              <w:rPr>
                <w:b/>
                <w:sz w:val="32"/>
                <w:szCs w:val="32"/>
              </w:rPr>
            </w:pPr>
            <w:r>
              <w:rPr>
                <w:b/>
                <w:sz w:val="32"/>
                <w:szCs w:val="32"/>
              </w:rPr>
              <w:t>„</w:t>
            </w:r>
            <w:r>
              <w:rPr>
                <w:rFonts w:hint="default"/>
                <w:b/>
                <w:sz w:val="32"/>
                <w:szCs w:val="32"/>
                <w:lang w:val="pl-PL"/>
              </w:rPr>
              <w:t>Rozbudowa kotłowni gazowej przy ul. Wojska Polskiego 1b w Łęczycy</w:t>
            </w:r>
            <w:r>
              <w:rPr>
                <w:b/>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trPr>
        <w:tc>
          <w:tcPr>
            <w:tcW w:w="2055" w:type="dxa"/>
            <w:tcBorders>
              <w:top w:val="nil"/>
              <w:bottom w:val="nil"/>
              <w:right w:val="nil"/>
            </w:tcBorders>
          </w:tcPr>
          <w:p>
            <w:pPr>
              <w:spacing w:before="40" w:line="360" w:lineRule="auto"/>
            </w:pPr>
          </w:p>
        </w:tc>
        <w:tc>
          <w:tcPr>
            <w:tcW w:w="7157" w:type="dxa"/>
            <w:tcBorders>
              <w:top w:val="nil"/>
              <w:left w:val="nil"/>
              <w:bottom w:val="nil"/>
            </w:tcBorders>
          </w:tcPr>
          <w:p>
            <w:pPr>
              <w:pStyle w:val="2"/>
              <w:spacing w:line="360" w:lineRule="auto"/>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23" w:hRule="atLeast"/>
        </w:trPr>
        <w:tc>
          <w:tcPr>
            <w:tcW w:w="2055" w:type="dxa"/>
            <w:tcBorders>
              <w:top w:val="nil"/>
              <w:right w:val="nil"/>
            </w:tcBorders>
            <w:vAlign w:val="center"/>
          </w:tcPr>
          <w:p>
            <w:pPr>
              <w:spacing w:before="40" w:line="360" w:lineRule="auto"/>
              <w:jc w:val="center"/>
            </w:pPr>
            <w:r>
              <w:t>Tryb postępowania:</w:t>
            </w:r>
          </w:p>
        </w:tc>
        <w:tc>
          <w:tcPr>
            <w:tcW w:w="7157" w:type="dxa"/>
            <w:tcBorders>
              <w:top w:val="nil"/>
              <w:left w:val="nil"/>
            </w:tcBorders>
            <w:vAlign w:val="center"/>
          </w:tcPr>
          <w:p>
            <w:pPr>
              <w:pStyle w:val="2"/>
              <w:spacing w:line="360" w:lineRule="auto"/>
              <w:jc w:val="center"/>
              <w:rPr>
                <w:b w:val="0"/>
              </w:rPr>
            </w:pPr>
          </w:p>
          <w:p>
            <w:pPr>
              <w:pStyle w:val="2"/>
              <w:spacing w:line="360" w:lineRule="auto"/>
              <w:ind w:left="-2197"/>
              <w:jc w:val="center"/>
              <w:rPr>
                <w:b w:val="0"/>
              </w:rPr>
            </w:pPr>
            <w:r>
              <w:rPr>
                <w:b w:val="0"/>
              </w:rPr>
              <w:t>Przetarg nieograniczony</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464" w:hRule="atLeast"/>
        </w:trPr>
        <w:tc>
          <w:tcPr>
            <w:tcW w:w="9212" w:type="dxa"/>
            <w:gridSpan w:val="2"/>
            <w:tcBorders>
              <w:bottom w:val="nil"/>
            </w:tcBorders>
            <w:shd w:val="clear" w:color="auto" w:fill="FFFFFF"/>
          </w:tcPr>
          <w:p>
            <w:pPr>
              <w:spacing w:line="360" w:lineRule="auto"/>
              <w:jc w:val="both"/>
            </w:pPr>
          </w:p>
          <w:p>
            <w:pPr>
              <w:spacing w:line="360" w:lineRule="auto"/>
              <w:jc w:val="center"/>
            </w:pPr>
            <w:r>
              <w:t>Opracował:                                                                           Zatwierdził:</w:t>
            </w:r>
          </w:p>
          <w:p>
            <w:pPr>
              <w:pStyle w:val="27"/>
              <w:tabs>
                <w:tab w:val="clear" w:pos="4536"/>
                <w:tab w:val="clear" w:pos="9072"/>
              </w:tabs>
              <w:spacing w:line="360" w:lineRule="auto"/>
            </w:pPr>
            <w:r>
              <w:t xml:space="preserve">                Łukasz Gomuła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43" w:hRule="atLeast"/>
        </w:trPr>
        <w:tc>
          <w:tcPr>
            <w:tcW w:w="9212" w:type="dxa"/>
            <w:gridSpan w:val="2"/>
            <w:tcBorders>
              <w:top w:val="nil"/>
            </w:tcBorders>
            <w:shd w:val="clear" w:color="auto" w:fill="FFFFFF"/>
          </w:tcPr>
          <w:p>
            <w:pPr>
              <w:spacing w:line="360" w:lineRule="auto"/>
            </w:pPr>
          </w:p>
          <w:p>
            <w:pPr>
              <w:spacing w:line="360" w:lineRule="auto"/>
              <w:jc w:val="center"/>
            </w:pPr>
            <w:r>
              <w:t xml:space="preserve">Łęczyca, </w:t>
            </w:r>
            <w:r>
              <w:rPr>
                <w:rFonts w:hint="default"/>
                <w:lang w:val="pl-PL"/>
              </w:rPr>
              <w:t>luty</w:t>
            </w:r>
            <w:r>
              <w:t xml:space="preserve"> 20</w:t>
            </w:r>
            <w:r>
              <w:rPr>
                <w:rFonts w:hint="default"/>
                <w:lang w:val="pl-PL"/>
              </w:rPr>
              <w:t>22</w:t>
            </w:r>
            <w:r>
              <w:t xml:space="preserve"> r.</w:t>
            </w:r>
          </w:p>
        </w:tc>
      </w:tr>
    </w:tbl>
    <w:p>
      <w:pPr>
        <w:tabs>
          <w:tab w:val="left" w:pos="-5529"/>
        </w:tabs>
        <w:jc w:val="center"/>
        <w:rPr>
          <w:sz w:val="28"/>
        </w:rPr>
      </w:pPr>
    </w:p>
    <w:p>
      <w:pPr>
        <w:pStyle w:val="46"/>
        <w:jc w:val="center"/>
        <w:rPr>
          <w:b/>
          <w:sz w:val="28"/>
        </w:rPr>
      </w:pPr>
    </w:p>
    <w:p>
      <w:pPr>
        <w:pStyle w:val="46"/>
        <w:jc w:val="center"/>
        <w:rPr>
          <w:b/>
          <w:sz w:val="28"/>
        </w:rPr>
      </w:pPr>
      <w:r>
        <w:rPr>
          <w:b/>
          <w:sz w:val="28"/>
        </w:rPr>
        <w:t>INFORMACJE OGÓLNE</w:t>
      </w:r>
    </w:p>
    <w:p>
      <w:pPr>
        <w:jc w:val="both"/>
        <w:rPr>
          <w:rFonts w:hint="default" w:ascii="Times New Roman" w:hAnsi="Times New Roman" w:cs="Times New Roman"/>
          <w:b/>
          <w:sz w:val="24"/>
          <w:szCs w:val="24"/>
          <w:lang w:val="pl-PL"/>
        </w:rPr>
      </w:pPr>
      <w:r>
        <w:rPr>
          <w:rFonts w:hint="default" w:ascii="Times New Roman" w:hAnsi="Times New Roman" w:cs="Times New Roman"/>
          <w:b/>
          <w:sz w:val="24"/>
          <w:szCs w:val="24"/>
        </w:rPr>
        <w:t xml:space="preserve">Niniejsze postępowanie jest prowadzone </w:t>
      </w:r>
      <w:r>
        <w:rPr>
          <w:rFonts w:hint="default" w:ascii="Times New Roman" w:hAnsi="Times New Roman" w:cs="Times New Roman"/>
          <w:b/>
          <w:sz w:val="24"/>
          <w:szCs w:val="24"/>
          <w:u w:val="single"/>
        </w:rPr>
        <w:t>z wyłączeniem</w:t>
      </w:r>
      <w:r>
        <w:rPr>
          <w:rFonts w:hint="default" w:ascii="Times New Roman" w:hAnsi="Times New Roman" w:cs="Times New Roman"/>
          <w:b/>
          <w:sz w:val="24"/>
          <w:szCs w:val="24"/>
        </w:rPr>
        <w:t xml:space="preserve"> stosowania przepisów ustawy z dnia 11 września 2019 r. Prawo zamówień publicznych – (Dz. U. z 2019 r. poz. 2019 ze zm.), ze względu na treść art. 2 ust 1 pkt 2 w zw. z art. 5 ust.1 pkt 2 i ust. 4 pkt </w:t>
      </w:r>
      <w:r>
        <w:rPr>
          <w:rFonts w:hint="default" w:ascii="Times New Roman" w:hAnsi="Times New Roman" w:cs="Times New Roman"/>
          <w:b/>
          <w:sz w:val="24"/>
          <w:szCs w:val="24"/>
          <w:lang w:val="pl-PL"/>
        </w:rPr>
        <w:t>3</w:t>
      </w:r>
      <w:r>
        <w:rPr>
          <w:rFonts w:hint="default" w:ascii="Times New Roman" w:hAnsi="Times New Roman" w:cs="Times New Roman"/>
          <w:b/>
          <w:sz w:val="24"/>
          <w:szCs w:val="24"/>
        </w:rPr>
        <w:t xml:space="preserve"> tej ustawy (</w:t>
      </w:r>
      <w:r>
        <w:rPr>
          <w:rFonts w:hint="default" w:ascii="Times New Roman" w:hAnsi="Times New Roman" w:cs="Times New Roman"/>
          <w:b/>
          <w:sz w:val="24"/>
          <w:szCs w:val="24"/>
          <w:u w:val="single"/>
        </w:rPr>
        <w:t>zamówienie sektorowe o wartości mniejszej niż progi unijne dla zamawiających sektorowych</w:t>
      </w:r>
      <w:r>
        <w:rPr>
          <w:rFonts w:hint="default" w:ascii="Times New Roman" w:hAnsi="Times New Roman" w:cs="Times New Roman"/>
          <w:b/>
          <w:sz w:val="24"/>
          <w:szCs w:val="24"/>
        </w:rPr>
        <w:t>)</w:t>
      </w:r>
      <w:r>
        <w:rPr>
          <w:rFonts w:hint="default" w:cs="Times New Roman"/>
          <w:b/>
          <w:sz w:val="24"/>
          <w:szCs w:val="24"/>
          <w:lang w:val="pl-PL"/>
        </w:rPr>
        <w:t>.</w:t>
      </w:r>
    </w:p>
    <w:p>
      <w:pPr>
        <w:jc w:val="both"/>
        <w:rPr>
          <w:rFonts w:hint="default" w:ascii="Times New Roman" w:hAnsi="Times New Roman" w:cs="Times New Roman"/>
          <w:b/>
          <w:sz w:val="24"/>
          <w:szCs w:val="24"/>
        </w:rPr>
      </w:pPr>
    </w:p>
    <w:p>
      <w:pPr>
        <w:jc w:val="center"/>
        <w:rPr>
          <w:b/>
          <w:bCs/>
        </w:rPr>
      </w:pPr>
      <w:r>
        <w:rPr>
          <w:b/>
          <w:bCs/>
        </w:rPr>
        <w:t>INSTRUKCJA DLA WYKONAWCÓW</w:t>
      </w:r>
    </w:p>
    <w:p>
      <w:pPr>
        <w:pStyle w:val="27"/>
        <w:tabs>
          <w:tab w:val="clear" w:pos="4536"/>
          <w:tab w:val="clear" w:pos="9072"/>
        </w:tabs>
        <w:spacing w:line="360" w:lineRule="auto"/>
        <w:rPr>
          <w:sz w:val="16"/>
        </w:rPr>
      </w:pPr>
    </w:p>
    <w:p>
      <w:pPr>
        <w:pStyle w:val="27"/>
        <w:tabs>
          <w:tab w:val="clear" w:pos="4536"/>
          <w:tab w:val="clear" w:pos="9072"/>
        </w:tabs>
        <w:spacing w:line="360" w:lineRule="auto"/>
        <w:rPr>
          <w:sz w:val="16"/>
        </w:rPr>
      </w:pPr>
    </w:p>
    <w:p>
      <w:pPr>
        <w:spacing w:line="360" w:lineRule="auto"/>
        <w:rPr>
          <w:b/>
        </w:rPr>
      </w:pPr>
      <w:r>
        <w:t xml:space="preserve">Zamawiający: </w:t>
      </w:r>
      <w:r>
        <w:tab/>
      </w:r>
      <w:r>
        <w:rPr>
          <w:b/>
        </w:rPr>
        <w:t>Przedsiębiorstwo Energetyki Cieplnej Sp. z o.o.</w:t>
      </w:r>
    </w:p>
    <w:p>
      <w:pPr>
        <w:spacing w:line="360" w:lineRule="auto"/>
        <w:ind w:left="2124" w:firstLine="708"/>
        <w:rPr>
          <w:b/>
        </w:rPr>
      </w:pPr>
      <w:r>
        <w:rPr>
          <w:b/>
        </w:rPr>
        <w:t>99-100 Łęczyca, ul. Tumska 2</w:t>
      </w:r>
    </w:p>
    <w:p>
      <w:pPr>
        <w:spacing w:line="360" w:lineRule="auto"/>
        <w:rPr>
          <w:lang w:val="en-US"/>
        </w:rPr>
      </w:pPr>
      <w:r>
        <w:t xml:space="preserve">                </w:t>
      </w:r>
      <w:r>
        <w:rPr>
          <w:lang w:val="en-US"/>
        </w:rPr>
        <w:t xml:space="preserve">tel./fax.: (24) 721 25 93;            </w:t>
      </w:r>
      <w:r>
        <w:rPr>
          <w:lang w:val="en-US"/>
        </w:rPr>
        <w:br w:type="textWrapping"/>
      </w:r>
      <w:r>
        <w:rPr>
          <w:lang w:val="en-US"/>
        </w:rPr>
        <w:t xml:space="preserve">                e-mail:  </w:t>
      </w:r>
      <w:r>
        <w:fldChar w:fldCharType="begin"/>
      </w:r>
      <w:r>
        <w:instrText xml:space="preserve"> HYPERLINK "mailto:empec@go2.pl" </w:instrText>
      </w:r>
      <w:r>
        <w:fldChar w:fldCharType="separate"/>
      </w:r>
      <w:r>
        <w:rPr>
          <w:rStyle w:val="31"/>
          <w:rFonts w:cs="Arial"/>
          <w:color w:val="000000" w:themeColor="text1"/>
          <w:u w:val="none"/>
          <w:lang w:val="en-US"/>
          <w14:textFill>
            <w14:solidFill>
              <w14:schemeClr w14:val="tx1"/>
            </w14:solidFill>
          </w14:textFill>
        </w:rPr>
        <w:t>empec@go2.pl</w:t>
      </w:r>
      <w:r>
        <w:rPr>
          <w:rStyle w:val="31"/>
          <w:rFonts w:cs="Arial"/>
          <w:color w:val="000000" w:themeColor="text1"/>
          <w:u w:val="none"/>
          <w:lang w:val="en-US"/>
          <w14:textFill>
            <w14:solidFill>
              <w14:schemeClr w14:val="tx1"/>
            </w14:solidFill>
          </w14:textFill>
        </w:rPr>
        <w:fldChar w:fldCharType="end"/>
      </w:r>
      <w:r>
        <w:rPr>
          <w:lang w:val="en-US"/>
        </w:rPr>
        <w:t xml:space="preserve">;        </w:t>
      </w:r>
    </w:p>
    <w:p>
      <w:pPr>
        <w:rPr>
          <w:sz w:val="4"/>
          <w:lang w:val="en-US"/>
        </w:rPr>
      </w:pPr>
    </w:p>
    <w:p>
      <w:r>
        <w:rPr>
          <w:lang w:val="en-US"/>
        </w:rPr>
        <w:t xml:space="preserve">                 </w:t>
      </w:r>
      <w:r>
        <w:t xml:space="preserve">STRONA INTERNETOWA:             </w:t>
      </w:r>
      <w:r>
        <w:fldChar w:fldCharType="begin"/>
      </w:r>
      <w:r>
        <w:instrText xml:space="preserve"> HYPERLINK "http://www.pansa.pl" </w:instrText>
      </w:r>
      <w:r>
        <w:fldChar w:fldCharType="separate"/>
      </w:r>
      <w:r>
        <w:rPr>
          <w:rStyle w:val="31"/>
          <w:rFonts w:cs="Arial"/>
          <w:color w:val="auto"/>
          <w:u w:val="none"/>
        </w:rPr>
        <w:t>www.</w:t>
      </w:r>
      <w:r>
        <w:rPr>
          <w:rStyle w:val="31"/>
          <w:rFonts w:cs="Arial"/>
          <w:color w:val="auto"/>
          <w:u w:val="none"/>
        </w:rPr>
        <w:fldChar w:fldCharType="end"/>
      </w:r>
      <w:r>
        <w:t>pecleczyca.pl</w:t>
      </w:r>
    </w:p>
    <w:p>
      <w:r>
        <w:t xml:space="preserve">                 REGON: 610280786                          NIP:   775 - 000 - 04 – 91</w:t>
      </w:r>
    </w:p>
    <w:p>
      <w:r>
        <w:t xml:space="preserve">                 GODZINY OTWARCIA:         od poniedziałku do piątku, w godz. 7.00 – 15.00</w:t>
      </w:r>
    </w:p>
    <w:p>
      <w:pPr>
        <w:rPr>
          <w:sz w:val="16"/>
        </w:rPr>
      </w:pPr>
    </w:p>
    <w:p>
      <w:pPr>
        <w:numPr>
          <w:ilvl w:val="0"/>
          <w:numId w:val="3"/>
        </w:numPr>
        <w:spacing w:after="120" w:line="360" w:lineRule="auto"/>
        <w:ind w:left="2699" w:right="74" w:hanging="2699"/>
        <w:jc w:val="both"/>
        <w:rPr>
          <w:b/>
          <w:bCs/>
        </w:rPr>
      </w:pPr>
      <w:r>
        <w:rPr>
          <w:b/>
          <w:bCs/>
        </w:rPr>
        <w:t xml:space="preserve">Przedmiot zamówienia: </w:t>
      </w:r>
    </w:p>
    <w:p>
      <w:pPr>
        <w:spacing w:line="360" w:lineRule="auto"/>
        <w:jc w:val="both"/>
        <w:rPr>
          <w:b/>
          <w:bCs w:val="0"/>
          <w:sz w:val="28"/>
          <w:szCs w:val="28"/>
        </w:rPr>
      </w:pPr>
      <w:r>
        <w:rPr>
          <w:b/>
          <w:bCs w:val="0"/>
          <w:sz w:val="28"/>
          <w:szCs w:val="28"/>
        </w:rPr>
        <w:t>„</w:t>
      </w:r>
      <w:r>
        <w:rPr>
          <w:rFonts w:hint="default"/>
          <w:b/>
          <w:sz w:val="28"/>
          <w:szCs w:val="28"/>
          <w:lang w:val="pl-PL"/>
        </w:rPr>
        <w:t>Rozbudowa kotłowni gazowej przy ul. Wojska Polskiego 1b w Łęczycy</w:t>
      </w:r>
      <w:r>
        <w:rPr>
          <w:b/>
          <w:bCs w:val="0"/>
          <w:sz w:val="28"/>
          <w:szCs w:val="28"/>
        </w:rPr>
        <w:t>”</w:t>
      </w:r>
    </w:p>
    <w:p>
      <w:pPr>
        <w:pStyle w:val="32"/>
        <w:tabs>
          <w:tab w:val="left" w:pos="142"/>
        </w:tabs>
        <w:spacing w:before="0" w:after="0" w:line="360" w:lineRule="auto"/>
        <w:jc w:val="both"/>
      </w:pPr>
      <w:r>
        <w:t xml:space="preserve">Zamawiający zastrzega, że wszędzie tam, gdzie w treści dokumentów składających się na opis przedmiotu zamówienia i w samym opisie zostały wskazane znaki towarowe, patenty, pochodzenie lub normy, iż dopuszcza metody, materiały, urządzenia, systemy, technologie, produkty, itp. równoważne do przedstawionych w opisie przedmiotu zamówienia. Dopuszcza się więc zaproponowanie w ofercie odpowiedników równoważnych o właściwościach nie gorszych i gwarantujących osiągnięcie parametrów nie niższych od wymaganych przez Zamawiającego. Parametry wskazanego standardu określają minimalne warunki techniczne, eksploatacyjne, użytkowe, jakościowe i funkcjonalne, jakie ma spełniać przedmiot zamówienia. </w:t>
      </w:r>
    </w:p>
    <w:p>
      <w:pPr>
        <w:pStyle w:val="32"/>
        <w:tabs>
          <w:tab w:val="left" w:pos="142"/>
        </w:tabs>
        <w:spacing w:before="120" w:after="0" w:line="360" w:lineRule="auto"/>
        <w:jc w:val="both"/>
      </w:pPr>
      <w:r>
        <w:t xml:space="preserve">Wskazane znaki towarowe, patenty, marki lub nazwy producenta wskazujące na pochodzenie określają jedynie klasę produktu, metody, materiałów, urządzeń, systemów, technologii itp. W ofercie Wykonawca może przyjąć metody, materiały, urządzenia, systemy, technologie itp. innych marek i producentów, jednak o parametrach technicznych, jakościowych </w:t>
      </w:r>
      <w:r>
        <w:br w:type="textWrapping"/>
      </w:r>
      <w:r>
        <w:t>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OPZ, ale muszą gwarantować spełnienie zdefiniowanych tam wymagań Zamawiającego.</w:t>
      </w:r>
    </w:p>
    <w:p>
      <w:pPr>
        <w:pStyle w:val="78"/>
        <w:autoSpaceDE w:val="0"/>
        <w:autoSpaceDN w:val="0"/>
        <w:adjustRightInd w:val="0"/>
        <w:spacing w:after="0" w:line="240" w:lineRule="auto"/>
        <w:ind w:left="0" w:lef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Postępowanie jest prowadzone </w:t>
      </w:r>
      <w:r>
        <w:rPr>
          <w:rFonts w:hint="default" w:ascii="Times New Roman" w:hAnsi="Times New Roman" w:cs="Times New Roman"/>
          <w:b/>
          <w:bCs/>
          <w:sz w:val="24"/>
          <w:szCs w:val="24"/>
          <w:u w:val="single"/>
        </w:rPr>
        <w:t>w trybie przetargu nieograniczonego</w:t>
      </w:r>
      <w:r>
        <w:rPr>
          <w:rFonts w:hint="default" w:ascii="Times New Roman" w:hAnsi="Times New Roman" w:cs="Times New Roman"/>
          <w:b/>
          <w:bCs/>
          <w:sz w:val="24"/>
          <w:szCs w:val="24"/>
        </w:rPr>
        <w:t>, w którym w odpowiedzi na ogłoszenie o zamówieniu oferty mogą składać wszyscy zainteresowani wykonawcy.</w:t>
      </w:r>
    </w:p>
    <w:p>
      <w:pPr>
        <w:pStyle w:val="15"/>
      </w:pPr>
    </w:p>
    <w:p>
      <w:pPr>
        <w:pStyle w:val="15"/>
      </w:pPr>
      <w:r>
        <w:t>Osobami upoważnionymi do kontaktów z Wykonawcami z ramienia Zamawiającego jest:</w:t>
      </w:r>
    </w:p>
    <w:p>
      <w:pPr>
        <w:pStyle w:val="15"/>
        <w:numPr>
          <w:ilvl w:val="0"/>
          <w:numId w:val="4"/>
        </w:numPr>
        <w:rPr>
          <w:color w:val="000000" w:themeColor="text1"/>
          <w14:textFill>
            <w14:solidFill>
              <w14:schemeClr w14:val="tx1"/>
            </w14:solidFill>
          </w14:textFill>
        </w:rPr>
      </w:pPr>
      <w:r>
        <w:t xml:space="preserve">Sprawy techniczne - Sławomir </w:t>
      </w:r>
      <w:r>
        <w:rPr>
          <w:rFonts w:hint="default"/>
          <w:lang w:val="pl-PL"/>
        </w:rPr>
        <w:t>Głodek</w:t>
      </w:r>
      <w:r>
        <w:rPr>
          <w:color w:val="000000" w:themeColor="text1"/>
          <w14:textFill>
            <w14:solidFill>
              <w14:schemeClr w14:val="tx1"/>
            </w14:solidFill>
          </w14:textFill>
        </w:rPr>
        <w:t>, tel. 24 721 25 93 w godz.  8</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-14</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w:t>
      </w:r>
    </w:p>
    <w:p>
      <w:pPr>
        <w:pStyle w:val="15"/>
        <w:numPr>
          <w:ilvl w:val="0"/>
          <w:numId w:val="4"/>
        </w:numPr>
      </w:pPr>
      <w:r>
        <w:rPr>
          <w:color w:val="000000" w:themeColor="text1"/>
          <w14:textFill>
            <w14:solidFill>
              <w14:schemeClr w14:val="tx1"/>
            </w14:solidFill>
          </w14:textFill>
        </w:rPr>
        <w:t>Sprawy merytoryczne – Łukasz Gomuła, tel. 24 721 25 93 w godz.  8</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-14</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w:t>
      </w:r>
    </w:p>
    <w:p>
      <w:pPr>
        <w:pStyle w:val="78"/>
        <w:numPr>
          <w:ilvl w:val="0"/>
          <w:numId w:val="3"/>
        </w:numPr>
        <w:autoSpaceDE w:val="0"/>
        <w:autoSpaceDN w:val="0"/>
        <w:adjustRightInd w:val="0"/>
        <w:spacing w:after="0" w:line="240" w:lineRule="auto"/>
        <w:ind w:left="2699" w:leftChars="0" w:hanging="2699"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Negocjacje </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 celu ulepszenia treści ofert:</w:t>
      </w:r>
    </w:p>
    <w:p>
      <w:pPr>
        <w:pStyle w:val="78"/>
        <w:numPr>
          <w:ilvl w:val="0"/>
          <w:numId w:val="5"/>
        </w:num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Zamawiający przewiduje możliwość prowadzenia negocjacji z wykonawcami, którzy złożyli oferty, w sytuacji gdy cena najkorzystniejszej oferty lub oferta z najniższą ceną będzie przewyższać kwotę, którą zamawiający zamierza przeznaczyć na sfinansowanie zamówienia, chyba że zamawiający będzie mógł zwiększyć tę kwotę do ceny najkorzystniejszej oferty;</w:t>
      </w:r>
    </w:p>
    <w:p>
      <w:pPr>
        <w:pStyle w:val="78"/>
        <w:numPr>
          <w:ilvl w:val="0"/>
          <w:numId w:val="5"/>
        </w:num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zamawiający zaprosi do negocjacji </w:t>
      </w:r>
      <w:r>
        <w:rPr>
          <w:rFonts w:hint="default" w:ascii="Times New Roman" w:hAnsi="Times New Roman" w:cs="Times New Roman"/>
          <w:b/>
          <w:bCs/>
          <w:sz w:val="24"/>
          <w:szCs w:val="24"/>
        </w:rPr>
        <w:t>nie więcej niż dwóch wykonawców</w:t>
      </w:r>
      <w:r>
        <w:rPr>
          <w:rFonts w:hint="default" w:ascii="Times New Roman" w:hAnsi="Times New Roman" w:cs="Times New Roman"/>
          <w:sz w:val="24"/>
          <w:szCs w:val="24"/>
        </w:rPr>
        <w:t>, którzy złożyli ofertę z najkorzystniejszą ceną, przy czym</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negocjacje dotyczyć będą wyłącznie cen ofert;</w:t>
      </w:r>
    </w:p>
    <w:p>
      <w:pPr>
        <w:pStyle w:val="78"/>
        <w:numPr>
          <w:ilvl w:val="0"/>
          <w:numId w:val="5"/>
        </w:num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oferta dodatkowa nie może zawierać ceny wyższej niż w ofercie pierwotnie złożonej. Jeżeli oferta dodatkowa będzie zawierała cenę wyższą niż w ofercie pierwotnie złożonej, oferta dodatkowa zostanie odrzucona.</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Ofertę należy złożyć na formularzu oferty, według wzoru stanowiącego </w:t>
      </w:r>
      <w:r>
        <w:rPr>
          <w:rFonts w:hint="default" w:ascii="Times New Roman" w:hAnsi="Times New Roman" w:cs="Times New Roman"/>
          <w:b/>
          <w:bCs/>
          <w:sz w:val="24"/>
          <w:szCs w:val="24"/>
        </w:rPr>
        <w:t>załącznik nr 1 do SWZ</w:t>
      </w:r>
      <w:r>
        <w:rPr>
          <w:rFonts w:hint="default" w:ascii="Times New Roman" w:hAnsi="Times New Roman" w:cs="Times New Roman"/>
          <w:sz w:val="24"/>
          <w:szCs w:val="24"/>
        </w:rPr>
        <w:t>.</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color w:val="000000"/>
          <w:sz w:val="24"/>
          <w:szCs w:val="24"/>
        </w:rPr>
      </w:pPr>
      <w:r>
        <w:rPr>
          <w:rFonts w:hint="default" w:ascii="Times New Roman" w:hAnsi="Times New Roman" w:cs="Times New Roman"/>
          <w:sz w:val="24"/>
          <w:szCs w:val="24"/>
        </w:rPr>
        <w:t xml:space="preserve">Niniejsze postępowanie prowadzone jest w języku polskim. </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color w:val="000000"/>
          <w:sz w:val="24"/>
          <w:szCs w:val="24"/>
        </w:rPr>
      </w:pPr>
      <w:r>
        <w:rPr>
          <w:rFonts w:hint="default" w:ascii="Times New Roman" w:hAnsi="Times New Roman" w:cs="Times New Roman"/>
          <w:sz w:val="24"/>
          <w:szCs w:val="24"/>
        </w:rPr>
        <w:t>Wykonawca może złożyć tylko jedną ofertę.</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color w:val="000000"/>
          <w:sz w:val="24"/>
          <w:szCs w:val="24"/>
        </w:rPr>
      </w:pPr>
      <w:r>
        <w:rPr>
          <w:rFonts w:hint="default" w:ascii="Times New Roman" w:hAnsi="Times New Roman" w:cs="Times New Roman"/>
          <w:i/>
          <w:iCs/>
          <w:color w:val="FF0000"/>
          <w:sz w:val="24"/>
          <w:szCs w:val="24"/>
        </w:rPr>
        <w:t xml:space="preserve">Oferta musi obejmować całość zamówienia, nie dopuszcza się składania ofert częściowych. </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color w:val="000000"/>
          <w:sz w:val="24"/>
          <w:szCs w:val="24"/>
        </w:rPr>
      </w:pPr>
      <w:r>
        <w:rPr>
          <w:rFonts w:hint="default" w:ascii="Times New Roman" w:hAnsi="Times New Roman" w:cs="Times New Roman"/>
          <w:sz w:val="24"/>
          <w:szCs w:val="24"/>
        </w:rPr>
        <w:t>Zamawiający nie dopuszcza składania ofert wariantowych.</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rPr>
        <w:t>Wykonawca ponosi wszelkie koszty związane z przygotowaniem i złożeniem oferty.</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sz w:val="24"/>
          <w:szCs w:val="24"/>
        </w:rPr>
      </w:pPr>
    </w:p>
    <w:p>
      <w:pPr>
        <w:pStyle w:val="135"/>
        <w:numPr>
          <w:ilvl w:val="0"/>
          <w:numId w:val="3"/>
        </w:numPr>
        <w:spacing w:line="360" w:lineRule="auto"/>
        <w:ind w:left="2699" w:leftChars="0" w:hanging="2699" w:firstLineChars="0"/>
        <w:jc w:val="both"/>
        <w:rPr>
          <w:rFonts w:hint="default" w:ascii="Times New Roman" w:hAnsi="Times New Roman" w:cs="Times New Roman"/>
          <w:b/>
          <w:bCs/>
          <w:lang w:val="pl-PL"/>
        </w:rPr>
      </w:pPr>
      <w:r>
        <w:rPr>
          <w:rFonts w:hint="default" w:ascii="Times New Roman" w:hAnsi="Times New Roman" w:cs="Times New Roman"/>
          <w:b/>
          <w:bCs/>
          <w:lang w:val="pl-PL"/>
        </w:rPr>
        <w:t>Komunikacja między zamawiającym a wykonawcami</w:t>
      </w:r>
    </w:p>
    <w:p>
      <w:pPr>
        <w:pStyle w:val="78"/>
        <w:numPr>
          <w:ilvl w:val="0"/>
          <w:numId w:val="6"/>
        </w:numPr>
        <w:spacing w:after="0" w:line="240" w:lineRule="auto"/>
        <w:ind w:left="567" w:hanging="567"/>
        <w:jc w:val="both"/>
        <w:rPr>
          <w:rFonts w:hint="default" w:ascii="Times New Roman" w:hAnsi="Times New Roman" w:cs="Times New Roman"/>
          <w:i/>
          <w:sz w:val="24"/>
          <w:szCs w:val="24"/>
        </w:rPr>
      </w:pPr>
      <w:r>
        <w:rPr>
          <w:rStyle w:val="31"/>
          <w:rFonts w:hint="default" w:ascii="Times New Roman" w:hAnsi="Times New Roman" w:cs="Times New Roman"/>
          <w:bCs/>
          <w:color w:val="auto"/>
          <w:sz w:val="24"/>
          <w:szCs w:val="24"/>
          <w:u w:val="none"/>
        </w:rPr>
        <w:t>K</w:t>
      </w:r>
      <w:r>
        <w:rPr>
          <w:rFonts w:hint="default" w:ascii="Times New Roman" w:hAnsi="Times New Roman" w:cs="Times New Roman"/>
          <w:bCs/>
          <w:sz w:val="24"/>
          <w:szCs w:val="24"/>
        </w:rPr>
        <w:t>omunikacja między zamawiającym a wykonawcami, w tym oferty oraz wszelkie oświadczenia, wnioski (w szczególności o wyjaśnienie treści SWZ), zawiadomienia i informacje przekazywane są wyłącznie poprzez ich złożenie na platformie</w:t>
      </w:r>
      <w:r>
        <w:rPr>
          <w:rFonts w:hint="default" w:ascii="Times New Roman" w:hAnsi="Times New Roman" w:cs="Times New Roman"/>
          <w:sz w:val="24"/>
          <w:szCs w:val="24"/>
        </w:rPr>
        <w:t xml:space="preserve"> „Open Nexus” pod adresem </w:t>
      </w:r>
      <w:r>
        <w:rPr>
          <w:rFonts w:hint="default" w:ascii="Times New Roman" w:hAnsi="Times New Roman" w:cs="Times New Roman"/>
        </w:rPr>
        <w:fldChar w:fldCharType="begin"/>
      </w:r>
      <w:r>
        <w:rPr>
          <w:rFonts w:hint="default" w:ascii="Times New Roman" w:hAnsi="Times New Roman" w:cs="Times New Roman"/>
        </w:rPr>
        <w:instrText xml:space="preserve"> HYPERLINK "https://platformazakupowa.pl/" </w:instrText>
      </w:r>
      <w:r>
        <w:rPr>
          <w:rFonts w:hint="default" w:ascii="Times New Roman" w:hAnsi="Times New Roman" w:cs="Times New Roman"/>
        </w:rPr>
        <w:fldChar w:fldCharType="separate"/>
      </w:r>
      <w:r>
        <w:rPr>
          <w:rStyle w:val="31"/>
          <w:rFonts w:hint="default" w:ascii="Times New Roman" w:hAnsi="Times New Roman" w:cs="Times New Roman"/>
          <w:sz w:val="24"/>
          <w:szCs w:val="24"/>
        </w:rPr>
        <w:t>https://platformazakupowa.pl/</w:t>
      </w:r>
      <w:r>
        <w:rPr>
          <w:rStyle w:val="31"/>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(zwanej </w:t>
      </w:r>
      <w:r>
        <w:rPr>
          <w:rFonts w:hint="default" w:ascii="Times New Roman" w:hAnsi="Times New Roman" w:cs="Times New Roman"/>
          <w:b/>
          <w:bCs/>
          <w:sz w:val="24"/>
          <w:szCs w:val="24"/>
        </w:rPr>
        <w:t>dalej „Platforma”</w:t>
      </w:r>
      <w:r>
        <w:rPr>
          <w:rFonts w:hint="default" w:ascii="Times New Roman" w:hAnsi="Times New Roman" w:cs="Times New Roman"/>
          <w:sz w:val="24"/>
          <w:szCs w:val="24"/>
        </w:rPr>
        <w:t xml:space="preserve">) i pod nazwą postępowania wskazaną w tytule. </w:t>
      </w:r>
    </w:p>
    <w:p>
      <w:pPr>
        <w:pStyle w:val="78"/>
        <w:numPr>
          <w:ilvl w:val="0"/>
          <w:numId w:val="6"/>
        </w:numPr>
        <w:spacing w:after="0" w:line="240" w:lineRule="auto"/>
        <w:ind w:left="567" w:hanging="567"/>
        <w:jc w:val="both"/>
        <w:rPr>
          <w:rFonts w:hint="default" w:ascii="Times New Roman" w:hAnsi="Times New Roman" w:cs="Times New Roman"/>
          <w:i/>
          <w:sz w:val="24"/>
          <w:szCs w:val="24"/>
        </w:rPr>
      </w:pPr>
      <w:r>
        <w:rPr>
          <w:rFonts w:hint="default" w:ascii="Times New Roman" w:hAnsi="Times New Roman" w:cs="Times New Roman"/>
          <w:sz w:val="24"/>
          <w:szCs w:val="24"/>
        </w:rPr>
        <w:t>Korespondencja przekazana w inny sposób nie będzie brana pod uwagę przez zamawiającego.</w:t>
      </w:r>
    </w:p>
    <w:p>
      <w:pPr>
        <w:pStyle w:val="78"/>
        <w:numPr>
          <w:ilvl w:val="0"/>
          <w:numId w:val="6"/>
        </w:numPr>
        <w:spacing w:after="0" w:line="240" w:lineRule="auto"/>
        <w:ind w:left="567" w:hanging="567"/>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Ofertę i oświadczenie, o niepodleganiu wykluczeniu i spełnianiu warunków udziału w postępowaniu, składa się, pod rygorem nieważności w formie elektronicznej przy użyciu kwalifikowanego podpisu elektronicznego lub w postaci elektronicznej opatrzonej podpisem zaufanym lub podpisem osobistym.</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Wykonawca celem złożenia oferty winien zapoznać się z Regulaminem Internetowej Platformy zakupowej platformazakupowa.pl Open Nexus Sp. z o.o. dostępnym na stronie Platformy pod adresem </w:t>
      </w:r>
      <w:r>
        <w:rPr>
          <w:rFonts w:hint="default" w:ascii="Times New Roman" w:hAnsi="Times New Roman" w:cs="Times New Roman"/>
        </w:rPr>
        <w:fldChar w:fldCharType="begin"/>
      </w:r>
      <w:r>
        <w:rPr>
          <w:rFonts w:hint="default" w:ascii="Times New Roman" w:hAnsi="Times New Roman" w:cs="Times New Roman"/>
        </w:rPr>
        <w:instrText xml:space="preserve"> HYPERLINK "https://platformazakupowa.pl/strona/1-regulamin" </w:instrText>
      </w:r>
      <w:r>
        <w:rPr>
          <w:rFonts w:hint="default" w:ascii="Times New Roman" w:hAnsi="Times New Roman" w:cs="Times New Roman"/>
        </w:rPr>
        <w:fldChar w:fldCharType="separate"/>
      </w:r>
      <w:r>
        <w:rPr>
          <w:rStyle w:val="31"/>
          <w:rFonts w:hint="default" w:ascii="Times New Roman" w:hAnsi="Times New Roman" w:cs="Times New Roman"/>
          <w:sz w:val="24"/>
          <w:szCs w:val="24"/>
        </w:rPr>
        <w:t>https://platformazakupowa.pl/strona/1-regulamin</w:t>
      </w:r>
      <w:r>
        <w:rPr>
          <w:rStyle w:val="31"/>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i postępować zgodnie z zawartą w nim instrukcją.</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Zamawiający informuje, że Platforma jest kompatybilna ze wszystkimi podpisami elektronicznymi. Szczegółowe informacje o sposobie pozyskania usługi kwalifikowanego podpisu elektronicznego oraz warunkach jej użycia można znaleźć na stronach internetowych kwalifikowanych dostawców usług zaufania, których lista znajduje się pod adresem: </w:t>
      </w:r>
      <w:r>
        <w:rPr>
          <w:rFonts w:hint="default" w:ascii="Times New Roman" w:hAnsi="Times New Roman" w:cs="Times New Roman"/>
        </w:rPr>
        <w:fldChar w:fldCharType="begin"/>
      </w:r>
      <w:r>
        <w:rPr>
          <w:rFonts w:hint="default" w:ascii="Times New Roman" w:hAnsi="Times New Roman" w:cs="Times New Roman"/>
        </w:rPr>
        <w:instrText xml:space="preserve"> HYPERLINK "http://www.nccert.pl/kontakt.htm" </w:instrText>
      </w:r>
      <w:r>
        <w:rPr>
          <w:rFonts w:hint="default" w:ascii="Times New Roman" w:hAnsi="Times New Roman" w:cs="Times New Roman"/>
        </w:rPr>
        <w:fldChar w:fldCharType="separate"/>
      </w:r>
      <w:r>
        <w:rPr>
          <w:rStyle w:val="31"/>
          <w:rFonts w:hint="default" w:ascii="Times New Roman" w:hAnsi="Times New Roman" w:cs="Times New Roman"/>
          <w:sz w:val="24"/>
          <w:szCs w:val="24"/>
        </w:rPr>
        <w:t>http://www.nccert.pl/kontakt.htm</w:t>
      </w:r>
      <w:r>
        <w:rPr>
          <w:rStyle w:val="31"/>
          <w:rFonts w:hint="default" w:ascii="Times New Roman" w:hAnsi="Times New Roman" w:cs="Times New Roman"/>
          <w:sz w:val="24"/>
          <w:szCs w:val="24"/>
        </w:rPr>
        <w:fldChar w:fldCharType="end"/>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Wymagania techniczne: dokumenty wymagane przez zamawiającego opisane w SWZ lub ogłoszeniu o zamówieniu, winny być załączone w formie plików w formacie odpowiednio: xml, pdf, doc, docx, xls lub xlsx.</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Wymagania sprzętowe dla wykonawcy: przeglądarka internetowa Internet Explorer 11 lub Firefox ver. 46 i późniejsze lub Chrome ver. 45 i późniejsze lub Opera ver. 37 i późniejsze.</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 xml:space="preserve">Wykonawca może przed upływem terminu składania ofert wycofać ofertę za pośrednictwem Formularza składania oferty lub wniosku zamieszczonego na </w:t>
      </w:r>
      <w:r>
        <w:rPr>
          <w:rFonts w:hint="default" w:ascii="Times New Roman" w:hAnsi="Times New Roman" w:eastAsia="Open Sans" w:cs="Times New Roman"/>
          <w:i w:val="0"/>
          <w:iCs w:val="0"/>
          <w:caps w:val="0"/>
          <w:spacing w:val="0"/>
          <w:sz w:val="24"/>
          <w:szCs w:val="24"/>
          <w:u w:val="none"/>
          <w:shd w:val="clear" w:fill="F8F8F8"/>
          <w:vertAlign w:val="baseline"/>
        </w:rPr>
        <w:fldChar w:fldCharType="begin"/>
      </w:r>
      <w:r>
        <w:rPr>
          <w:rFonts w:hint="default" w:ascii="Times New Roman" w:hAnsi="Times New Roman" w:eastAsia="Open Sans" w:cs="Times New Roman"/>
          <w:i w:val="0"/>
          <w:iCs w:val="0"/>
          <w:caps w:val="0"/>
          <w:spacing w:val="0"/>
          <w:sz w:val="24"/>
          <w:szCs w:val="24"/>
          <w:u w:val="none"/>
          <w:shd w:val="clear" w:fill="F8F8F8"/>
          <w:vertAlign w:val="baseline"/>
        </w:rPr>
        <w:instrText xml:space="preserve"> HYPERLINK "https://platformazakupowa.pl/pn/pec_leczyca" </w:instrText>
      </w:r>
      <w:r>
        <w:rPr>
          <w:rFonts w:hint="default" w:ascii="Times New Roman" w:hAnsi="Times New Roman" w:eastAsia="Open Sans" w:cs="Times New Roman"/>
          <w:i w:val="0"/>
          <w:iCs w:val="0"/>
          <w:caps w:val="0"/>
          <w:spacing w:val="0"/>
          <w:sz w:val="24"/>
          <w:szCs w:val="24"/>
          <w:u w:val="none"/>
          <w:shd w:val="clear" w:fill="F8F8F8"/>
          <w:vertAlign w:val="baseline"/>
        </w:rPr>
        <w:fldChar w:fldCharType="separate"/>
      </w:r>
      <w:r>
        <w:rPr>
          <w:rStyle w:val="31"/>
          <w:rFonts w:hint="default" w:ascii="Times New Roman" w:hAnsi="Times New Roman" w:eastAsia="Open Sans" w:cs="Times New Roman"/>
          <w:i w:val="0"/>
          <w:iCs w:val="0"/>
          <w:caps w:val="0"/>
          <w:spacing w:val="0"/>
          <w:sz w:val="24"/>
          <w:szCs w:val="24"/>
          <w:u w:val="none"/>
          <w:shd w:val="clear" w:fill="F8F8F8"/>
          <w:vertAlign w:val="baseline"/>
        </w:rPr>
        <w:t>https://platformazakupowa.pl/pn/pec_leczyca</w:t>
      </w:r>
      <w:r>
        <w:rPr>
          <w:rFonts w:hint="default" w:ascii="Times New Roman" w:hAnsi="Times New Roman" w:eastAsia="Open Sans" w:cs="Times New Roman"/>
          <w:i w:val="0"/>
          <w:iCs w:val="0"/>
          <w:caps w:val="0"/>
          <w:spacing w:val="0"/>
          <w:sz w:val="24"/>
          <w:szCs w:val="24"/>
          <w:u w:val="none"/>
          <w:shd w:val="clear" w:fill="F8F8F8"/>
          <w:vertAlign w:val="baseline"/>
        </w:rPr>
        <w:fldChar w:fldCharType="end"/>
      </w:r>
      <w:r>
        <w:rPr>
          <w:rFonts w:hint="default" w:ascii="Times New Roman" w:hAnsi="Times New Roman" w:cs="Times New Roman"/>
        </w:rPr>
        <w:t>.</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Z uwagi na to, że oferta Wykonawcy jest zaszyfrowana nie można edytować ofert. Przez zmianę oferty rozumie się złożenie nowej oferty i wycofanie poprzedniej, jednak należy to zrobić przed upływem terminu zakończenia składania ofert w postępowaniu.</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 xml:space="preserve">Złożenie nowej oferty i wycofanie poprzedniej w postępowaniu, w którym Zamawiający dopuszcza złożenie tylko jednej oferty przed upływem terminu zakończenia składania ofert w postępowaniu powoduje wycofanie oferty poprzednio złożonej.  </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Wycofanie oferty możliwe jest do zakończenia terminu składania ofert w postępowaniu.</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Wycofanie złożonej oferty powoduje, że zamawiający nie będzie miał możliwości zapoznania się z nią po upływie terminu zakończenia składania ofert w postępowaniu.</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Wykonawca po upływie terminu składania ofert nie może wycofać oferty. </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Do niniejszego postępowania mają zastosowanie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numPr>
          <w:ilvl w:val="0"/>
          <w:numId w:val="6"/>
        </w:numPr>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Osobą uprawnioną do kontaktu z wykonawcami jest p. </w:t>
      </w:r>
      <w:r>
        <w:rPr>
          <w:rFonts w:hint="default" w:ascii="Times New Roman" w:hAnsi="Times New Roman" w:cs="Times New Roman"/>
          <w:sz w:val="24"/>
          <w:szCs w:val="24"/>
          <w:lang w:val="pl-PL"/>
        </w:rPr>
        <w:t>Łukasz Gomuła</w:t>
      </w:r>
      <w:r>
        <w:rPr>
          <w:rFonts w:hint="default" w:ascii="Times New Roman" w:hAnsi="Times New Roman" w:cs="Times New Roman"/>
          <w:sz w:val="24"/>
          <w:szCs w:val="24"/>
        </w:rPr>
        <w:t xml:space="preserve"> tel. </w:t>
      </w:r>
      <w:r>
        <w:rPr>
          <w:rFonts w:hint="default" w:ascii="Times New Roman" w:hAnsi="Times New Roman" w:cs="Times New Roman"/>
          <w:sz w:val="24"/>
          <w:szCs w:val="24"/>
          <w:lang w:val="pl-PL"/>
        </w:rPr>
        <w:t>662 331 829</w:t>
      </w:r>
    </w:p>
    <w:p>
      <w:pPr>
        <w:numPr>
          <w:ilvl w:val="0"/>
          <w:numId w:val="0"/>
        </w:numPr>
        <w:ind w:leftChars="0"/>
        <w:jc w:val="both"/>
        <w:rPr>
          <w:rFonts w:hint="default" w:ascii="Times New Roman" w:hAnsi="Times New Roman" w:cs="Times New Roman"/>
          <w:sz w:val="24"/>
          <w:szCs w:val="24"/>
          <w:lang w:val="pl-PL"/>
        </w:rPr>
      </w:pPr>
    </w:p>
    <w:p>
      <w:pPr>
        <w:numPr>
          <w:ilvl w:val="0"/>
          <w:numId w:val="0"/>
        </w:numPr>
        <w:ind w:leftChars="0"/>
        <w:jc w:val="both"/>
        <w:rPr>
          <w:rFonts w:hint="default" w:ascii="Times New Roman" w:hAnsi="Times New Roman" w:cs="Times New Roman"/>
          <w:sz w:val="24"/>
          <w:szCs w:val="24"/>
          <w:lang w:val="pl-PL"/>
        </w:rPr>
      </w:pPr>
    </w:p>
    <w:p>
      <w:pPr>
        <w:pStyle w:val="135"/>
        <w:numPr>
          <w:ilvl w:val="0"/>
          <w:numId w:val="3"/>
        </w:numPr>
        <w:spacing w:line="360" w:lineRule="auto"/>
        <w:ind w:left="2699" w:leftChars="0" w:hanging="2699" w:firstLineChars="0"/>
        <w:jc w:val="both"/>
        <w:rPr>
          <w:rFonts w:hint="default" w:ascii="Times New Roman" w:hAnsi="Times New Roman" w:cs="Times New Roman"/>
          <w:b/>
          <w:bCs/>
        </w:rPr>
      </w:pPr>
      <w:r>
        <w:rPr>
          <w:rFonts w:hint="default" w:ascii="Times New Roman" w:hAnsi="Times New Roman" w:cs="Times New Roman"/>
          <w:b/>
          <w:bCs/>
        </w:rPr>
        <w:t>Wykonawcy wspólnie ubiegający się o udzielenie zamówienia</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Wykonawcy wspólnie ubiegający się o udzielenie zamówienia ustanawiają pełnomocnika do reprezentowania ich w postępowaniu albo do reprezentowania ich w postępowaniu i zawarcia umowy.</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Pełnomocnictwo, o którym mowa w pkt 1 należy dołączyć do oferty.</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 xml:space="preserve">Wszelką korespondencję w postępowaniu zamawiający kieruje do pełnomocnika. </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 xml:space="preserve">Sposób składania dokumentów przez wykonawców wspólnie ubiegających się o udzielenie zamówienia został określony w </w:t>
      </w:r>
      <w:r>
        <w:rPr>
          <w:rFonts w:hint="default" w:ascii="Times New Roman" w:hAnsi="Times New Roman" w:cs="Times New Roman"/>
          <w:i/>
        </w:rPr>
        <w:t xml:space="preserve"> </w:t>
      </w:r>
      <w:r>
        <w:rPr>
          <w:rFonts w:hint="default" w:ascii="Times New Roman" w:hAnsi="Times New Roman" w:cs="Times New Roman"/>
        </w:rPr>
        <w:t>SWZ.</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Wspólnicy spółki cywilnej są wykonawcami wspólnie ubiegającymi się o udzielenie zamówienia i mają do nich zastosowanie zasady określone w pkt 1 – 4.</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rPr>
      </w:pPr>
      <w:r>
        <w:rPr>
          <w:rFonts w:hint="default" w:ascii="Times New Roman" w:hAnsi="Times New Roman" w:cs="Times New Roman"/>
        </w:rPr>
        <w:t>Przed zawarciem umowy wykonawcy wspólnie ubiegający się o udzielenie zamówienia będą mieli obowiązek przedstawić zamawiającemu kopię umowy regulującej współpracę tych wykonawców, zawierającą, co najmniej:</w:t>
      </w:r>
    </w:p>
    <w:p>
      <w:pPr>
        <w:numPr>
          <w:ilvl w:val="0"/>
          <w:numId w:val="8"/>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zobowiązanie do realizacji wspólnego przedsięwzięcia gospodarczego obejmującego swoim zakresem realizację przedmiotu zamówienia,</w:t>
      </w:r>
    </w:p>
    <w:p>
      <w:pPr>
        <w:numPr>
          <w:ilvl w:val="0"/>
          <w:numId w:val="8"/>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określenie zakresu działania poszczególnych stron umowy,</w:t>
      </w:r>
    </w:p>
    <w:p>
      <w:pPr>
        <w:numPr>
          <w:ilvl w:val="0"/>
          <w:numId w:val="8"/>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czas obowiązywania umowy, który nie może być krótszy, niż okres obejmujący realizację zamówienia.</w:t>
      </w:r>
    </w:p>
    <w:p>
      <w:pPr>
        <w:pStyle w:val="139"/>
        <w:numPr>
          <w:ilvl w:val="0"/>
          <w:numId w:val="9"/>
        </w:numPr>
        <w:tabs>
          <w:tab w:val="left" w:pos="567"/>
          <w:tab w:val="clear" w:pos="0"/>
        </w:tabs>
        <w:ind w:left="567" w:hanging="567"/>
        <w:rPr>
          <w:rFonts w:hint="default" w:ascii="Times New Roman" w:hAnsi="Times New Roman" w:cs="Times New Roman"/>
        </w:rPr>
      </w:pPr>
      <w:r>
        <w:rPr>
          <w:rFonts w:hint="default" w:ascii="Times New Roman" w:hAnsi="Times New Roman" w:cs="Times New Roman"/>
        </w:rPr>
        <w:t>Zalecane jest, aby wniesione wadium jednoznacznie wskazywało na wszystkich Wykonawców wspólnie ubiegających się o udzielenie zamówienia (jeżeli jest wymagane).</w:t>
      </w:r>
    </w:p>
    <w:p>
      <w:pPr>
        <w:pStyle w:val="139"/>
        <w:numPr>
          <w:ilvl w:val="0"/>
          <w:numId w:val="9"/>
        </w:numPr>
        <w:tabs>
          <w:tab w:val="left" w:pos="567"/>
          <w:tab w:val="clear" w:pos="0"/>
        </w:tabs>
        <w:ind w:left="567" w:hanging="567"/>
        <w:rPr>
          <w:rFonts w:hint="default" w:ascii="Times New Roman" w:hAnsi="Times New Roman" w:cs="Times New Roman"/>
        </w:rPr>
      </w:pPr>
      <w:r>
        <w:rPr>
          <w:rFonts w:hint="default" w:ascii="Times New Roman" w:hAnsi="Times New Roman" w:cs="Times New Roman"/>
        </w:rPr>
        <w:t>Wykonawcy wspólnie ubiegający się o udzielenie zamówienia ponoszą solidarną odpowiedzialność za wykonanie umowy i wniesienie zabezpieczenia należytego wykonania umowy.</w:t>
      </w:r>
    </w:p>
    <w:p>
      <w:pPr>
        <w:pStyle w:val="135"/>
        <w:numPr>
          <w:ilvl w:val="0"/>
          <w:numId w:val="3"/>
        </w:numPr>
        <w:spacing w:line="360" w:lineRule="auto"/>
        <w:ind w:left="2699" w:leftChars="0" w:hanging="2699"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Jawność postępowania, RODO</w:t>
      </w:r>
    </w:p>
    <w:p>
      <w:pPr>
        <w:numPr>
          <w:ilvl w:val="0"/>
          <w:numId w:val="10"/>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Postępowanie o udzielenie niniejszego zamówienia jest jawne.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takich jak  nazwa, siedziba oraz cena zawarta w ofercie. </w:t>
      </w:r>
    </w:p>
    <w:p>
      <w:pPr>
        <w:numPr>
          <w:ilvl w:val="0"/>
          <w:numId w:val="10"/>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W sytuacji, gdy wykonawca zastrzeże w ofercie informacje, które nie stanowią tajemnicy przedsiębiorstwa lub są jawne na podstawie przepisów prawa, informacje te będą podlegały udostępnieniu na takich samych zasadach, jak pozostałe niezastrzeżone dokumenty.</w:t>
      </w:r>
    </w:p>
    <w:p>
      <w:pPr>
        <w:numPr>
          <w:ilvl w:val="0"/>
          <w:numId w:val="10"/>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Zgodnie z art. 13 i 14 RODO, Zamawiający informuje, że: </w:t>
      </w:r>
    </w:p>
    <w:p>
      <w:pPr>
        <w:pStyle w:val="32"/>
        <w:numPr>
          <w:ilvl w:val="0"/>
          <w:numId w:val="11"/>
        </w:numPr>
        <w:spacing w:before="0" w:beforeAutospacing="0" w:after="0" w:afterAutospacing="0"/>
        <w:ind w:left="1134" w:hanging="567"/>
        <w:jc w:val="both"/>
        <w:rPr>
          <w:rFonts w:hint="default" w:ascii="Times New Roman" w:hAnsi="Times New Roman" w:cs="Times New Roman"/>
          <w:color w:val="auto"/>
        </w:rPr>
      </w:pPr>
      <w:r>
        <w:rPr>
          <w:rFonts w:hint="default" w:ascii="Times New Roman" w:hAnsi="Times New Roman" w:cs="Times New Roman"/>
        </w:rPr>
        <w:t xml:space="preserve">administratorem danych osobowych jest: </w:t>
      </w:r>
      <w:r>
        <w:rPr>
          <w:rFonts w:hint="default" w:ascii="Times New Roman" w:hAnsi="Times New Roman" w:cs="Times New Roman"/>
          <w:lang w:val="pl-PL"/>
        </w:rPr>
        <w:t>Przedsiębiorstwo Energetyki Cieplnej Sp. z o.o. w Łęczycy</w:t>
      </w:r>
      <w:r>
        <w:rPr>
          <w:rFonts w:hint="default" w:ascii="Times New Roman" w:hAnsi="Times New Roman" w:cs="Times New Roman"/>
        </w:rPr>
        <w:t xml:space="preserve">, ul. </w:t>
      </w:r>
      <w:r>
        <w:rPr>
          <w:rFonts w:hint="default" w:ascii="Times New Roman" w:hAnsi="Times New Roman" w:cs="Times New Roman"/>
          <w:lang w:val="pl-PL"/>
        </w:rPr>
        <w:t>Tumska 2</w:t>
      </w:r>
      <w:r>
        <w:rPr>
          <w:rFonts w:hint="default" w:ascii="Times New Roman" w:hAnsi="Times New Roman" w:cs="Times New Roman"/>
        </w:rPr>
        <w:t xml:space="preserve">, </w:t>
      </w:r>
      <w:r>
        <w:rPr>
          <w:rFonts w:hint="default" w:ascii="Times New Roman" w:hAnsi="Times New Roman" w:cs="Times New Roman"/>
          <w:lang w:val="pl-PL"/>
        </w:rPr>
        <w:t>99</w:t>
      </w:r>
      <w:r>
        <w:rPr>
          <w:rFonts w:hint="default" w:ascii="Times New Roman" w:hAnsi="Times New Roman" w:cs="Times New Roman"/>
        </w:rPr>
        <w:t>-</w:t>
      </w:r>
      <w:r>
        <w:rPr>
          <w:rFonts w:hint="default" w:ascii="Times New Roman" w:hAnsi="Times New Roman" w:cs="Times New Roman"/>
          <w:lang w:val="pl-PL"/>
        </w:rPr>
        <w:t>100</w:t>
      </w:r>
      <w:r>
        <w:rPr>
          <w:rFonts w:hint="default" w:ascii="Times New Roman" w:hAnsi="Times New Roman" w:cs="Times New Roman"/>
        </w:rPr>
        <w:t xml:space="preserve"> </w:t>
      </w:r>
      <w:r>
        <w:rPr>
          <w:rFonts w:hint="default" w:ascii="Times New Roman" w:hAnsi="Times New Roman" w:cs="Times New Roman"/>
          <w:lang w:val="pl-PL"/>
        </w:rPr>
        <w:t>Łęczyca</w:t>
      </w:r>
    </w:p>
    <w:p>
      <w:pPr>
        <w:pStyle w:val="32"/>
        <w:numPr>
          <w:ilvl w:val="0"/>
          <w:numId w:val="11"/>
        </w:numPr>
        <w:spacing w:before="0" w:beforeAutospacing="0" w:after="0" w:afterAutospacing="0"/>
        <w:ind w:left="1134" w:hanging="567"/>
        <w:jc w:val="both"/>
        <w:rPr>
          <w:rStyle w:val="31"/>
          <w:rFonts w:hint="default" w:ascii="Times New Roman" w:hAnsi="Times New Roman" w:cs="Times New Roman"/>
        </w:rPr>
      </w:pPr>
      <w:r>
        <w:rPr>
          <w:rFonts w:hint="default" w:ascii="Times New Roman" w:hAnsi="Times New Roman" w:cs="Times New Roman"/>
          <w:color w:val="auto"/>
        </w:rPr>
        <w:t xml:space="preserve">kontakt do inspektora ochrony danych osobowych </w:t>
      </w:r>
      <w:r>
        <w:rPr>
          <w:rFonts w:hint="default" w:ascii="Times New Roman" w:hAnsi="Times New Roman" w:cs="Times New Roman"/>
        </w:rPr>
        <w:t xml:space="preserve">w: </w:t>
      </w:r>
      <w:r>
        <w:rPr>
          <w:rFonts w:hint="default" w:ascii="Times New Roman" w:hAnsi="Times New Roman" w:cs="Times New Roman"/>
          <w:lang w:val="pl-PL"/>
        </w:rPr>
        <w:t>PEC Sp. z o.o. w Łęczycy</w:t>
      </w:r>
      <w:r>
        <w:rPr>
          <w:rFonts w:hint="default" w:ascii="Times New Roman" w:hAnsi="Times New Roman" w:cs="Times New Roman"/>
        </w:rPr>
        <w:t xml:space="preserve"> tel. </w:t>
      </w:r>
      <w:r>
        <w:rPr>
          <w:rFonts w:hint="default" w:ascii="Times New Roman" w:hAnsi="Times New Roman" w:cs="Times New Roman"/>
          <w:lang w:val="pl-PL"/>
        </w:rPr>
        <w:t>662 331 829</w:t>
      </w:r>
      <w:r>
        <w:rPr>
          <w:rFonts w:hint="default" w:ascii="Times New Roman" w:hAnsi="Times New Roman" w:cs="Times New Roman"/>
        </w:rPr>
        <w:t>, adres e-mail:</w:t>
      </w:r>
      <w:r>
        <w:rPr>
          <w:rFonts w:hint="default" w:ascii="Times New Roman" w:hAnsi="Times New Roman" w:cs="Times New Roman"/>
          <w:lang w:val="pl-PL"/>
        </w:rPr>
        <w:t xml:space="preserve"> inspektor@pecleczyca.pl</w:t>
      </w:r>
    </w:p>
    <w:p>
      <w:pPr>
        <w:pStyle w:val="32"/>
        <w:numPr>
          <w:ilvl w:val="0"/>
          <w:numId w:val="11"/>
        </w:numPr>
        <w:spacing w:before="0" w:beforeAutospacing="0" w:after="0" w:afterAutospacing="0"/>
        <w:ind w:left="1134" w:hanging="567"/>
        <w:jc w:val="both"/>
        <w:rPr>
          <w:rFonts w:hint="default" w:ascii="Times New Roman" w:hAnsi="Times New Roman" w:cs="Times New Roman"/>
        </w:rPr>
      </w:pPr>
      <w:r>
        <w:rPr>
          <w:rFonts w:hint="default" w:ascii="Times New Roman" w:hAnsi="Times New Roman" w:cs="Times New Roman"/>
        </w:rPr>
        <w:t xml:space="preserve">dane osobowe będą przetwarzane w celu przeprowadzenia postępowania o udzielenie zamówienia publicznego, wyłączonego ze stosowania </w:t>
      </w:r>
      <w:r>
        <w:rPr>
          <w:rFonts w:hint="default" w:ascii="Times New Roman" w:hAnsi="Times New Roman" w:cs="Times New Roman"/>
          <w:bCs/>
        </w:rPr>
        <w:t>przepisów ustawy z dnia 11 września 2019 r. Prawo zamówień publicznych, ze względu na treść art. 2 ust 1 pkt 2 w zw. z art. 5 ust.1 pkt 2 i ust. 4 pkt 1 tej ustawy (</w:t>
      </w:r>
      <w:r>
        <w:rPr>
          <w:rFonts w:hint="default" w:ascii="Times New Roman" w:hAnsi="Times New Roman" w:cs="Times New Roman"/>
          <w:bCs/>
          <w:u w:val="single"/>
        </w:rPr>
        <w:t>zamówienie sektorowe o wartości mniejszej niż progi unijne dla zamawiających sektorowych</w:t>
      </w:r>
      <w:r>
        <w:rPr>
          <w:rFonts w:hint="default" w:ascii="Times New Roman" w:hAnsi="Times New Roman" w:cs="Times New Roman"/>
          <w:bCs/>
        </w:rPr>
        <w:t>);</w:t>
      </w:r>
      <w:r>
        <w:rPr>
          <w:rFonts w:hint="default" w:ascii="Times New Roman" w:hAnsi="Times New Roman" w:cs="Times New Roman"/>
        </w:rPr>
        <w:t xml:space="preserve"> podstawą prawną przetwarzania jest ustawa z dnia 23 kwietnia 1964 r. Kodeks cywilny oraz obowiązek stosowania sformalizowanych zasad udzielania zamówień stosowanych w </w:t>
      </w:r>
      <w:r>
        <w:rPr>
          <w:rFonts w:hint="default" w:ascii="Times New Roman" w:hAnsi="Times New Roman" w:cs="Times New Roman"/>
          <w:lang w:val="pl-PL"/>
        </w:rPr>
        <w:t>PEC</w:t>
      </w:r>
      <w:r>
        <w:rPr>
          <w:rFonts w:hint="default" w:ascii="Times New Roman" w:hAnsi="Times New Roman" w:cs="Times New Roman"/>
        </w:rPr>
        <w:t xml:space="preserve"> Sp. z o.o. w </w:t>
      </w:r>
      <w:r>
        <w:rPr>
          <w:rFonts w:hint="default" w:ascii="Times New Roman" w:hAnsi="Times New Roman" w:cs="Times New Roman"/>
          <w:lang w:val="pl-PL"/>
        </w:rPr>
        <w:t>Łęczycy</w:t>
      </w:r>
    </w:p>
    <w:p>
      <w:pPr>
        <w:pStyle w:val="32"/>
        <w:numPr>
          <w:ilvl w:val="0"/>
          <w:numId w:val="11"/>
        </w:numPr>
        <w:spacing w:before="0" w:beforeAutospacing="0" w:after="0" w:afterAutospacing="0"/>
        <w:ind w:left="1134" w:hanging="567"/>
        <w:jc w:val="both"/>
        <w:rPr>
          <w:rFonts w:hint="default" w:ascii="Times New Roman" w:hAnsi="Times New Roman" w:cs="Times New Roman"/>
        </w:rPr>
      </w:pPr>
      <w:r>
        <w:rPr>
          <w:rFonts w:hint="default" w:ascii="Times New Roman" w:hAnsi="Times New Roman" w:cs="Times New Roman"/>
        </w:rPr>
        <w:t>odbiorcami danych osobowych mogą być osoby lub podmioty, którym udostępniona zostanie dokumentacja dotycząca postępowania w oparciu o: przepisy prawa oraz umowy powierzenia przetwarzania danych, a także 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 - jeżeli dotyczy</w:t>
      </w:r>
    </w:p>
    <w:p>
      <w:pPr>
        <w:pStyle w:val="32"/>
        <w:numPr>
          <w:ilvl w:val="0"/>
          <w:numId w:val="11"/>
        </w:numPr>
        <w:spacing w:before="0" w:beforeAutospacing="0" w:after="0" w:afterAutospacing="0"/>
        <w:ind w:left="1134" w:hanging="567"/>
        <w:jc w:val="both"/>
        <w:rPr>
          <w:rFonts w:hint="default" w:ascii="Times New Roman" w:hAnsi="Times New Roman" w:cs="Times New Roman"/>
        </w:rPr>
      </w:pPr>
      <w:r>
        <w:rPr>
          <w:rFonts w:hint="default" w:ascii="Times New Roman" w:hAnsi="Times New Roman" w:cs="Times New Roman"/>
        </w:rPr>
        <w:t xml:space="preserve">dane osobowe będą przechowywane odpowiednio: </w:t>
      </w:r>
    </w:p>
    <w:p>
      <w:pPr>
        <w:pStyle w:val="78"/>
        <w:numPr>
          <w:ilvl w:val="0"/>
          <w:numId w:val="12"/>
        </w:numPr>
        <w:spacing w:after="0" w:line="240" w:lineRule="auto"/>
        <w:ind w:left="1701" w:hanging="567"/>
        <w:contextualSpacing w:val="0"/>
        <w:rPr>
          <w:rFonts w:hint="default" w:ascii="Times New Roman" w:hAnsi="Times New Roman" w:cs="Times New Roman"/>
          <w:sz w:val="24"/>
          <w:szCs w:val="24"/>
        </w:rPr>
      </w:pPr>
      <w:r>
        <w:rPr>
          <w:rFonts w:hint="default" w:ascii="Times New Roman" w:hAnsi="Times New Roman" w:cs="Times New Roman"/>
          <w:sz w:val="24"/>
          <w:szCs w:val="24"/>
        </w:rPr>
        <w:t xml:space="preserve">do czasu zakończenia niniejszego postępowania, </w:t>
      </w:r>
    </w:p>
    <w:p>
      <w:pPr>
        <w:pStyle w:val="78"/>
        <w:numPr>
          <w:ilvl w:val="0"/>
          <w:numId w:val="12"/>
        </w:numPr>
        <w:spacing w:after="0" w:line="240" w:lineRule="auto"/>
        <w:ind w:left="1701" w:hanging="567"/>
        <w:contextualSpacing w:val="0"/>
        <w:rPr>
          <w:rFonts w:hint="default" w:ascii="Times New Roman" w:hAnsi="Times New Roman" w:cs="Times New Roman"/>
          <w:sz w:val="24"/>
          <w:szCs w:val="24"/>
        </w:rPr>
      </w:pPr>
      <w:r>
        <w:rPr>
          <w:rFonts w:hint="default" w:ascii="Times New Roman" w:hAnsi="Times New Roman" w:cs="Times New Roman"/>
          <w:sz w:val="24"/>
          <w:szCs w:val="24"/>
        </w:rPr>
        <w:t>przez cały czas trwania umowy i okres jej rozliczania</w:t>
      </w:r>
    </w:p>
    <w:p>
      <w:pPr>
        <w:pStyle w:val="78"/>
        <w:numPr>
          <w:ilvl w:val="0"/>
          <w:numId w:val="12"/>
        </w:numPr>
        <w:spacing w:after="0" w:line="240" w:lineRule="auto"/>
        <w:ind w:left="1701" w:hanging="567"/>
        <w:contextualSpacing w:val="0"/>
        <w:rPr>
          <w:rFonts w:hint="default" w:ascii="Times New Roman" w:hAnsi="Times New Roman" w:cs="Times New Roman"/>
          <w:sz w:val="24"/>
          <w:szCs w:val="24"/>
        </w:rPr>
      </w:pPr>
      <w:r>
        <w:rPr>
          <w:rFonts w:hint="default" w:ascii="Times New Roman" w:hAnsi="Times New Roman" w:cs="Times New Roman"/>
          <w:sz w:val="24"/>
          <w:szCs w:val="24"/>
        </w:rPr>
        <w:t>do czasu przeprowadzania archiwizacji dokumentacji postępowania - w zakresie określonym w przepisach o archiwizacji</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w odniesieniu do danych osobowych decyzje nie będą podejmowane w sposób zautomatyzowany ani profilowane, stosownie do art. 22 RODO</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osoba fizyczna, której dane dotyczą posiada: prawo żądania od administratora dostępu do swoich danych osobowych, do ich sprostowania, ograniczenia przetwarzania na zasadach określonych w RODO oraz w innych obowiązujących w tym zakresie przepisach prawa</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osobie fizycznej, której dane dotyczą przysługuje prawo wniesienia skargi do organu nadzorczego – Prezesa Urzędu Ochrony Danych Osobowych, gdy uzasadnione jest, iż dane osobowe przetwarzane są przez administratora niezgodnie z przepisami RODO</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dane niepozyskane bezpośrednio od osób, których dotyczą, obejmują w szczególności następujące kategorie odnośnych danych osobowych: dane kontaktowe, stosowne uprawnienia i kwalifikacje do wykonywania określonych czynności </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źródłem pochodzenia danych osobowych niepozyskanych bezpośrednio od osoby, której dane dotyczą może być: Wykonawca oraz źródła publicznie dostępne takie jak CEIDG, KRS. </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podanie danych osobowych jest wymogiem ustawowym (wynikającym z ustawy Kodeks Cywilny), niepodanie danych uniemożliwia procedowanie złożonej oferty.</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Zamawiający nie planuje przekazywania danych do państwa trzeciego lub organizacji międzynarodowej.</w:t>
      </w:r>
    </w:p>
    <w:p>
      <w:pPr>
        <w:ind w:right="280"/>
        <w:jc w:val="both"/>
        <w:rPr>
          <w:rFonts w:ascii="Arial" w:hAnsi="Arial" w:cs="Arial"/>
          <w:sz w:val="24"/>
          <w:szCs w:val="24"/>
        </w:rPr>
      </w:pPr>
    </w:p>
    <w:p>
      <w:pPr>
        <w:ind w:right="280"/>
        <w:jc w:val="both"/>
        <w:rPr>
          <w:rFonts w:ascii="Arial" w:hAnsi="Arial" w:cs="Arial"/>
          <w:sz w:val="24"/>
          <w:szCs w:val="24"/>
        </w:rPr>
      </w:pPr>
    </w:p>
    <w:p>
      <w:pPr>
        <w:pStyle w:val="135"/>
        <w:numPr>
          <w:ilvl w:val="0"/>
          <w:numId w:val="3"/>
        </w:numPr>
        <w:spacing w:line="360" w:lineRule="auto"/>
        <w:ind w:left="2699" w:leftChars="0" w:hanging="2699" w:firstLineChars="0"/>
        <w:jc w:val="left"/>
        <w:rPr>
          <w:rFonts w:hint="default" w:ascii="Times New Roman" w:hAnsi="Times New Roman" w:cs="Times New Roman"/>
          <w:b/>
          <w:bCs/>
          <w:sz w:val="24"/>
          <w:szCs w:val="24"/>
          <w:lang w:val="pl-PL"/>
        </w:rPr>
      </w:pPr>
      <w:r>
        <w:rPr>
          <w:rFonts w:hint="default" w:ascii="Times New Roman" w:hAnsi="Times New Roman" w:cs="Times New Roman"/>
          <w:b/>
          <w:bCs/>
          <w:sz w:val="24"/>
          <w:szCs w:val="24"/>
          <w:lang w:val="pl-PL"/>
        </w:rPr>
        <w:t xml:space="preserve">Przesłanki wykluczenia Wykonawcy z postępowania. </w:t>
      </w:r>
    </w:p>
    <w:p>
      <w:pPr>
        <w:pStyle w:val="135"/>
        <w:numPr>
          <w:ilvl w:val="0"/>
          <w:numId w:val="0"/>
        </w:numPr>
        <w:spacing w:line="360" w:lineRule="auto"/>
        <w:ind w:leftChars="0"/>
        <w:jc w:val="left"/>
        <w:rPr>
          <w:rFonts w:hint="default" w:ascii="Times New Roman" w:hAnsi="Times New Roman" w:cs="Times New Roman"/>
          <w:b/>
          <w:bCs/>
          <w:sz w:val="24"/>
          <w:szCs w:val="24"/>
          <w:lang w:val="pl-PL"/>
        </w:rPr>
      </w:pPr>
      <w:r>
        <w:rPr>
          <w:rFonts w:hint="default" w:ascii="Times New Roman" w:hAnsi="Times New Roman" w:cs="Times New Roman"/>
          <w:b/>
          <w:bCs/>
          <w:sz w:val="24"/>
          <w:szCs w:val="24"/>
          <w:lang w:val="pl-PL"/>
        </w:rPr>
        <w:t>Warunki udziału w postępowaniu.</w:t>
      </w:r>
    </w:p>
    <w:p>
      <w:pPr>
        <w:pStyle w:val="78"/>
        <w:numPr>
          <w:ilvl w:val="0"/>
          <w:numId w:val="13"/>
        </w:numPr>
        <w:tabs>
          <w:tab w:val="left" w:pos="567"/>
          <w:tab w:val="clear" w:pos="360"/>
        </w:tabs>
        <w:spacing w:after="0" w:line="240" w:lineRule="auto"/>
        <w:ind w:left="567" w:hanging="567"/>
        <w:jc w:val="both"/>
        <w:rPr>
          <w:rFonts w:hint="default" w:ascii="Times New Roman" w:hAnsi="Times New Roman" w:eastAsia="Times New Roman" w:cs="Times New Roman"/>
          <w:color w:val="FF0000"/>
          <w:sz w:val="24"/>
          <w:szCs w:val="24"/>
        </w:rPr>
      </w:pPr>
      <w:r>
        <w:rPr>
          <w:rFonts w:hint="default" w:ascii="Times New Roman" w:hAnsi="Times New Roman" w:eastAsia="Times New Roman" w:cs="Times New Roman"/>
          <w:sz w:val="24"/>
          <w:szCs w:val="24"/>
        </w:rPr>
        <w:t xml:space="preserve">O udzielenie zamówienia może ubiegać się wykonawca, który </w:t>
      </w:r>
      <w:r>
        <w:rPr>
          <w:rFonts w:hint="default" w:ascii="Times New Roman" w:hAnsi="Times New Roman" w:eastAsia="Times New Roman" w:cs="Times New Roman"/>
          <w:bCs/>
          <w:sz w:val="24"/>
          <w:szCs w:val="24"/>
        </w:rPr>
        <w:t xml:space="preserve">nie podlega wykluczeniu z postępowania. </w:t>
      </w:r>
      <w:r>
        <w:rPr>
          <w:rFonts w:hint="default" w:ascii="Times New Roman" w:hAnsi="Times New Roman" w:cs="Times New Roman"/>
          <w:b/>
          <w:bCs/>
          <w:sz w:val="24"/>
          <w:szCs w:val="24"/>
        </w:rPr>
        <w:t>Z postępowania o udzielenie zamówienia publicznego wyklucza się wykonawcę:</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będącego osobą fizyczną, którego prawomocnie skazano za przestępstwo:</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udziału w zorganizowanej grupie przestępczej albo związku mającym na celu popełnienie przestępstwa lub przestępstwa skarbowego,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"/document/16798683?unitId=art(258)&amp;cm=DOCUMENT"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258</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handlu ludźmi,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"/document/16798683?unitId=art(189(a))&amp;cm=DOCUMENT"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189a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"/document/16798683?unitId=art(228)&amp;cm=DOCUMENT"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228-230a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"/document/16798683?unitId=art(250(a))&amp;cm=DOCUMENT"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250a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lub w art. 46 lub art. 48 ustawy z dnia 25 czerwca 2010 r. o sporcie,</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finansowania przestępstwa o charakterze terrorystycznym,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"/document/16798683?unitId=art(165(a))&amp;cm=DOCUMENT"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165a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"/document/16798683?unitId=art(299)&amp;cm=DOCUMENT"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299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o charakterze terrorystycznym,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"/document/16798683?unitId=art(115)par(20)&amp;cm=DOCUMENT"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115 § 20</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lub mające na celu popełnienie tego przestępstwa,</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powierzenia wykonywania pracy małoletniemu cudzoziemcowi,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"/document/17896506?unitId=art(9)ust(2)&amp;cm=DOCUMENT"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9 ust. 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ustawy z dnia 15 czerwca 2012 r. o skutkach powierzania wykonywania pracy cudzoziemcom przebywającym wbrew przepisom na terytorium Rzeczypospolitej Polskiej;</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przeciwko obrotowi gospodarczemu, o których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"/document/16798683?unitId=art(296)&amp;cm=DOCUMENT"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296-307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przestępstwo oszustwa,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"/document/16798683?unitId=art(286)&amp;cm=DOCUMENT"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286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przestępstwo przeciwko wiarygodności dokumentów, o których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"/document/16798683?unitId=art(270)&amp;cm=DOCUMENT"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270-277d</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lub przestępstwo skarbowe,</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pPr>
        <w:pStyle w:val="78"/>
        <w:spacing w:after="0" w:line="240" w:lineRule="auto"/>
        <w:ind w:left="1080"/>
        <w:jc w:val="both"/>
        <w:rPr>
          <w:rFonts w:hint="default" w:ascii="Times New Roman" w:hAnsi="Times New Roman" w:cs="Times New Roman"/>
          <w:sz w:val="24"/>
          <w:szCs w:val="24"/>
        </w:rPr>
      </w:pPr>
      <w:r>
        <w:rPr>
          <w:rFonts w:hint="default" w:ascii="Times New Roman" w:hAnsi="Times New Roman" w:cs="Times New Roman"/>
          <w:sz w:val="24"/>
          <w:szCs w:val="24"/>
        </w:rPr>
        <w:t>- lub za odpowiedni czyn zabroniony określony w przepisach prawa obcego;</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wobec którego prawomocnie orzeczono zakaz ubiegania się o zamówienia publiczne;</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"/document/17337528?cm=DOCUMENT" </w:instrText>
      </w:r>
      <w:r>
        <w:rPr>
          <w:rFonts w:hint="default" w:ascii="Times New Roman" w:hAnsi="Times New Roman" w:cs="Times New Roman"/>
        </w:rPr>
        <w:fldChar w:fldCharType="separate"/>
      </w:r>
      <w:r>
        <w:rPr>
          <w:rFonts w:hint="default" w:ascii="Times New Roman" w:hAnsi="Times New Roman" w:cs="Times New Roman"/>
          <w:sz w:val="24"/>
          <w:szCs w:val="24"/>
        </w:rPr>
        <w:t>ustawy</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jeżeli, wykonawca lub podmiot, który należy z wykonawcą do tej samej grupy kapitałowej w rozumieniu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"/document/17337528?cm=DOCUMENT" </w:instrText>
      </w:r>
      <w:r>
        <w:rPr>
          <w:rFonts w:hint="default" w:ascii="Times New Roman" w:hAnsi="Times New Roman" w:cs="Times New Roman"/>
        </w:rPr>
        <w:fldChar w:fldCharType="separate"/>
      </w:r>
      <w:r>
        <w:rPr>
          <w:rStyle w:val="31"/>
          <w:rFonts w:hint="default" w:ascii="Times New Roman" w:hAnsi="Times New Roman" w:cs="Times New Roman"/>
          <w:color w:val="auto"/>
          <w:sz w:val="24"/>
          <w:szCs w:val="24"/>
          <w:u w:val="none"/>
        </w:rPr>
        <w:t>ustawy</w:t>
      </w:r>
      <w:r>
        <w:rPr>
          <w:rStyle w:val="31"/>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z dnia 16 lutego 2007 r. o ochronie konkurencji i konsumentów, doradzał lub w inny sposób był zaangażowany w przygotowanie postępowania o udzielenie tego zamówienia, i doszło do zakłócenia konkurencji wynikającego z wcześniejszego zaangażowania tego wykonawcy lub podmiotu, który należy z wykonawcą do tej samej grupy kapitałowej w rozumieniu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"/document/17337528?cm=DOCUMENT" </w:instrText>
      </w:r>
      <w:r>
        <w:rPr>
          <w:rFonts w:hint="default" w:ascii="Times New Roman" w:hAnsi="Times New Roman" w:cs="Times New Roman"/>
        </w:rPr>
        <w:fldChar w:fldCharType="separate"/>
      </w:r>
      <w:r>
        <w:rPr>
          <w:rFonts w:hint="default" w:ascii="Times New Roman" w:hAnsi="Times New Roman" w:cs="Times New Roman"/>
          <w:sz w:val="24"/>
          <w:szCs w:val="24"/>
        </w:rPr>
        <w:t>ustawy</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pPr>
        <w:pStyle w:val="78"/>
        <w:spacing w:after="0" w:line="240" w:lineRule="auto"/>
        <w:ind w:left="284"/>
        <w:jc w:val="both"/>
        <w:rPr>
          <w:rFonts w:hint="default" w:ascii="Times New Roman" w:hAnsi="Times New Roman" w:cs="Times New Roman"/>
          <w:b/>
          <w:bCs/>
          <w:sz w:val="24"/>
          <w:szCs w:val="24"/>
        </w:rPr>
      </w:pPr>
      <w:r>
        <w:rPr>
          <w:rFonts w:hint="default" w:ascii="Times New Roman" w:hAnsi="Times New Roman" w:cs="Times New Roman"/>
          <w:b/>
          <w:bCs/>
          <w:sz w:val="24"/>
          <w:szCs w:val="24"/>
        </w:rPr>
        <w:t>a także wyklucza się wykonawcę:</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który naruszył obowiązki dotyczące płatności podatków, opłat lub składek na ubezpieczenia społeczne lub zdrowotne, z wyjątkiem przypadku, o którym mowa w ppkt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numPr>
          <w:ilvl w:val="0"/>
          <w:numId w:val="13"/>
        </w:numPr>
        <w:tabs>
          <w:tab w:val="left" w:pos="567"/>
          <w:tab w:val="clear" w:pos="360"/>
        </w:tabs>
        <w:ind w:left="567" w:hanging="567"/>
        <w:jc w:val="both"/>
        <w:rPr>
          <w:rFonts w:hint="default" w:ascii="Times New Roman" w:hAnsi="Times New Roman" w:cs="Times New Roman"/>
          <w:b/>
          <w:bCs/>
          <w:sz w:val="24"/>
          <w:szCs w:val="24"/>
        </w:rPr>
      </w:pPr>
      <w:r>
        <w:rPr>
          <w:rFonts w:hint="default" w:ascii="Times New Roman" w:hAnsi="Times New Roman" w:cs="Times New Roman"/>
          <w:b/>
          <w:bCs/>
          <w:sz w:val="24"/>
          <w:szCs w:val="24"/>
        </w:rPr>
        <w:t>O udzielenie zamówienia może ubiegać się wykonawca, który spełnia poniżej określone warunki udziału w postępowaniu dotyczące:</w:t>
      </w:r>
    </w:p>
    <w:p>
      <w:pPr>
        <w:pStyle w:val="140"/>
        <w:numPr>
          <w:ilvl w:val="1"/>
          <w:numId w:val="13"/>
        </w:numPr>
        <w:tabs>
          <w:tab w:val="left" w:pos="1134"/>
          <w:tab w:val="clear" w:pos="786"/>
        </w:tabs>
        <w:spacing w:line="240" w:lineRule="auto"/>
        <w:ind w:left="1134" w:hanging="567"/>
        <w:rPr>
          <w:rFonts w:hint="default" w:ascii="Times New Roman" w:hAnsi="Times New Roman" w:cs="Times New Roman"/>
          <w:b/>
          <w:i/>
          <w:iCs/>
          <w:color w:val="000000" w:themeColor="text1"/>
          <w:szCs w:val="24"/>
          <w14:textFill>
            <w14:solidFill>
              <w14:schemeClr w14:val="tx1"/>
            </w14:solidFill>
          </w14:textFill>
        </w:rPr>
      </w:pPr>
      <w:r>
        <w:rPr>
          <w:rFonts w:hint="default" w:ascii="Times New Roman" w:hAnsi="Times New Roman" w:cs="Times New Roman"/>
          <w:b/>
          <w:i/>
          <w:iCs/>
          <w:color w:val="000000" w:themeColor="text1"/>
          <w:szCs w:val="24"/>
          <w14:textFill>
            <w14:solidFill>
              <w14:schemeClr w14:val="tx1"/>
            </w14:solidFill>
          </w14:textFill>
        </w:rPr>
        <w:t>sytuacji ekonomicznej lub finansowej:</w:t>
      </w:r>
    </w:p>
    <w:p>
      <w:pPr>
        <w:tabs>
          <w:tab w:val="left" w:pos="567"/>
        </w:tabs>
        <w:ind w:left="567" w:hanging="426"/>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i/>
          <w:iCs/>
          <w:color w:val="000000" w:themeColor="text1"/>
          <w:sz w:val="24"/>
          <w:szCs w:val="24"/>
          <w14:textFill>
            <w14:solidFill>
              <w14:schemeClr w14:val="tx1"/>
            </w14:solidFill>
          </w14:textFill>
        </w:rPr>
        <w:tab/>
      </w:r>
      <w:r>
        <w:rPr>
          <w:rFonts w:hint="default" w:ascii="Times New Roman" w:hAnsi="Times New Roman" w:cs="Times New Roman"/>
          <w:i/>
          <w:iCs/>
          <w:color w:val="000000" w:themeColor="text1"/>
          <w:sz w:val="24"/>
          <w:szCs w:val="24"/>
          <w14:textFill>
            <w14:solidFill>
              <w14:schemeClr w14:val="tx1"/>
            </w14:solidFill>
          </w14:textFill>
        </w:rPr>
        <w:t>Zamawiający uzna, że wykonawca znajduje się w sytuacji ekonomicznej lub finansowej zapewniającej należyte wykonanie zamówienia, jeżeli wykonawca wykaże, że:</w:t>
      </w:r>
    </w:p>
    <w:p>
      <w:pPr>
        <w:pStyle w:val="78"/>
        <w:numPr>
          <w:ilvl w:val="3"/>
          <w:numId w:val="13"/>
        </w:numPr>
        <w:tabs>
          <w:tab w:val="left" w:pos="993"/>
          <w:tab w:val="left" w:pos="1440"/>
        </w:tabs>
        <w:spacing w:after="0" w:line="240" w:lineRule="auto"/>
        <w:ind w:left="993" w:hanging="426"/>
        <w:jc w:val="both"/>
        <w:rPr>
          <w:rFonts w:hint="default" w:ascii="Times New Roman" w:hAnsi="Times New Roman" w:eastAsia="Times New Roman" w:cs="Times New Roman"/>
          <w:bCs/>
          <w:i/>
          <w:iCs/>
          <w:color w:val="000000" w:themeColor="text1"/>
          <w:sz w:val="24"/>
          <w:szCs w:val="24"/>
          <w14:textFill>
            <w14:solidFill>
              <w14:schemeClr w14:val="tx1"/>
            </w14:solidFill>
          </w14:textFill>
        </w:rPr>
      </w:pPr>
      <w:r>
        <w:rPr>
          <w:rFonts w:hint="default" w:ascii="Times New Roman" w:hAnsi="Times New Roman" w:eastAsia="Times New Roman" w:cs="Times New Roman"/>
          <w:i/>
          <w:iCs/>
          <w:color w:val="000000" w:themeColor="text1"/>
          <w:sz w:val="24"/>
          <w:szCs w:val="24"/>
          <w14:textFill>
            <w14:solidFill>
              <w14:schemeClr w14:val="tx1"/>
            </w14:solidFill>
          </w14:textFill>
        </w:rPr>
        <w:t xml:space="preserve">posiada środki finansowe lub zdolność kredytową w wysokości nie niższej niż </w:t>
      </w:r>
      <w:r>
        <w:rPr>
          <w:rFonts w:hint="default" w:cs="Times New Roman"/>
          <w:i/>
          <w:iCs/>
          <w:color w:val="000000" w:themeColor="text1"/>
          <w:sz w:val="24"/>
          <w:szCs w:val="24"/>
          <w:lang w:val="pl-PL"/>
          <w14:textFill>
            <w14:solidFill>
              <w14:schemeClr w14:val="tx1"/>
            </w14:solidFill>
          </w14:textFill>
        </w:rPr>
        <w:t>8</w:t>
      </w:r>
      <w:r>
        <w:rPr>
          <w:rFonts w:hint="default" w:ascii="Times New Roman" w:hAnsi="Times New Roman" w:eastAsia="Times New Roman" w:cs="Times New Roman"/>
          <w:i/>
          <w:iCs/>
          <w:color w:val="000000" w:themeColor="text1"/>
          <w:sz w:val="24"/>
          <w:szCs w:val="24"/>
          <w14:textFill>
            <w14:solidFill>
              <w14:schemeClr w14:val="tx1"/>
            </w14:solidFill>
          </w14:textFill>
        </w:rPr>
        <w:t>00 000,00 zł (</w:t>
      </w:r>
      <w:r>
        <w:rPr>
          <w:rFonts w:hint="default" w:cs="Times New Roman"/>
          <w:i/>
          <w:iCs/>
          <w:color w:val="000000" w:themeColor="text1"/>
          <w:sz w:val="24"/>
          <w:szCs w:val="24"/>
          <w:lang w:val="pl-PL"/>
          <w14:textFill>
            <w14:solidFill>
              <w14:schemeClr w14:val="tx1"/>
            </w14:solidFill>
          </w14:textFill>
        </w:rPr>
        <w:t>osiemset tysięcy</w:t>
      </w:r>
      <w:r>
        <w:rPr>
          <w:rFonts w:hint="default" w:ascii="Times New Roman" w:hAnsi="Times New Roman" w:eastAsia="Times New Roman" w:cs="Times New Roman"/>
          <w:i/>
          <w:iCs/>
          <w:color w:val="000000" w:themeColor="text1"/>
          <w:sz w:val="24"/>
          <w:szCs w:val="24"/>
          <w14:textFill>
            <w14:solidFill>
              <w14:schemeClr w14:val="tx1"/>
            </w14:solidFill>
          </w14:textFill>
        </w:rPr>
        <w:t xml:space="preserve"> złotych). </w:t>
      </w:r>
    </w:p>
    <w:p>
      <w:pPr>
        <w:pStyle w:val="78"/>
        <w:tabs>
          <w:tab w:val="left" w:pos="284"/>
          <w:tab w:val="left" w:pos="993"/>
        </w:tabs>
        <w:spacing w:after="0" w:line="240" w:lineRule="auto"/>
        <w:ind w:left="993"/>
        <w:jc w:val="both"/>
        <w:rPr>
          <w:rFonts w:hint="default" w:ascii="Times New Roman" w:hAnsi="Times New Roman" w:eastAsia="Times New Roman" w:cs="Times New Roman"/>
          <w:i/>
          <w:iCs/>
          <w:color w:val="000000" w:themeColor="text1"/>
          <w:sz w:val="24"/>
          <w:szCs w:val="24"/>
          <w:u w:val="single"/>
          <w14:textFill>
            <w14:solidFill>
              <w14:schemeClr w14:val="tx1"/>
            </w14:solidFill>
          </w14:textFill>
        </w:rPr>
      </w:pPr>
      <w:r>
        <w:rPr>
          <w:rFonts w:hint="default" w:ascii="Times New Roman" w:hAnsi="Times New Roman" w:eastAsia="Times New Roman" w:cs="Times New Roman"/>
          <w:i/>
          <w:iCs/>
          <w:color w:val="000000" w:themeColor="text1"/>
          <w:sz w:val="24"/>
          <w:szCs w:val="24"/>
          <w:u w:val="single"/>
          <w14:textFill>
            <w14:solidFill>
              <w14:schemeClr w14:val="tx1"/>
            </w14:solidFill>
          </w14:textFill>
        </w:rPr>
        <w:t>W przypadku wspólnego ubiegania się wykonawców o udzielenie zamówienia ww. warunek wykonawcy ci mogą spełniać łącznie.</w:t>
      </w:r>
    </w:p>
    <w:p>
      <w:pPr>
        <w:pStyle w:val="78"/>
        <w:tabs>
          <w:tab w:val="left" w:pos="1134"/>
          <w:tab w:val="left" w:pos="1440"/>
        </w:tabs>
        <w:spacing w:after="0" w:line="240" w:lineRule="auto"/>
        <w:ind w:left="993"/>
        <w:jc w:val="both"/>
        <w:rPr>
          <w:rFonts w:hint="default" w:ascii="Times New Roman" w:hAnsi="Times New Roman" w:eastAsia="Times New Roman" w:cs="Times New Roman"/>
          <w:i/>
          <w:iCs/>
          <w:color w:val="FF0000"/>
          <w:sz w:val="24"/>
          <w:szCs w:val="24"/>
        </w:rPr>
      </w:pPr>
    </w:p>
    <w:p>
      <w:pPr>
        <w:pStyle w:val="140"/>
        <w:numPr>
          <w:ilvl w:val="1"/>
          <w:numId w:val="13"/>
        </w:numPr>
        <w:tabs>
          <w:tab w:val="left" w:pos="567"/>
          <w:tab w:val="left" w:pos="1134"/>
          <w:tab w:val="clear" w:pos="786"/>
        </w:tabs>
        <w:spacing w:line="240" w:lineRule="auto"/>
        <w:ind w:left="1134" w:hanging="567"/>
        <w:rPr>
          <w:rFonts w:hint="default" w:ascii="Times New Roman" w:hAnsi="Times New Roman" w:cs="Times New Roman"/>
          <w:b/>
          <w:i/>
          <w:iCs/>
          <w:color w:val="000000" w:themeColor="text1"/>
          <w:szCs w:val="24"/>
          <w14:textFill>
            <w14:solidFill>
              <w14:schemeClr w14:val="tx1"/>
            </w14:solidFill>
          </w14:textFill>
        </w:rPr>
      </w:pPr>
      <w:r>
        <w:rPr>
          <w:rFonts w:hint="default" w:ascii="Times New Roman" w:hAnsi="Times New Roman" w:cs="Times New Roman"/>
          <w:b/>
          <w:i/>
          <w:iCs/>
          <w:color w:val="000000" w:themeColor="text1"/>
          <w:szCs w:val="24"/>
          <w14:textFill>
            <w14:solidFill>
              <w14:schemeClr w14:val="tx1"/>
            </w14:solidFill>
          </w14:textFill>
        </w:rPr>
        <w:t>zdolności technicznej lub zawodowej:</w:t>
      </w:r>
    </w:p>
    <w:p>
      <w:pPr>
        <w:tabs>
          <w:tab w:val="left" w:pos="567"/>
        </w:tabs>
        <w:ind w:left="567"/>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i/>
          <w:iCs/>
          <w:color w:val="000000" w:themeColor="text1"/>
          <w:sz w:val="24"/>
          <w:szCs w:val="24"/>
          <w14:textFill>
            <w14:solidFill>
              <w14:schemeClr w14:val="tx1"/>
            </w14:solidFill>
          </w14:textFill>
        </w:rPr>
        <w:t>Zamawiający uzna, że wykonawca posiada wymagane zdolności techniczne lub zawodowe zapewniające należyte wykonanie zamówienia, jeżeli wykonawca wykaże, że:</w:t>
      </w:r>
    </w:p>
    <w:p>
      <w:pPr>
        <w:pStyle w:val="78"/>
        <w:numPr>
          <w:ilvl w:val="3"/>
          <w:numId w:val="13"/>
        </w:numPr>
        <w:tabs>
          <w:tab w:val="left" w:pos="993"/>
        </w:tabs>
        <w:spacing w:after="0" w:line="240" w:lineRule="auto"/>
        <w:ind w:left="993" w:hanging="426"/>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Cs/>
          <w:color w:val="000000" w:themeColor="text1"/>
          <w:sz w:val="24"/>
          <w:szCs w:val="24"/>
          <w14:textFill>
            <w14:solidFill>
              <w14:schemeClr w14:val="tx1"/>
            </w14:solidFill>
          </w14:textFill>
        </w:rPr>
        <w:t xml:space="preserve">posiada doświadczenie w realizacji </w:t>
      </w:r>
      <w:r>
        <w:rPr>
          <w:rFonts w:hint="default" w:ascii="Times New Roman" w:hAnsi="Times New Roman" w:eastAsia="Times New Roman" w:cs="Times New Roman"/>
          <w:b/>
          <w:color w:val="000000" w:themeColor="text1"/>
          <w:sz w:val="24"/>
          <w:szCs w:val="24"/>
          <w14:textFill>
            <w14:solidFill>
              <w14:schemeClr w14:val="tx1"/>
            </w14:solidFill>
          </w14:textFill>
        </w:rPr>
        <w:t>robót podobnych</w:t>
      </w:r>
      <w:r>
        <w:rPr>
          <w:rFonts w:hint="default" w:ascii="Times New Roman" w:hAnsi="Times New Roman" w:eastAsia="Times New Roman" w:cs="Times New Roman"/>
          <w:bCs/>
          <w:color w:val="000000" w:themeColor="text1"/>
          <w:sz w:val="24"/>
          <w:szCs w:val="24"/>
          <w14:textFill>
            <w14:solidFill>
              <w14:schemeClr w14:val="tx1"/>
            </w14:solidFill>
          </w14:textFill>
        </w:rPr>
        <w:t xml:space="preserve">, tj. </w:t>
      </w:r>
      <w:r>
        <w:rPr>
          <w:rFonts w:hint="default" w:ascii="Times New Roman" w:hAnsi="Times New Roman" w:cs="Times New Roman"/>
          <w:color w:val="000000" w:themeColor="text1"/>
          <w:sz w:val="24"/>
          <w:szCs w:val="24"/>
          <w14:textFill>
            <w14:solidFill>
              <w14:schemeClr w14:val="tx1"/>
            </w14:solidFill>
          </w14:textFill>
        </w:rPr>
        <w:t xml:space="preserve">wykonał należycie w okresie </w:t>
      </w:r>
      <w:r>
        <w:rPr>
          <w:rFonts w:hint="default" w:ascii="Times New Roman" w:hAnsi="Times New Roman" w:cs="Times New Roman"/>
          <w:b/>
          <w:bCs/>
          <w:color w:val="000000" w:themeColor="text1"/>
          <w:sz w:val="24"/>
          <w:szCs w:val="24"/>
          <w14:textFill>
            <w14:solidFill>
              <w14:schemeClr w14:val="tx1"/>
            </w14:solidFill>
          </w14:textFill>
        </w:rPr>
        <w:t>ostatnich pięciu lat</w:t>
      </w:r>
      <w:r>
        <w:rPr>
          <w:rFonts w:hint="default" w:ascii="Times New Roman" w:hAnsi="Times New Roman" w:cs="Times New Roman"/>
          <w:color w:val="000000" w:themeColor="text1"/>
          <w:sz w:val="24"/>
          <w:szCs w:val="24"/>
          <w14:textFill>
            <w14:solidFill>
              <w14:schemeClr w14:val="tx1"/>
            </w14:solidFill>
          </w14:textFill>
        </w:rPr>
        <w:t xml:space="preserve"> przed upływem terminu składania ofert, a jeżeli okres prowadzenia działalności jest krótszy – w tym okresie, co najmniej dwie roboty  polegające na budowie </w:t>
      </w:r>
      <w:r>
        <w:rPr>
          <w:rFonts w:hint="default" w:cs="Times New Roman"/>
          <w:color w:val="000000" w:themeColor="text1"/>
          <w:sz w:val="24"/>
          <w:szCs w:val="24"/>
          <w:lang w:val="pl-PL"/>
          <w14:textFill>
            <w14:solidFill>
              <w14:schemeClr w14:val="tx1"/>
            </w14:solidFill>
          </w14:textFill>
        </w:rPr>
        <w:t>lub rozbudowie kotłowni lub zmiany technologii kotłowni  gazowych</w:t>
      </w:r>
      <w:r>
        <w:rPr>
          <w:rFonts w:hint="default" w:ascii="Times New Roman" w:hAnsi="Times New Roman" w:cs="Times New Roman"/>
          <w:color w:val="000000" w:themeColor="text1"/>
          <w:sz w:val="24"/>
          <w:szCs w:val="24"/>
          <w14:textFill>
            <w14:solidFill>
              <w14:schemeClr w14:val="tx1"/>
            </w14:solidFill>
          </w14:textFill>
        </w:rPr>
        <w:t>.</w:t>
      </w:r>
    </w:p>
    <w:p>
      <w:pPr>
        <w:ind w:left="993"/>
        <w:jc w:val="both"/>
        <w:rPr>
          <w:rFonts w:hint="default" w:ascii="Times New Roman" w:hAnsi="Times New Roman" w:cs="Times New Roman"/>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 xml:space="preserve">W przypadku wspólnego ubiegania się wykonawców o udzielenie zamówienia lub polegania na zdolnościach podmiotów udostępniających zasoby ww. warunek musi spełniać co najmniej jeden z wykonawców wspólnie ubiegających się o udzielenie zamówienia lub jeden z podmiotów udostępniających zasoby </w:t>
      </w:r>
      <w:r>
        <w:rPr>
          <w:rFonts w:hint="default" w:ascii="Times New Roman" w:hAnsi="Times New Roman" w:cs="Times New Roman"/>
          <w:b/>
          <w:color w:val="000000" w:themeColor="text1"/>
          <w:sz w:val="24"/>
          <w:szCs w:val="24"/>
          <w:u w:val="single"/>
          <w14:textFill>
            <w14:solidFill>
              <w14:schemeClr w14:val="tx1"/>
            </w14:solidFill>
          </w14:textFill>
        </w:rPr>
        <w:t>w całości</w:t>
      </w:r>
      <w:r>
        <w:rPr>
          <w:rFonts w:hint="default" w:ascii="Times New Roman" w:hAnsi="Times New Roman" w:cs="Times New Roman"/>
          <w:color w:val="000000" w:themeColor="text1"/>
          <w:sz w:val="24"/>
          <w:szCs w:val="24"/>
          <w:u w:val="single"/>
          <w14:textFill>
            <w14:solidFill>
              <w14:schemeClr w14:val="tx1"/>
            </w14:solidFill>
          </w14:textFill>
        </w:rPr>
        <w:t>.</w:t>
      </w:r>
    </w:p>
    <w:p>
      <w:pPr>
        <w:numPr>
          <w:ilvl w:val="0"/>
          <w:numId w:val="16"/>
        </w:numPr>
        <w:suppressAutoHyphens/>
        <w:autoSpaceDE w:val="0"/>
        <w:autoSpaceDN w:val="0"/>
        <w:adjustRightInd w:val="0"/>
        <w:ind w:left="993" w:hanging="426"/>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dysponuje lub będzie dysponować minimum po 1 (jednej) osobie </w:t>
      </w:r>
      <w:r>
        <w:rPr>
          <w:rFonts w:hint="default" w:ascii="Times New Roman" w:hAnsi="Times New Roman" w:cs="Times New Roman"/>
          <w:bCs/>
          <w:color w:val="000000" w:themeColor="text1"/>
          <w:sz w:val="24"/>
          <w:szCs w:val="24"/>
          <w14:textFill>
            <w14:solidFill>
              <w14:schemeClr w14:val="tx1"/>
            </w14:solidFill>
          </w14:textFill>
        </w:rPr>
        <w:t xml:space="preserve">(skierowanej przez wykonawcę do realizacji zamówienia) </w:t>
      </w:r>
      <w:r>
        <w:rPr>
          <w:rFonts w:hint="default" w:ascii="Times New Roman" w:hAnsi="Times New Roman" w:cs="Times New Roman"/>
          <w:color w:val="000000" w:themeColor="text1"/>
          <w:sz w:val="24"/>
          <w:szCs w:val="24"/>
          <w14:textFill>
            <w14:solidFill>
              <w14:schemeClr w14:val="tx1"/>
            </w14:solidFill>
          </w14:textFill>
        </w:rPr>
        <w:t>na każde z wymienionych poniżej stanowisk:</w:t>
      </w:r>
    </w:p>
    <w:p>
      <w:pPr>
        <w:tabs>
          <w:tab w:val="left" w:pos="1276"/>
        </w:tabs>
        <w:ind w:left="1211" w:hanging="77"/>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b1) Kierownik budowy:</w:t>
      </w:r>
    </w:p>
    <w:p>
      <w:pPr>
        <w:pStyle w:val="78"/>
        <w:numPr>
          <w:ilvl w:val="0"/>
          <w:numId w:val="17"/>
        </w:numPr>
        <w:tabs>
          <w:tab w:val="left" w:pos="1276"/>
          <w:tab w:val="left" w:pos="1843"/>
        </w:tabs>
        <w:spacing w:after="0" w:line="240" w:lineRule="auto"/>
        <w:ind w:left="1843" w:hanging="283"/>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posiadający uprawnienia budowlane do kierowania robotami budowlanymi o </w:t>
      </w:r>
      <w:r>
        <w:rPr>
          <w:rFonts w:hint="default" w:ascii="Times New Roman" w:hAnsi="Times New Roman" w:cs="Times New Roman"/>
          <w:color w:val="000000" w:themeColor="text1"/>
          <w:sz w:val="24"/>
          <w:szCs w:val="24"/>
          <w14:textFill>
            <w14:solidFill>
              <w14:schemeClr w14:val="tx1"/>
            </w14:solidFill>
          </w14:textFill>
        </w:rPr>
        <w:t>specjalności instalacyjnej w zakresie sieci, instalacji i urządzeń cieplnych, wentylacyjnych, gazowych, wodociągowych i kanalizacyjnych bez ograniczeń oraz</w:t>
      </w:r>
    </w:p>
    <w:p>
      <w:pPr>
        <w:pStyle w:val="78"/>
        <w:numPr>
          <w:ilvl w:val="0"/>
          <w:numId w:val="17"/>
        </w:numPr>
        <w:tabs>
          <w:tab w:val="left" w:pos="1276"/>
          <w:tab w:val="left" w:pos="1843"/>
        </w:tabs>
        <w:spacing w:after="0" w:line="240" w:lineRule="auto"/>
        <w:ind w:left="1843" w:hanging="283"/>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posiadający co najmniej </w:t>
      </w:r>
      <w:r>
        <w:rPr>
          <w:rFonts w:hint="default" w:ascii="Times New Roman" w:hAnsi="Times New Roman" w:eastAsia="Times New Roman" w:cs="Times New Roman"/>
          <w:b/>
          <w:color w:val="000000" w:themeColor="text1"/>
          <w:sz w:val="24"/>
          <w:szCs w:val="24"/>
          <w14:textFill>
            <w14:solidFill>
              <w14:schemeClr w14:val="tx1"/>
            </w14:solidFill>
          </w14:textFill>
        </w:rPr>
        <w:t>pięcioletnie</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doświadczenie zawodowe (liczone od daty uzyskania uprawnień) w zakresie dla których wymagane jest posiadanie powyższych uprawnień oraz</w:t>
      </w:r>
    </w:p>
    <w:p>
      <w:pPr>
        <w:pStyle w:val="78"/>
        <w:numPr>
          <w:ilvl w:val="0"/>
          <w:numId w:val="17"/>
        </w:numPr>
        <w:tabs>
          <w:tab w:val="left" w:pos="1276"/>
          <w:tab w:val="left" w:pos="1843"/>
        </w:tabs>
        <w:spacing w:after="0" w:line="240" w:lineRule="auto"/>
        <w:ind w:left="1843" w:hanging="283"/>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który pełnił funkcję kierownika budowy. </w:t>
      </w:r>
    </w:p>
    <w:p>
      <w:pPr>
        <w:pStyle w:val="78"/>
        <w:numPr>
          <w:ilvl w:val="0"/>
          <w:numId w:val="0"/>
        </w:numPr>
        <w:tabs>
          <w:tab w:val="left" w:pos="1276"/>
          <w:tab w:val="left" w:pos="1843"/>
        </w:tabs>
        <w:spacing w:after="0" w:line="240" w:lineRule="auto"/>
        <w:ind w:left="1560" w:leftChars="0"/>
        <w:jc w:val="both"/>
        <w:rPr>
          <w:rFonts w:hint="default" w:ascii="Times New Roman" w:hAnsi="Times New Roman" w:eastAsia="Times New Roman" w:cs="Times New Roman"/>
          <w:color w:val="000000" w:themeColor="text1"/>
          <w:sz w:val="24"/>
          <w:szCs w:val="24"/>
          <w14:textFill>
            <w14:solidFill>
              <w14:schemeClr w14:val="tx1"/>
            </w14:solidFill>
          </w14:textFill>
        </w:rPr>
      </w:pPr>
    </w:p>
    <w:p>
      <w:pPr>
        <w:pStyle w:val="78"/>
        <w:numPr>
          <w:ilvl w:val="0"/>
          <w:numId w:val="0"/>
        </w:numPr>
        <w:tabs>
          <w:tab w:val="left" w:pos="1276"/>
          <w:tab w:val="left" w:pos="1843"/>
        </w:tabs>
        <w:spacing w:after="0" w:line="240" w:lineRule="auto"/>
        <w:jc w:val="both"/>
        <w:rPr>
          <w:rFonts w:hint="default" w:cs="Times New Roman"/>
          <w:b/>
          <w:bCs/>
          <w:color w:val="auto"/>
          <w:sz w:val="24"/>
          <w:szCs w:val="24"/>
          <w:lang w:val="pl-PL"/>
        </w:rPr>
      </w:pPr>
      <w:r>
        <w:rPr>
          <w:rFonts w:hint="default" w:cs="Times New Roman"/>
          <w:b/>
          <w:bCs/>
          <w:color w:val="auto"/>
          <w:sz w:val="24"/>
          <w:szCs w:val="24"/>
          <w:lang w:val="pl-PL"/>
        </w:rPr>
        <w:tab/>
      </w:r>
      <w:r>
        <w:rPr>
          <w:rFonts w:hint="default" w:cs="Times New Roman"/>
          <w:b/>
          <w:bCs/>
          <w:color w:val="auto"/>
          <w:sz w:val="24"/>
          <w:szCs w:val="24"/>
          <w:lang w:val="pl-PL"/>
        </w:rPr>
        <w:t>b2) Spawacza:</w:t>
      </w:r>
    </w:p>
    <w:p>
      <w:pPr>
        <w:pStyle w:val="78"/>
        <w:numPr>
          <w:ilvl w:val="0"/>
          <w:numId w:val="0"/>
        </w:numPr>
        <w:tabs>
          <w:tab w:val="left" w:pos="1276"/>
          <w:tab w:val="left" w:pos="1843"/>
        </w:tabs>
        <w:spacing w:after="0" w:line="240" w:lineRule="auto"/>
        <w:jc w:val="both"/>
        <w:rPr>
          <w:rFonts w:hint="default" w:cs="Times New Roman"/>
          <w:color w:val="000000" w:themeColor="text1"/>
          <w:sz w:val="24"/>
          <w:szCs w:val="24"/>
          <w:lang w:val="pl-PL"/>
          <w14:textFill>
            <w14:solidFill>
              <w14:schemeClr w14:val="tx1"/>
            </w14:solidFill>
          </w14:textFill>
        </w:rPr>
      </w:pPr>
      <w:r>
        <w:rPr>
          <w:rFonts w:hint="default" w:cs="Times New Roman"/>
          <w:color w:val="000000" w:themeColor="text1"/>
          <w:sz w:val="24"/>
          <w:szCs w:val="24"/>
          <w:lang w:val="pl-PL"/>
          <w14:textFill>
            <w14:solidFill>
              <w14:schemeClr w14:val="tx1"/>
            </w14:solidFill>
          </w14:textFill>
        </w:rPr>
        <w:tab/>
      </w:r>
      <w:r>
        <w:rPr>
          <w:rFonts w:hint="default" w:cs="Times New Roman"/>
          <w:color w:val="000000" w:themeColor="text1"/>
          <w:sz w:val="24"/>
          <w:szCs w:val="24"/>
          <w:lang w:val="pl-PL"/>
          <w14:textFill>
            <w14:solidFill>
              <w14:schemeClr w14:val="tx1"/>
            </w14:solidFill>
          </w14:textFill>
        </w:rPr>
        <w:t xml:space="preserve">  - posiadającego uprawnienia do kierowania i wykonywania prac spawalniczych </w:t>
      </w:r>
      <w:r>
        <w:rPr>
          <w:rFonts w:hint="default" w:cs="Times New Roman"/>
          <w:color w:val="000000" w:themeColor="text1"/>
          <w:sz w:val="24"/>
          <w:szCs w:val="24"/>
          <w:lang w:val="pl-PL"/>
          <w14:textFill>
            <w14:solidFill>
              <w14:schemeClr w14:val="tx1"/>
            </w14:solidFill>
          </w14:textFill>
        </w:rPr>
        <w:tab/>
      </w:r>
      <w:r>
        <w:rPr>
          <w:rFonts w:hint="default" w:cs="Times New Roman"/>
          <w:color w:val="000000" w:themeColor="text1"/>
          <w:sz w:val="24"/>
          <w:szCs w:val="24"/>
          <w:lang w:val="pl-PL"/>
          <w14:textFill>
            <w14:solidFill>
              <w14:schemeClr w14:val="tx1"/>
            </w14:solidFill>
          </w14:textFill>
        </w:rPr>
        <w:t xml:space="preserve"> </w:t>
      </w:r>
      <w:r>
        <w:rPr>
          <w:rFonts w:hint="default" w:cs="Times New Roman"/>
          <w:color w:val="000000" w:themeColor="text1"/>
          <w:sz w:val="24"/>
          <w:szCs w:val="24"/>
          <w:lang w:val="pl-PL"/>
          <w14:textFill>
            <w14:solidFill>
              <w14:schemeClr w14:val="tx1"/>
            </w14:solidFill>
          </w14:textFill>
        </w:rPr>
        <w:tab/>
      </w:r>
      <w:r>
        <w:rPr>
          <w:rFonts w:hint="default" w:cs="Times New Roman"/>
          <w:color w:val="000000" w:themeColor="text1"/>
          <w:sz w:val="24"/>
          <w:szCs w:val="24"/>
          <w:lang w:val="pl-PL"/>
          <w14:textFill>
            <w14:solidFill>
              <w14:schemeClr w14:val="tx1"/>
            </w14:solidFill>
          </w14:textFill>
        </w:rPr>
        <w:t>urządzeń objętych nadzorem Urzędu Dozoru Technicznego.</w:t>
      </w:r>
    </w:p>
    <w:p>
      <w:pPr>
        <w:numPr>
          <w:ilvl w:val="0"/>
          <w:numId w:val="13"/>
        </w:numPr>
        <w:tabs>
          <w:tab w:val="left" w:pos="284"/>
          <w:tab w:val="left" w:pos="567"/>
          <w:tab w:val="clear" w:pos="360"/>
        </w:tabs>
        <w:ind w:left="284" w:hanging="28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Dodatkowe informacje dotyczące ww. warunków udziału w postępowaniu:</w:t>
      </w:r>
    </w:p>
    <w:p>
      <w:pPr>
        <w:numPr>
          <w:ilvl w:val="1"/>
          <w:numId w:val="13"/>
        </w:numPr>
        <w:tabs>
          <w:tab w:val="left" w:pos="567"/>
          <w:tab w:val="left" w:pos="1418"/>
        </w:tabs>
        <w:ind w:left="567" w:hanging="283"/>
        <w:jc w:val="both"/>
        <w:rPr>
          <w:rFonts w:hint="default" w:ascii="Times New Roman" w:hAnsi="Times New Roman" w:cs="Times New Roman"/>
          <w:b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ilekroć w treści SWZ jest mowa o „uprawnieniach budowlanych”, „</w:t>
      </w:r>
      <w:r>
        <w:rPr>
          <w:rFonts w:hint="default" w:ascii="Times New Roman" w:hAnsi="Times New Roman" w:cs="Times New Roman"/>
          <w:iCs/>
          <w:color w:val="000000" w:themeColor="text1"/>
          <w:sz w:val="24"/>
          <w:szCs w:val="24"/>
          <w14:textFill>
            <w14:solidFill>
              <w14:schemeClr w14:val="tx1"/>
            </w14:solidFill>
          </w14:textFill>
        </w:rPr>
        <w:t xml:space="preserve">budowie”, „przebudowie”, „kierowniku budowy”, „kierowniku robót” </w:t>
      </w:r>
      <w:r>
        <w:rPr>
          <w:rFonts w:hint="default" w:ascii="Times New Roman" w:hAnsi="Times New Roman" w:cs="Times New Roman"/>
          <w:color w:val="000000" w:themeColor="text1"/>
          <w:sz w:val="24"/>
          <w:szCs w:val="24"/>
          <w14:textFill>
            <w14:solidFill>
              <w14:schemeClr w14:val="tx1"/>
            </w14:solidFill>
          </w14:textFill>
        </w:rPr>
        <w:t xml:space="preserve"> należy pojęcia te rozumieć zgodnie z definicjami określonymi w ustawie Prawo budowlane oraz aktami wykonawczymi do niej,</w:t>
      </w:r>
    </w:p>
    <w:p>
      <w:pPr>
        <w:numPr>
          <w:ilvl w:val="1"/>
          <w:numId w:val="13"/>
        </w:numPr>
        <w:tabs>
          <w:tab w:val="left" w:pos="567"/>
          <w:tab w:val="left" w:pos="1418"/>
        </w:tabs>
        <w:ind w:left="567" w:hanging="283"/>
        <w:jc w:val="both"/>
        <w:rPr>
          <w:rFonts w:hint="default" w:ascii="Times New Roman" w:hAnsi="Times New Roman" w:cs="Times New Roman"/>
          <w:b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jeżeli wykonawca lub podmiot udostępniający zasoby zrealizował zadanie w trybie zaprojektuj i wybuduj, zamawiający uzna robotę budowlaną za spełniającą warunek, jeżeli robota ta będzie odpowiadała swoim zakresem i wartością wymogom określonym w pkt 2 ppkt 2 lit. a),</w:t>
      </w:r>
    </w:p>
    <w:p>
      <w:pPr>
        <w:numPr>
          <w:ilvl w:val="1"/>
          <w:numId w:val="13"/>
        </w:numPr>
        <w:tabs>
          <w:tab w:val="left" w:pos="567"/>
          <w:tab w:val="left" w:pos="1418"/>
        </w:tabs>
        <w:ind w:left="567" w:hanging="283"/>
        <w:jc w:val="both"/>
        <w:rPr>
          <w:rFonts w:hint="default" w:ascii="Times New Roman" w:hAnsi="Times New Roman" w:cs="Times New Roman"/>
          <w:b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wszystkie ww.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pPr>
        <w:numPr>
          <w:ilvl w:val="1"/>
          <w:numId w:val="13"/>
        </w:numPr>
        <w:tabs>
          <w:tab w:val="left" w:pos="567"/>
          <w:tab w:val="left" w:pos="1418"/>
        </w:tabs>
        <w:ind w:left="567" w:hanging="283"/>
        <w:jc w:val="both"/>
        <w:rPr>
          <w:rFonts w:hint="default" w:ascii="Times New Roman" w:hAnsi="Times New Roman" w:cs="Times New Roman"/>
          <w:b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 przypadku, gdy jakakolwiek wartość</w:t>
      </w:r>
      <w:r>
        <w:rPr>
          <w:rFonts w:hint="default" w:ascii="Times New Roman" w:hAnsi="Times New Roman" w:eastAsia="TimesNew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dotycząca ww. warunków wyrażona będzie w walucie obcej, zamawiający przeliczy tę</w:t>
      </w:r>
      <w:r>
        <w:rPr>
          <w:rFonts w:hint="default" w:ascii="Times New Roman" w:hAnsi="Times New Roman" w:eastAsia="TimesNew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wartość</w:t>
      </w:r>
      <w:r>
        <w:rPr>
          <w:rFonts w:hint="default" w:ascii="Times New Roman" w:hAnsi="Times New Roman" w:eastAsia="TimesNew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w oparciu o średni kurs walut NBP dla danej waluty z daty wszczęcia postępowania. Jeżeli w tym dniu średni kurs NBP nie będzie opublikowany zamawiający przyjmie średni kurs z ostatniego dnia przed dniem wszczęcia.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pPr>
        <w:numPr>
          <w:ilvl w:val="1"/>
          <w:numId w:val="13"/>
        </w:numPr>
        <w:tabs>
          <w:tab w:val="left" w:pos="567"/>
          <w:tab w:val="left" w:pos="1418"/>
          <w:tab w:val="clear" w:pos="786"/>
        </w:tabs>
        <w:ind w:left="1134" w:hanging="850"/>
        <w:jc w:val="both"/>
        <w:rPr>
          <w:rFonts w:hint="default" w:ascii="Times New Roman" w:hAnsi="Times New Roman" w:cs="Times New Roman"/>
          <w:b/>
          <w:bCs/>
          <w:i/>
          <w:iCs/>
          <w:sz w:val="24"/>
          <w:szCs w:val="24"/>
          <w:u w:val="single"/>
        </w:rPr>
      </w:pPr>
      <w:r>
        <w:rPr>
          <w:rFonts w:hint="default" w:ascii="Times New Roman" w:hAnsi="Times New Roman" w:cs="Times New Roman"/>
          <w:b/>
          <w:bCs/>
          <w:sz w:val="24"/>
          <w:szCs w:val="24"/>
        </w:rPr>
        <w:t>Poleganie na potencjale podmiotów udostępniających zasoby:</w:t>
      </w:r>
    </w:p>
    <w:p>
      <w:pPr>
        <w:tabs>
          <w:tab w:val="left" w:pos="1418"/>
        </w:tabs>
        <w:ind w:left="1134"/>
        <w:jc w:val="both"/>
        <w:rPr>
          <w:rFonts w:hint="default" w:ascii="Times New Roman" w:hAnsi="Times New Roman" w:cs="Times New Roman"/>
          <w:sz w:val="24"/>
          <w:szCs w:val="24"/>
        </w:rPr>
      </w:pPr>
    </w:p>
    <w:p>
      <w:pPr>
        <w:pStyle w:val="78"/>
        <w:numPr>
          <w:ilvl w:val="0"/>
          <w:numId w:val="18"/>
        </w:numPr>
        <w:tabs>
          <w:tab w:val="left" w:pos="1418"/>
        </w:tabs>
        <w:jc w:val="both"/>
        <w:rPr>
          <w:rFonts w:hint="default" w:ascii="Times New Roman" w:hAnsi="Times New Roman" w:cs="Times New Roman"/>
          <w:b/>
          <w:bCs/>
          <w:i/>
          <w:iCs/>
          <w:sz w:val="24"/>
          <w:szCs w:val="24"/>
          <w:u w:val="single"/>
        </w:rPr>
      </w:pPr>
      <w:r>
        <w:rPr>
          <w:rFonts w:hint="default"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pPr>
        <w:pStyle w:val="78"/>
        <w:numPr>
          <w:ilvl w:val="0"/>
          <w:numId w:val="18"/>
        </w:numPr>
        <w:tabs>
          <w:tab w:val="left" w:pos="1418"/>
        </w:tabs>
        <w:jc w:val="both"/>
        <w:rPr>
          <w:rFonts w:hint="default" w:ascii="Times New Roman" w:hAnsi="Times New Roman" w:cs="Times New Roman"/>
          <w:i/>
          <w:iCs/>
          <w:sz w:val="24"/>
          <w:szCs w:val="24"/>
          <w:u w:val="single"/>
        </w:rPr>
      </w:pPr>
      <w:r>
        <w:rPr>
          <w:rFonts w:hint="default" w:ascii="Times New Roman" w:hAnsi="Times New Roman" w:cs="Times New Roman"/>
          <w:sz w:val="24"/>
          <w:szCs w:val="24"/>
        </w:rPr>
        <w:t xml:space="preserve">W odniesieniu do warunków dotyczących wykształcenia, kwalifikacji zawodowych lub doświadczenia wykonawcy mogą polegać na zdolnościach podmiotów udostępniających zasoby, jeśli podmioty te wykonają </w:t>
      </w:r>
      <w:r>
        <w:rPr>
          <w:rFonts w:hint="default" w:ascii="Times New Roman" w:hAnsi="Times New Roman" w:cs="Times New Roman"/>
          <w:b/>
          <w:bCs/>
          <w:sz w:val="24"/>
          <w:szCs w:val="24"/>
        </w:rPr>
        <w:t>roboty budowlane</w:t>
      </w:r>
      <w:r>
        <w:rPr>
          <w:rFonts w:hint="default" w:ascii="Times New Roman" w:hAnsi="Times New Roman" w:cs="Times New Roman"/>
          <w:sz w:val="24"/>
          <w:szCs w:val="24"/>
        </w:rPr>
        <w:t>, do realizacji których te zdolności są wymagane.</w:t>
      </w:r>
    </w:p>
    <w:p>
      <w:pPr>
        <w:pStyle w:val="78"/>
        <w:numPr>
          <w:ilvl w:val="0"/>
          <w:numId w:val="18"/>
        </w:numPr>
        <w:tabs>
          <w:tab w:val="left" w:pos="1418"/>
        </w:tabs>
        <w:jc w:val="both"/>
        <w:rPr>
          <w:rFonts w:hint="default" w:ascii="Times New Roman" w:hAnsi="Times New Roman" w:cs="Times New Roman"/>
          <w:bCs/>
          <w:i/>
          <w:iCs/>
          <w:sz w:val="24"/>
          <w:szCs w:val="24"/>
          <w:u w:val="single"/>
        </w:rPr>
      </w:pPr>
      <w:r>
        <w:rPr>
          <w:rFonts w:hint="default"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78"/>
        <w:numPr>
          <w:ilvl w:val="0"/>
          <w:numId w:val="18"/>
        </w:numPr>
        <w:tabs>
          <w:tab w:val="left" w:pos="1418"/>
        </w:tabs>
        <w:jc w:val="both"/>
        <w:rPr>
          <w:rFonts w:hint="default" w:ascii="Times New Roman" w:hAnsi="Times New Roman" w:cs="Times New Roman"/>
          <w:sz w:val="24"/>
          <w:szCs w:val="24"/>
        </w:rPr>
      </w:pPr>
      <w:r>
        <w:rPr>
          <w:rFonts w:hint="default" w:ascii="Times New Roman" w:hAnsi="Times New Roman" w:cs="Times New Roman"/>
          <w:b/>
          <w:bCs/>
          <w:sz w:val="24"/>
          <w:szCs w:val="24"/>
        </w:rPr>
        <w:t>Jeżeli wykonawca polega na zdolnościach lub sytuacji podmiotów udostępniających zasoby na zasadach, o których mowa w lit. a), zamawiający wymaga od wykonawcy złożenia na wezwanie zamawiającego, o którym mowa w  SWZ w odniesieniu do tych podmiotów dokumentów, o których mowa w  SWZ.</w:t>
      </w:r>
    </w:p>
    <w:p>
      <w:pPr>
        <w:pStyle w:val="78"/>
        <w:numPr>
          <w:ilvl w:val="0"/>
          <w:numId w:val="18"/>
        </w:numPr>
        <w:tabs>
          <w:tab w:val="left" w:pos="1418"/>
        </w:tabs>
        <w:jc w:val="both"/>
        <w:rPr>
          <w:rFonts w:hint="default" w:ascii="Times New Roman" w:hAnsi="Times New Roman" w:cs="Times New Roman"/>
          <w:bCs/>
          <w:i/>
          <w:iCs/>
          <w:sz w:val="24"/>
          <w:szCs w:val="24"/>
          <w:u w:val="single"/>
        </w:rPr>
      </w:pPr>
      <w:r>
        <w:rPr>
          <w:rFonts w:hint="default" w:ascii="Times New Roman" w:hAnsi="Times New Roman" w:cs="Times New Roman"/>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pPr>
        <w:pStyle w:val="78"/>
        <w:numPr>
          <w:ilvl w:val="1"/>
          <w:numId w:val="13"/>
        </w:numPr>
        <w:tabs>
          <w:tab w:val="left" w:pos="567"/>
          <w:tab w:val="clear" w:pos="786"/>
        </w:tabs>
        <w:spacing w:after="0" w:line="240" w:lineRule="auto"/>
        <w:ind w:left="567" w:hanging="283"/>
        <w:jc w:val="both"/>
        <w:rPr>
          <w:rFonts w:hint="default" w:ascii="Times New Roman" w:hAnsi="Times New Roman" w:cs="Times New Roman"/>
          <w:b/>
          <w:bCs/>
          <w:sz w:val="24"/>
          <w:szCs w:val="24"/>
        </w:rPr>
      </w:pPr>
      <w:r>
        <w:rPr>
          <w:rFonts w:hint="default" w:ascii="Times New Roman" w:hAnsi="Times New Roman" w:cs="Times New Roman"/>
          <w:b/>
          <w:bCs/>
          <w:sz w:val="24"/>
          <w:szCs w:val="24"/>
        </w:rPr>
        <w:t>Podwykonawcy:</w:t>
      </w:r>
    </w:p>
    <w:p>
      <w:pPr>
        <w:pStyle w:val="78"/>
        <w:spacing w:after="0" w:line="240" w:lineRule="auto"/>
        <w:ind w:left="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Jeżeli wykonawca zamierza powierzyć podwykonawcom część zamówienia, powinien w formularzu oferty stanowiącym </w:t>
      </w:r>
      <w:r>
        <w:rPr>
          <w:rFonts w:hint="default" w:ascii="Times New Roman" w:hAnsi="Times New Roman" w:cs="Times New Roman"/>
          <w:b/>
          <w:bCs/>
          <w:sz w:val="24"/>
          <w:szCs w:val="24"/>
        </w:rPr>
        <w:t>załącznik nr 1 do SWZ</w:t>
      </w:r>
      <w:r>
        <w:rPr>
          <w:rFonts w:hint="default" w:ascii="Times New Roman" w:hAnsi="Times New Roman" w:cs="Times New Roman"/>
          <w:sz w:val="24"/>
          <w:szCs w:val="24"/>
        </w:rPr>
        <w:t xml:space="preserve"> podać nazwy ewentualnych podwykonawców, jeżeli są już znani.  </w:t>
      </w:r>
    </w:p>
    <w:p>
      <w:pPr>
        <w:pStyle w:val="135"/>
        <w:spacing w:line="360" w:lineRule="auto"/>
        <w:jc w:val="both"/>
        <w:rPr>
          <w:rFonts w:ascii="Times New Roman" w:hAnsi="Times New Roman" w:cs="Times New Roman"/>
        </w:rPr>
      </w:pPr>
    </w:p>
    <w:p>
      <w:pPr>
        <w:pStyle w:val="135"/>
        <w:numPr>
          <w:ilvl w:val="0"/>
          <w:numId w:val="3"/>
        </w:numPr>
        <w:spacing w:line="360" w:lineRule="auto"/>
        <w:ind w:left="2699" w:leftChars="0" w:hanging="2699" w:firstLineChars="0"/>
        <w:jc w:val="both"/>
        <w:rPr>
          <w:rFonts w:hint="default" w:ascii="Times New Roman" w:hAnsi="Times New Roman" w:cs="Times New Roman"/>
        </w:rPr>
      </w:pPr>
      <w:r>
        <w:rPr>
          <w:rFonts w:hint="default" w:ascii="Times New Roman" w:hAnsi="Times New Roman" w:cs="Times New Roman"/>
          <w:b/>
          <w:sz w:val="24"/>
          <w:szCs w:val="24"/>
        </w:rPr>
        <w:t>Wymagane dokumenty składane w postępowaniu</w:t>
      </w:r>
    </w:p>
    <w:p>
      <w:pPr>
        <w:numPr>
          <w:ilvl w:val="0"/>
          <w:numId w:val="19"/>
        </w:numPr>
        <w:tabs>
          <w:tab w:val="left" w:pos="360"/>
          <w:tab w:val="left" w:pos="567"/>
        </w:tabs>
        <w:ind w:left="567" w:hanging="567"/>
        <w:jc w:val="both"/>
        <w:rPr>
          <w:rFonts w:hint="default" w:ascii="Times New Roman" w:hAnsi="Times New Roman" w:cs="Times New Roman"/>
          <w:sz w:val="24"/>
          <w:szCs w:val="24"/>
        </w:rPr>
      </w:pPr>
      <w:r>
        <w:rPr>
          <w:rFonts w:hint="default" w:ascii="Times New Roman" w:hAnsi="Times New Roman" w:cs="Times New Roman"/>
          <w:b/>
          <w:sz w:val="24"/>
          <w:szCs w:val="24"/>
        </w:rPr>
        <w:t>Dokumenty wymagane przez zamawiającego, które należy złożyć do upływu terminu składania ofert za pośrednictwem Platformy:</w:t>
      </w:r>
    </w:p>
    <w:p>
      <w:pPr>
        <w:numPr>
          <w:ilvl w:val="0"/>
          <w:numId w:val="20"/>
        </w:numPr>
        <w:tabs>
          <w:tab w:val="left" w:pos="1134"/>
        </w:tabs>
        <w:ind w:left="1134" w:hanging="567"/>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formularz oferty, </w:t>
      </w:r>
      <w:r>
        <w:rPr>
          <w:rFonts w:hint="default" w:ascii="Times New Roman" w:hAnsi="Times New Roman" w:cs="Times New Roman"/>
          <w:sz w:val="24"/>
          <w:szCs w:val="24"/>
        </w:rPr>
        <w:t xml:space="preserve">według wzoru stanowiącego </w:t>
      </w:r>
      <w:r>
        <w:rPr>
          <w:rFonts w:hint="default" w:ascii="Times New Roman" w:hAnsi="Times New Roman" w:cs="Times New Roman"/>
          <w:b/>
          <w:sz w:val="24"/>
          <w:szCs w:val="24"/>
        </w:rPr>
        <w:t xml:space="preserve">załącznik nr 1 </w:t>
      </w:r>
      <w:r>
        <w:rPr>
          <w:rFonts w:hint="default" w:ascii="Times New Roman" w:hAnsi="Times New Roman" w:cs="Times New Roman"/>
          <w:b/>
          <w:bCs/>
          <w:sz w:val="24"/>
          <w:szCs w:val="24"/>
        </w:rPr>
        <w:t>do SWZ;</w:t>
      </w:r>
    </w:p>
    <w:p>
      <w:pPr>
        <w:tabs>
          <w:tab w:val="left" w:pos="1134"/>
        </w:tabs>
        <w:ind w:left="1134"/>
        <w:jc w:val="both"/>
        <w:rPr>
          <w:rFonts w:hint="default" w:ascii="Times New Roman" w:hAnsi="Times New Roman" w:cs="Times New Roman"/>
          <w:sz w:val="24"/>
          <w:szCs w:val="24"/>
          <w:u w:val="single"/>
        </w:rPr>
      </w:pPr>
      <w:bookmarkStart w:id="0" w:name="_Hlk62702973"/>
      <w:r>
        <w:rPr>
          <w:rFonts w:hint="default" w:ascii="Times New Roman" w:hAnsi="Times New Roman" w:cs="Times New Roman"/>
          <w:sz w:val="24"/>
          <w:szCs w:val="24"/>
          <w:u w:val="single"/>
        </w:rPr>
        <w:t xml:space="preserve">W przypadku wykonawców wspólnie ubiegających się o udzielenie zamówienia </w:t>
      </w:r>
      <w:bookmarkEnd w:id="0"/>
      <w:r>
        <w:rPr>
          <w:rFonts w:hint="default" w:ascii="Times New Roman" w:hAnsi="Times New Roman" w:cs="Times New Roman"/>
          <w:sz w:val="24"/>
          <w:szCs w:val="24"/>
          <w:u w:val="single"/>
        </w:rPr>
        <w:t>wykonawcy ci składają jeden wspólny ww. dokument.</w:t>
      </w:r>
    </w:p>
    <w:p>
      <w:pPr>
        <w:numPr>
          <w:ilvl w:val="0"/>
          <w:numId w:val="20"/>
        </w:numPr>
        <w:tabs>
          <w:tab w:val="left" w:pos="1134"/>
        </w:tabs>
        <w:ind w:left="1134" w:hanging="567"/>
        <w:jc w:val="both"/>
        <w:rPr>
          <w:rFonts w:hint="default" w:ascii="Times New Roman" w:hAnsi="Times New Roman" w:cs="Times New Roman"/>
          <w:b/>
          <w:bCs/>
          <w:sz w:val="24"/>
          <w:szCs w:val="24"/>
        </w:rPr>
      </w:pPr>
      <w:r>
        <w:rPr>
          <w:rFonts w:hint="default" w:ascii="Times New Roman" w:hAnsi="Times New Roman" w:cs="Times New Roman"/>
          <w:b/>
          <w:sz w:val="24"/>
          <w:szCs w:val="24"/>
        </w:rPr>
        <w:t>oświadczenie o niepodleganiu wykluczeniu</w:t>
      </w:r>
      <w:r>
        <w:rPr>
          <w:rFonts w:hint="default" w:ascii="Times New Roman" w:hAnsi="Times New Roman" w:cs="Times New Roman"/>
          <w:sz w:val="24"/>
          <w:szCs w:val="24"/>
        </w:rPr>
        <w:t xml:space="preserve">, według wzoru stanowiącego </w:t>
      </w:r>
      <w:r>
        <w:rPr>
          <w:rFonts w:hint="default" w:ascii="Times New Roman" w:hAnsi="Times New Roman" w:cs="Times New Roman"/>
          <w:b/>
          <w:sz w:val="24"/>
          <w:szCs w:val="24"/>
        </w:rPr>
        <w:t xml:space="preserve">załącznik nr 2 </w:t>
      </w:r>
      <w:r>
        <w:rPr>
          <w:rFonts w:hint="default" w:ascii="Times New Roman" w:hAnsi="Times New Roman" w:cs="Times New Roman"/>
          <w:b/>
          <w:bCs/>
          <w:sz w:val="24"/>
          <w:szCs w:val="24"/>
        </w:rPr>
        <w:t>do SWZ;</w:t>
      </w:r>
    </w:p>
    <w:p>
      <w:pPr>
        <w:pStyle w:val="78"/>
        <w:tabs>
          <w:tab w:val="left" w:pos="851"/>
          <w:tab w:val="left" w:pos="1134"/>
        </w:tabs>
        <w:spacing w:after="0" w:line="24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u w:val="single"/>
        </w:rPr>
        <w:t>W przypadku wykonawców wspólnie ubiegających się o udzielenie zamówienia ww. dokument składa każdy z tych wykonawców</w:t>
      </w:r>
      <w:r>
        <w:rPr>
          <w:rFonts w:hint="default" w:ascii="Times New Roman" w:hAnsi="Times New Roman" w:cs="Times New Roman"/>
          <w:sz w:val="24"/>
          <w:szCs w:val="24"/>
        </w:rPr>
        <w:t>.</w:t>
      </w:r>
    </w:p>
    <w:p>
      <w:pPr>
        <w:numPr>
          <w:ilvl w:val="0"/>
          <w:numId w:val="20"/>
        </w:numPr>
        <w:tabs>
          <w:tab w:val="left" w:pos="1134"/>
        </w:tabs>
        <w:ind w:left="1134" w:hanging="567"/>
        <w:jc w:val="both"/>
        <w:rPr>
          <w:rFonts w:hint="default" w:ascii="Times New Roman" w:hAnsi="Times New Roman" w:cs="Times New Roman"/>
          <w:sz w:val="24"/>
          <w:szCs w:val="24"/>
        </w:rPr>
      </w:pPr>
      <w:r>
        <w:rPr>
          <w:rFonts w:hint="default" w:ascii="Times New Roman" w:hAnsi="Times New Roman" w:cs="Times New Roman"/>
          <w:b/>
          <w:sz w:val="24"/>
          <w:szCs w:val="24"/>
        </w:rPr>
        <w:t>oświadczenie o spełnianiu warunków udziału w postępowaniu</w:t>
      </w:r>
      <w:r>
        <w:rPr>
          <w:rFonts w:hint="default" w:ascii="Times New Roman" w:hAnsi="Times New Roman" w:cs="Times New Roman"/>
          <w:sz w:val="24"/>
          <w:szCs w:val="24"/>
        </w:rPr>
        <w:t xml:space="preserve">, według wzoru stanowiącego </w:t>
      </w:r>
      <w:r>
        <w:rPr>
          <w:rFonts w:hint="default" w:ascii="Times New Roman" w:hAnsi="Times New Roman" w:cs="Times New Roman"/>
          <w:b/>
          <w:sz w:val="24"/>
          <w:szCs w:val="24"/>
        </w:rPr>
        <w:t xml:space="preserve">załącznik nr 3 </w:t>
      </w:r>
      <w:r>
        <w:rPr>
          <w:rFonts w:hint="default" w:ascii="Times New Roman" w:hAnsi="Times New Roman" w:cs="Times New Roman"/>
          <w:b/>
          <w:bCs/>
          <w:sz w:val="24"/>
          <w:szCs w:val="24"/>
        </w:rPr>
        <w:t>do SWZ</w:t>
      </w:r>
      <w:r>
        <w:rPr>
          <w:rFonts w:hint="default" w:ascii="Times New Roman" w:hAnsi="Times New Roman" w:cs="Times New Roman"/>
          <w:sz w:val="24"/>
          <w:szCs w:val="24"/>
        </w:rPr>
        <w:t>;</w:t>
      </w:r>
    </w:p>
    <w:p>
      <w:pPr>
        <w:tabs>
          <w:tab w:val="left" w:pos="1134"/>
        </w:tabs>
        <w:ind w:left="1134"/>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rPr>
        <w:t>W przypadku wykonawców wspólnie ubiegających się o udzielenie zamówienia ww. dokument składa każdy z wykonawców, w zakresie, w jakim wykazuje spełnianie warunków udziału w postępowaniu.</w:t>
      </w:r>
    </w:p>
    <w:p>
      <w:pPr>
        <w:numPr>
          <w:ilvl w:val="0"/>
          <w:numId w:val="20"/>
        </w:numPr>
        <w:tabs>
          <w:tab w:val="left" w:pos="1134"/>
        </w:tabs>
        <w:ind w:left="1134" w:hanging="567"/>
        <w:jc w:val="both"/>
        <w:rPr>
          <w:rFonts w:hint="default" w:ascii="Times New Roman" w:hAnsi="Times New Roman" w:cs="Times New Roman"/>
          <w:sz w:val="24"/>
          <w:szCs w:val="24"/>
        </w:rPr>
      </w:pPr>
      <w:r>
        <w:rPr>
          <w:rFonts w:hint="default" w:ascii="Times New Roman" w:hAnsi="Times New Roman" w:cs="Times New Roman"/>
          <w:b/>
          <w:sz w:val="24"/>
          <w:szCs w:val="24"/>
        </w:rPr>
        <w:t>zobowiązanie podmiotu udostępniającego zasoby</w:t>
      </w:r>
      <w:r>
        <w:rPr>
          <w:rFonts w:hint="default" w:ascii="Times New Roman" w:hAnsi="Times New Roman" w:cs="Times New Roman"/>
          <w:sz w:val="24"/>
          <w:szCs w:val="24"/>
        </w:rPr>
        <w:t xml:space="preserve"> do oddania wykonawcy do dyspozycji niezbędnych zasobów na potrzeby realizacji danego zamówienia wraz z </w:t>
      </w:r>
      <w:r>
        <w:rPr>
          <w:rFonts w:hint="default" w:ascii="Times New Roman" w:hAnsi="Times New Roman" w:cs="Times New Roman"/>
          <w:b/>
          <w:sz w:val="24"/>
          <w:szCs w:val="24"/>
        </w:rPr>
        <w:t>oświadczeniem podmiotu udostępniającego zasoby o braku podstaw wykluczenia tego podmiotu oraz o spełnianiu warunków udziału w postępowaniu</w:t>
      </w:r>
      <w:r>
        <w:rPr>
          <w:rFonts w:hint="default" w:ascii="Times New Roman" w:hAnsi="Times New Roman" w:cs="Times New Roman"/>
          <w:sz w:val="24"/>
          <w:szCs w:val="24"/>
        </w:rPr>
        <w:t xml:space="preserve">, w zakresie, w jakim wykonawca powołuje się na zasoby tego podmiotu (wg wzoru stanowiącego </w:t>
      </w:r>
      <w:r>
        <w:rPr>
          <w:rFonts w:hint="default" w:ascii="Times New Roman" w:hAnsi="Times New Roman" w:cs="Times New Roman"/>
          <w:b/>
          <w:sz w:val="24"/>
          <w:szCs w:val="24"/>
        </w:rPr>
        <w:t>załącznik nr 4</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do SWZ</w:t>
      </w:r>
      <w:r>
        <w:rPr>
          <w:rFonts w:hint="default" w:ascii="Times New Roman" w:hAnsi="Times New Roman" w:cs="Times New Roman"/>
          <w:sz w:val="24"/>
          <w:szCs w:val="24"/>
        </w:rPr>
        <w:t>). Zobowiązanie podmiotu udostępniającego zasoby może być zastąpione innym podmiotowym środkiem dowodowym potwierdzającym, że wykonawca realizując zamówienie, będzie dysponował niezbędnymi zasobami tego podmiotu;</w:t>
      </w:r>
    </w:p>
    <w:p>
      <w:pPr>
        <w:tabs>
          <w:tab w:val="left" w:pos="1134"/>
        </w:tabs>
        <w:ind w:left="1134"/>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rPr>
        <w:t>Ww. dokument należy złożyć tylko w przypadku jeżeli wykonawca polega na zdolnościach lub sytuacji podmiotu udostępniającego zasoby.</w:t>
      </w:r>
    </w:p>
    <w:p>
      <w:pPr>
        <w:numPr>
          <w:ilvl w:val="0"/>
          <w:numId w:val="20"/>
        </w:numPr>
        <w:tabs>
          <w:tab w:val="left" w:pos="1134"/>
        </w:tabs>
        <w:ind w:left="1134" w:hanging="567"/>
        <w:jc w:val="both"/>
        <w:rPr>
          <w:rFonts w:hint="default" w:ascii="Times New Roman" w:hAnsi="Times New Roman" w:cs="Times New Roman"/>
          <w:sz w:val="24"/>
          <w:szCs w:val="24"/>
        </w:rPr>
      </w:pPr>
      <w:r>
        <w:rPr>
          <w:rFonts w:hint="default" w:ascii="Times New Roman" w:hAnsi="Times New Roman" w:cs="Times New Roman"/>
          <w:b/>
          <w:sz w:val="24"/>
          <w:szCs w:val="24"/>
        </w:rPr>
        <w:t>odpowiednie pełnomocnictwa</w:t>
      </w:r>
      <w:r>
        <w:rPr>
          <w:rFonts w:hint="default" w:ascii="Times New Roman" w:hAnsi="Times New Roman" w:cs="Times New Roman"/>
          <w:sz w:val="24"/>
          <w:szCs w:val="24"/>
        </w:rPr>
        <w:t xml:space="preserve"> lub inne dokumenty potwierdzające umocowanie do reprezentowania wykonawcy, podmiotu udostępniającego zasoby, wykonawców wspólnie ubiegających się o udzielenie zamówienia;</w:t>
      </w:r>
    </w:p>
    <w:p>
      <w:pPr>
        <w:numPr>
          <w:ilvl w:val="0"/>
          <w:numId w:val="20"/>
        </w:numPr>
        <w:tabs>
          <w:tab w:val="left" w:pos="1134"/>
        </w:tabs>
        <w:ind w:left="1134" w:hanging="567"/>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b/>
          <w:i/>
          <w:iCs/>
          <w:color w:val="000000" w:themeColor="text1"/>
          <w:sz w:val="24"/>
          <w:szCs w:val="24"/>
          <w14:textFill>
            <w14:solidFill>
              <w14:schemeClr w14:val="tx1"/>
            </w14:solidFill>
          </w14:textFill>
        </w:rPr>
        <w:t>przedmiotowe środki dowodowe</w:t>
      </w:r>
      <w:r>
        <w:rPr>
          <w:rFonts w:hint="default" w:ascii="Times New Roman" w:hAnsi="Times New Roman" w:cs="Times New Roman"/>
          <w:i/>
          <w:iCs/>
          <w:color w:val="000000" w:themeColor="text1"/>
          <w:sz w:val="24"/>
          <w:szCs w:val="24"/>
          <w14:textFill>
            <w14:solidFill>
              <w14:schemeClr w14:val="tx1"/>
            </w14:solidFill>
          </w14:textFill>
        </w:rPr>
        <w:t xml:space="preserve">: </w:t>
      </w:r>
    </w:p>
    <w:p>
      <w:pPr>
        <w:pStyle w:val="78"/>
        <w:numPr>
          <w:ilvl w:val="3"/>
          <w:numId w:val="19"/>
        </w:numPr>
        <w:spacing w:after="0" w:line="240" w:lineRule="auto"/>
        <w:ind w:left="1701" w:hanging="567"/>
        <w:jc w:val="both"/>
        <w:rPr>
          <w:rFonts w:hint="default" w:ascii="Times New Roman" w:hAnsi="Times New Roman" w:cs="Times New Roman"/>
          <w:b/>
          <w:i/>
          <w:iCs/>
          <w:color w:val="000000" w:themeColor="text1"/>
          <w:sz w:val="24"/>
          <w:szCs w:val="24"/>
          <w14:textFill>
            <w14:solidFill>
              <w14:schemeClr w14:val="tx1"/>
            </w14:solidFill>
          </w14:textFill>
        </w:rPr>
      </w:pPr>
      <w:r>
        <w:rPr>
          <w:rFonts w:hint="default" w:ascii="Times New Roman" w:hAnsi="Times New Roman" w:eastAsia="Times New Roman" w:cs="Times New Roman"/>
          <w:i/>
          <w:iCs/>
          <w:color w:val="000000" w:themeColor="text1"/>
          <w:sz w:val="24"/>
          <w:szCs w:val="24"/>
          <w:lang w:eastAsia="pl-PL"/>
          <w14:textFill>
            <w14:solidFill>
              <w14:schemeClr w14:val="tx1"/>
            </w14:solidFill>
          </w14:textFill>
        </w:rPr>
        <w:t>opis materiałów, produktów i rozwiązań równoważnych – jeżeli wykonawca przewiduje ich zastosowanie oraz dokumenty na potwierdzenie równoważności zastosowanych materiałów, produktów i rozwiązań (jeżeli są konieczne do wykazania równoważności);</w:t>
      </w:r>
    </w:p>
    <w:p>
      <w:pPr>
        <w:pStyle w:val="78"/>
        <w:tabs>
          <w:tab w:val="left" w:pos="851"/>
        </w:tabs>
        <w:spacing w:after="0" w:line="240" w:lineRule="auto"/>
        <w:ind w:left="1701" w:hanging="567"/>
        <w:jc w:val="both"/>
        <w:rPr>
          <w:rFonts w:hint="default" w:ascii="Times New Roman" w:hAnsi="Times New Roman" w:eastAsia="Times New Roman" w:cs="Times New Roman"/>
          <w:i/>
          <w:iCs/>
          <w:color w:val="000000" w:themeColor="text1"/>
          <w:sz w:val="24"/>
          <w:szCs w:val="24"/>
          <w:u w:val="single"/>
          <w:lang w:eastAsia="pl-PL"/>
          <w14:textFill>
            <w14:solidFill>
              <w14:schemeClr w14:val="tx1"/>
            </w14:solidFill>
          </w14:textFill>
        </w:rPr>
      </w:pPr>
      <w:r>
        <w:rPr>
          <w:rFonts w:hint="default" w:ascii="Times New Roman" w:hAnsi="Times New Roman" w:eastAsia="Times New Roman" w:cs="Times New Roman"/>
          <w:i/>
          <w:iCs/>
          <w:color w:val="000000" w:themeColor="text1"/>
          <w:sz w:val="24"/>
          <w:szCs w:val="24"/>
          <w:lang w:eastAsia="pl-PL"/>
          <w14:textFill>
            <w14:solidFill>
              <w14:schemeClr w14:val="tx1"/>
            </w14:solidFill>
          </w14:textFill>
        </w:rPr>
        <w:tab/>
      </w:r>
      <w:r>
        <w:rPr>
          <w:rFonts w:hint="default" w:ascii="Times New Roman" w:hAnsi="Times New Roman" w:cs="Times New Roman"/>
          <w:color w:val="000000" w:themeColor="text1"/>
          <w:sz w:val="24"/>
          <w:szCs w:val="24"/>
          <w:u w:val="single"/>
          <w14:textFill>
            <w14:solidFill>
              <w14:schemeClr w14:val="tx1"/>
            </w14:solidFill>
          </w14:textFill>
        </w:rPr>
        <w:t xml:space="preserve">W przypadku wykonawców wspólnie ubiegających się o udzielenie zamówienia </w:t>
      </w:r>
      <w:r>
        <w:rPr>
          <w:rFonts w:hint="default" w:ascii="Times New Roman" w:hAnsi="Times New Roman" w:cs="Times New Roman"/>
          <w:i/>
          <w:iCs/>
          <w:color w:val="000000" w:themeColor="text1"/>
          <w:sz w:val="24"/>
          <w:szCs w:val="24"/>
          <w:u w:val="single"/>
          <w14:textFill>
            <w14:solidFill>
              <w14:schemeClr w14:val="tx1"/>
            </w14:solidFill>
          </w14:textFill>
        </w:rPr>
        <w:t xml:space="preserve">wykonawcy ci składają </w:t>
      </w:r>
      <w:r>
        <w:rPr>
          <w:rFonts w:hint="default" w:ascii="Times New Roman" w:hAnsi="Times New Roman" w:eastAsia="Times New Roman" w:cs="Times New Roman"/>
          <w:i/>
          <w:iCs/>
          <w:color w:val="000000" w:themeColor="text1"/>
          <w:sz w:val="24"/>
          <w:szCs w:val="24"/>
          <w:u w:val="single"/>
          <w:lang w:eastAsia="pl-PL"/>
          <w14:textFill>
            <w14:solidFill>
              <w14:schemeClr w14:val="tx1"/>
            </w14:solidFill>
          </w14:textFill>
        </w:rPr>
        <w:t>jeden wspólny ww. dokument.</w:t>
      </w:r>
    </w:p>
    <w:p>
      <w:pPr>
        <w:numPr>
          <w:ilvl w:val="0"/>
          <w:numId w:val="19"/>
        </w:numPr>
        <w:tabs>
          <w:tab w:val="left" w:pos="360"/>
          <w:tab w:val="left" w:pos="567"/>
        </w:tabs>
        <w:ind w:left="567" w:hanging="567"/>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Podmiotowe środki dowodowe wymagane przez zamawiającego, które należy złożyć </w:t>
      </w:r>
      <w:r>
        <w:rPr>
          <w:rFonts w:hint="default" w:ascii="Times New Roman" w:hAnsi="Times New Roman" w:cs="Times New Roman"/>
          <w:b/>
          <w:sz w:val="24"/>
          <w:szCs w:val="24"/>
          <w:u w:val="single"/>
        </w:rPr>
        <w:t>na wezwanie, skierowane do wykonawcy, którego oferta została najwyżej oceniona w wyznaczonym terminie nie krótszym niż 5 dni od dnia wezwania, aktualne na dzień złożenia tj.:</w:t>
      </w:r>
    </w:p>
    <w:p>
      <w:pPr>
        <w:pStyle w:val="78"/>
        <w:numPr>
          <w:ilvl w:val="1"/>
          <w:numId w:val="19"/>
        </w:numPr>
        <w:tabs>
          <w:tab w:val="left" w:pos="786"/>
          <w:tab w:val="left" w:pos="1134"/>
        </w:tabs>
        <w:spacing w:after="0" w:line="240" w:lineRule="auto"/>
        <w:ind w:left="1134" w:hanging="567"/>
        <w:jc w:val="both"/>
        <w:rPr>
          <w:rFonts w:hint="default" w:ascii="Times New Roman" w:hAnsi="Times New Roman" w:cs="Times New Roman"/>
          <w:b/>
          <w:sz w:val="24"/>
          <w:szCs w:val="24"/>
        </w:rPr>
      </w:pPr>
      <w:r>
        <w:rPr>
          <w:rFonts w:hint="default" w:ascii="Times New Roman" w:hAnsi="Times New Roman" w:cs="Times New Roman"/>
          <w:b/>
          <w:sz w:val="24"/>
          <w:szCs w:val="24"/>
        </w:rPr>
        <w:t>na potwierdzenie, że wykonawca nie podlega wykluczeniu z postępowania, w przypadkach określonych w SWZ:</w:t>
      </w:r>
    </w:p>
    <w:p>
      <w:pPr>
        <w:pStyle w:val="78"/>
        <w:numPr>
          <w:ilvl w:val="0"/>
          <w:numId w:val="21"/>
        </w:numPr>
        <w:spacing w:after="0" w:line="240" w:lineRule="auto"/>
        <w:ind w:left="1701" w:hanging="567"/>
        <w:jc w:val="both"/>
        <w:rPr>
          <w:rFonts w:hint="default" w:ascii="Times New Roman" w:hAnsi="Times New Roman" w:cs="Times New Roman"/>
          <w:sz w:val="24"/>
          <w:szCs w:val="24"/>
        </w:rPr>
      </w:pPr>
      <w:r>
        <w:rPr>
          <w:rFonts w:hint="default" w:ascii="Times New Roman" w:hAnsi="Times New Roman" w:cs="Times New Roman"/>
          <w:b/>
          <w:sz w:val="24"/>
          <w:szCs w:val="24"/>
        </w:rPr>
        <w:t>odpis lub informacja z Krajowego Rejestru Sądowego lub z Centralnej Ewidencji i Informacji o Działalności Gospodarczej</w:t>
      </w:r>
      <w:r>
        <w:rPr>
          <w:rFonts w:hint="default" w:ascii="Times New Roman" w:hAnsi="Times New Roman" w:cs="Times New Roman"/>
          <w:sz w:val="24"/>
          <w:szCs w:val="24"/>
        </w:rPr>
        <w:t>, sporządzone nie wcześniej niż 3 miesiące przed jej złożeniem, jeżeli odrębne przepisy wymagają wpisu do rejestru lub ewidencji;</w:t>
      </w:r>
    </w:p>
    <w:p>
      <w:pPr>
        <w:pStyle w:val="78"/>
        <w:spacing w:after="0" w:line="240" w:lineRule="auto"/>
        <w:ind w:left="1701"/>
        <w:jc w:val="both"/>
        <w:rPr>
          <w:rFonts w:hint="default" w:ascii="Times New Roman" w:hAnsi="Times New Roman" w:cs="Times New Roman"/>
          <w:sz w:val="24"/>
          <w:szCs w:val="24"/>
        </w:rPr>
      </w:pPr>
      <w:r>
        <w:rPr>
          <w:rFonts w:hint="default" w:ascii="Times New Roman" w:hAnsi="Times New Roman" w:cs="Times New Roman"/>
          <w:sz w:val="24"/>
          <w:szCs w:val="24"/>
          <w:u w:val="single"/>
        </w:rPr>
        <w:t>W przypadku wykonawców wspólnie ubiegających się o udzielenie zamówienia ww. dokument składa każdy z tych wykonawców</w:t>
      </w:r>
      <w:r>
        <w:rPr>
          <w:rFonts w:hint="default" w:ascii="Times New Roman" w:hAnsi="Times New Roman" w:cs="Times New Roman"/>
          <w:sz w:val="24"/>
          <w:szCs w:val="24"/>
        </w:rPr>
        <w:t>.</w:t>
      </w:r>
    </w:p>
    <w:p>
      <w:pPr>
        <w:pStyle w:val="78"/>
        <w:numPr>
          <w:ilvl w:val="0"/>
          <w:numId w:val="21"/>
        </w:numPr>
        <w:spacing w:after="0" w:line="240" w:lineRule="auto"/>
        <w:ind w:left="1701" w:hanging="567"/>
        <w:jc w:val="both"/>
        <w:rPr>
          <w:rFonts w:hint="default" w:ascii="Times New Roman" w:hAnsi="Times New Roman" w:cs="Times New Roman"/>
          <w:color w:val="FF0000"/>
          <w:sz w:val="24"/>
          <w:szCs w:val="24"/>
        </w:rPr>
      </w:pPr>
      <w:r>
        <w:rPr>
          <w:rFonts w:hint="default" w:ascii="Times New Roman" w:hAnsi="Times New Roman" w:eastAsia="Times New Roman" w:cs="Times New Roman"/>
          <w:b/>
          <w:bCs/>
          <w:sz w:val="24"/>
          <w:szCs w:val="24"/>
          <w:lang w:eastAsia="pl-PL"/>
        </w:rPr>
        <w:t>zaświadczenie właściwego naczelnika urzędu skarbowego</w:t>
      </w:r>
      <w:r>
        <w:rPr>
          <w:rFonts w:hint="default" w:ascii="Times New Roman" w:hAnsi="Times New Roman" w:eastAsia="Times New Roman" w:cs="Times New Roman"/>
          <w:sz w:val="24"/>
          <w:szCs w:val="24"/>
          <w:lang w:eastAsia="pl-PL"/>
        </w:rPr>
        <w:t xml:space="preserve"> potwierdzające, że wykonawca nie zalega z opłacaniem podatków i opłat,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pPr>
        <w:pStyle w:val="78"/>
        <w:spacing w:after="0" w:line="240" w:lineRule="auto"/>
        <w:ind w:left="1701"/>
        <w:jc w:val="both"/>
        <w:rPr>
          <w:rFonts w:hint="default" w:ascii="Times New Roman" w:hAnsi="Times New Roman" w:cs="Times New Roman"/>
          <w:sz w:val="24"/>
          <w:szCs w:val="24"/>
        </w:rPr>
      </w:pPr>
      <w:r>
        <w:rPr>
          <w:rFonts w:hint="default" w:ascii="Times New Roman" w:hAnsi="Times New Roman" w:cs="Times New Roman"/>
          <w:sz w:val="24"/>
          <w:szCs w:val="24"/>
          <w:u w:val="single"/>
        </w:rPr>
        <w:t>W przypadku wykonawców wspólnie ubiegających się o udzielenie zamówienia ww. dokument składa każdy z tych wykonawców</w:t>
      </w:r>
      <w:r>
        <w:rPr>
          <w:rFonts w:hint="default" w:ascii="Times New Roman" w:hAnsi="Times New Roman" w:cs="Times New Roman"/>
          <w:sz w:val="24"/>
          <w:szCs w:val="24"/>
        </w:rPr>
        <w:t>.</w:t>
      </w:r>
    </w:p>
    <w:p>
      <w:pPr>
        <w:pStyle w:val="78"/>
        <w:spacing w:after="0" w:line="240" w:lineRule="auto"/>
        <w:ind w:left="1701"/>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rPr>
        <w:t>W przypadku składania oferty przez spółkę cywilną Wykonawca musi złożyć oddzielne zaświadczenia dla każdego ze wspólników oraz oddzielne na spółkę.</w:t>
      </w:r>
    </w:p>
    <w:p>
      <w:pPr>
        <w:ind w:left="1701"/>
        <w:jc w:val="both"/>
        <w:rPr>
          <w:rFonts w:hint="default" w:ascii="Times New Roman" w:hAnsi="Times New Roman" w:cs="Times New Roman"/>
          <w:sz w:val="24"/>
          <w:szCs w:val="24"/>
        </w:rPr>
      </w:pPr>
      <w:r>
        <w:rPr>
          <w:rFonts w:hint="default" w:ascii="Times New Roman" w:hAnsi="Times New Roman" w:cs="Times New Roman"/>
          <w:sz w:val="24"/>
          <w:szCs w:val="24"/>
        </w:rPr>
        <w:t>UWAGA:</w:t>
      </w:r>
    </w:p>
    <w:p>
      <w:pPr>
        <w:pStyle w:val="78"/>
        <w:spacing w:after="0" w:line="240" w:lineRule="auto"/>
        <w:ind w:left="1701"/>
        <w:jc w:val="both"/>
        <w:rPr>
          <w:rFonts w:hint="default" w:ascii="Times New Roman" w:hAnsi="Times New Roman" w:cs="Times New Roman"/>
          <w:color w:val="FF0000"/>
          <w:sz w:val="24"/>
          <w:szCs w:val="24"/>
        </w:rPr>
      </w:pPr>
      <w:r>
        <w:rPr>
          <w:rFonts w:hint="default" w:ascii="Times New Roman" w:hAnsi="Times New Roman" w:cs="Times New Roman"/>
          <w:sz w:val="24"/>
          <w:szCs w:val="24"/>
        </w:rPr>
        <w:t>Wykonawcy prowadzący działalność gospodarczą w formie spółki cywilnej powinni przedstawić odpowiednie zaświadczenie właściwego naczelnika urzędu skarbowego odnoszące się zarówno do samej spółki cywilnej jako podatnika podatku od towarów i usług (VAT) jak i do każdego ze wspólników, jako podatnika podatku dochodowego od osób fizycznych.</w:t>
      </w:r>
    </w:p>
    <w:p>
      <w:pPr>
        <w:pStyle w:val="78"/>
        <w:numPr>
          <w:ilvl w:val="0"/>
          <w:numId w:val="21"/>
        </w:numPr>
        <w:spacing w:after="0" w:line="240" w:lineRule="auto"/>
        <w:ind w:left="1701" w:hanging="567"/>
        <w:jc w:val="both"/>
        <w:rPr>
          <w:rFonts w:hint="default" w:ascii="Times New Roman" w:hAnsi="Times New Roman" w:cs="Times New Roman"/>
          <w:color w:val="FF0000"/>
          <w:sz w:val="24"/>
          <w:szCs w:val="24"/>
        </w:rPr>
      </w:pPr>
      <w:r>
        <w:rPr>
          <w:rFonts w:hint="default" w:ascii="Times New Roman" w:hAnsi="Times New Roman" w:eastAsia="Times New Roman" w:cs="Times New Roman"/>
          <w:b/>
          <w:bCs/>
          <w:sz w:val="24"/>
          <w:szCs w:val="24"/>
          <w:lang w:eastAsia="pl-PL"/>
        </w:rPr>
        <w:t>zaświadczenie albo inny dokument właściwej terenowej jednostki organizacyjnej Zakładu Ubezpieczeń Społecznych</w:t>
      </w:r>
      <w:r>
        <w:rPr>
          <w:rFonts w:hint="default" w:ascii="Times New Roman" w:hAnsi="Times New Roman" w:eastAsia="Times New Roman" w:cs="Times New Roman"/>
          <w:sz w:val="24"/>
          <w:szCs w:val="24"/>
          <w:lang w:eastAsia="pl-PL"/>
        </w:rPr>
        <w:t xml:space="preserve"> lub właściwego oddziału regionalnego lub właściwej placówki terenowej Kasy Rolniczego Ubezpieczenia Społecznego potwierdzający, że wykonawca nie zalega z opłacaniem składek na ubezpieczenia społeczne i zdrowotne,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pPr>
        <w:pStyle w:val="78"/>
        <w:spacing w:after="0" w:line="240" w:lineRule="auto"/>
        <w:ind w:left="170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u w:val="single"/>
        </w:rPr>
        <w:t xml:space="preserve">W przypadku wykonawców wspólnie ubiegających się o udzielenie </w:t>
      </w:r>
      <w:r>
        <w:rPr>
          <w:rFonts w:hint="default" w:ascii="Times New Roman" w:hAnsi="Times New Roman" w:cs="Times New Roman"/>
          <w:color w:val="000000" w:themeColor="text1"/>
          <w:sz w:val="24"/>
          <w:szCs w:val="24"/>
          <w:u w:val="single"/>
          <w14:textFill>
            <w14:solidFill>
              <w14:schemeClr w14:val="tx1"/>
            </w14:solidFill>
          </w14:textFill>
        </w:rPr>
        <w:t>zamówienia ww. dokument składa każdy z tych wykonawców</w:t>
      </w:r>
      <w:r>
        <w:rPr>
          <w:rFonts w:hint="default" w:ascii="Times New Roman" w:hAnsi="Times New Roman" w:cs="Times New Roman"/>
          <w:color w:val="000000" w:themeColor="text1"/>
          <w:sz w:val="24"/>
          <w:szCs w:val="24"/>
          <w14:textFill>
            <w14:solidFill>
              <w14:schemeClr w14:val="tx1"/>
            </w14:solidFill>
          </w14:textFill>
        </w:rPr>
        <w:t>.</w:t>
      </w:r>
    </w:p>
    <w:p>
      <w:pPr>
        <w:pStyle w:val="78"/>
        <w:spacing w:after="0" w:line="240" w:lineRule="auto"/>
        <w:ind w:left="170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W przypadku składania oferty przez spółkę cywilną Wykonawca musi złożyć oddzielne zaświadczenia dla każdego ze wspólników oraz oddzielne na spółkę.</w:t>
      </w:r>
    </w:p>
    <w:p>
      <w:pPr>
        <w:pStyle w:val="78"/>
        <w:numPr>
          <w:ilvl w:val="1"/>
          <w:numId w:val="19"/>
        </w:numPr>
        <w:tabs>
          <w:tab w:val="left" w:pos="786"/>
          <w:tab w:val="left" w:pos="1134"/>
        </w:tabs>
        <w:spacing w:after="0" w:line="240" w:lineRule="auto"/>
        <w:ind w:left="1134" w:hanging="567"/>
        <w:jc w:val="both"/>
        <w:rPr>
          <w:rFonts w:hint="default" w:ascii="Times New Roman" w:hAnsi="Times New Roman" w:cs="Times New Roman"/>
          <w:b/>
          <w:i/>
          <w:iCs/>
          <w:color w:val="000000" w:themeColor="text1"/>
          <w:sz w:val="24"/>
          <w:szCs w:val="24"/>
          <w14:textFill>
            <w14:solidFill>
              <w14:schemeClr w14:val="tx1"/>
            </w14:solidFill>
          </w14:textFill>
        </w:rPr>
      </w:pPr>
      <w:r>
        <w:rPr>
          <w:rFonts w:hint="default" w:ascii="Times New Roman" w:hAnsi="Times New Roman" w:cs="Times New Roman"/>
          <w:b/>
          <w:i/>
          <w:iCs/>
          <w:color w:val="000000" w:themeColor="text1"/>
          <w:sz w:val="24"/>
          <w:szCs w:val="24"/>
          <w14:textFill>
            <w14:solidFill>
              <w14:schemeClr w14:val="tx1"/>
            </w14:solidFill>
          </w14:textFill>
        </w:rPr>
        <w:t>na potwierdzenie, że wykonawca spełnia warunki udziału w postępowaniu, o których mowa w  SWZ:</w:t>
      </w:r>
    </w:p>
    <w:p>
      <w:pPr>
        <w:numPr>
          <w:ilvl w:val="0"/>
          <w:numId w:val="22"/>
        </w:numPr>
        <w:ind w:left="1701" w:hanging="567"/>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b/>
          <w:i/>
          <w:iCs/>
          <w:color w:val="000000" w:themeColor="text1"/>
          <w:sz w:val="24"/>
          <w:szCs w:val="24"/>
          <w14:textFill>
            <w14:solidFill>
              <w14:schemeClr w14:val="tx1"/>
            </w14:solidFill>
          </w14:textFill>
        </w:rPr>
        <w:t>informacja banku</w:t>
      </w:r>
      <w:r>
        <w:rPr>
          <w:rFonts w:hint="default" w:ascii="Times New Roman" w:hAnsi="Times New Roman" w:cs="Times New Roman"/>
          <w:i/>
          <w:iCs/>
          <w:color w:val="000000" w:themeColor="text1"/>
          <w:sz w:val="24"/>
          <w:szCs w:val="24"/>
          <w14:textFill>
            <w14:solidFill>
              <w14:schemeClr w14:val="tx1"/>
            </w14:solidFill>
          </w14:textFill>
        </w:rPr>
        <w:t xml:space="preserve"> lub spółdzielczej kasy oszczędnościowo – kredytowej potwierdzająca wysokość posiadanych środków finansowych lub zdolność kredytową wykonawcy, w okresie nie wcześniejszym niż 3 miesiące przed jej złożeniem;</w:t>
      </w:r>
    </w:p>
    <w:p>
      <w:pPr>
        <w:ind w:left="1701"/>
        <w:jc w:val="both"/>
        <w:rPr>
          <w:rFonts w:hint="default" w:ascii="Times New Roman" w:hAnsi="Times New Roman" w:cs="Times New Roman"/>
          <w:i/>
          <w:i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 xml:space="preserve">W przypadku wykonawców wspólnie ubiegających się o udzielenie zamówienia </w:t>
      </w:r>
      <w:r>
        <w:rPr>
          <w:rFonts w:hint="default" w:ascii="Times New Roman" w:hAnsi="Times New Roman" w:cs="Times New Roman"/>
          <w:i/>
          <w:iCs/>
          <w:color w:val="000000" w:themeColor="text1"/>
          <w:sz w:val="24"/>
          <w:szCs w:val="24"/>
          <w:u w:val="single"/>
          <w14:textFill>
            <w14:solidFill>
              <w14:schemeClr w14:val="tx1"/>
            </w14:solidFill>
          </w14:textFill>
        </w:rPr>
        <w:t>ww. dokument składa ten/ci z wykonawców, którzy będą odpowiadali za spełnienie tego warunku.</w:t>
      </w:r>
    </w:p>
    <w:p>
      <w:pPr>
        <w:pStyle w:val="78"/>
        <w:numPr>
          <w:ilvl w:val="0"/>
          <w:numId w:val="22"/>
        </w:numPr>
        <w:tabs>
          <w:tab w:val="left" w:pos="567"/>
        </w:tabs>
        <w:autoSpaceDE w:val="0"/>
        <w:autoSpaceDN w:val="0"/>
        <w:adjustRightInd w:val="0"/>
        <w:spacing w:after="0" w:line="240" w:lineRule="auto"/>
        <w:ind w:left="1701" w:hanging="56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 xml:space="preserve">wykaz robót budowlanych </w:t>
      </w:r>
      <w:r>
        <w:rPr>
          <w:rFonts w:hint="default" w:ascii="Times New Roman" w:hAnsi="Times New Roman" w:cs="Times New Roman"/>
          <w:color w:val="000000" w:themeColor="text1"/>
          <w:sz w:val="24"/>
          <w:szCs w:val="24"/>
          <w14:textFill>
            <w14:solidFill>
              <w14:schemeClr w14:val="tx1"/>
            </w14:solidFill>
          </w14:textFill>
        </w:rPr>
        <w:t xml:space="preserve">wykonanych nie wcześniej niż w okresie ostatnich 5 lat, a jeżeli okres prowadzenia działalności jest krótszy - w tym okresie, </w:t>
      </w:r>
      <w:r>
        <w:rPr>
          <w:rFonts w:hint="default" w:ascii="Times New Roman" w:hAnsi="Times New Roman" w:cs="Times New Roman"/>
          <w:b/>
          <w:bCs/>
          <w:color w:val="000000" w:themeColor="text1"/>
          <w:sz w:val="24"/>
          <w:szCs w:val="24"/>
          <w14:textFill>
            <w14:solidFill>
              <w14:schemeClr w14:val="tx1"/>
            </w14:solidFill>
          </w14:textFill>
        </w:rPr>
        <w:t>podobnych do robót budowlanych stanowiących przedmiot zamówienia,</w:t>
      </w:r>
      <w:r>
        <w:rPr>
          <w:rFonts w:hint="default" w:ascii="Times New Roman" w:hAnsi="Times New Roman" w:cs="Times New Roman"/>
          <w:color w:val="000000" w:themeColor="text1"/>
          <w:sz w:val="24"/>
          <w:szCs w:val="24"/>
          <w14:textFill>
            <w14:solidFill>
              <w14:schemeClr w14:val="tx1"/>
            </w14:solidFill>
          </w14:textFill>
        </w:rPr>
        <w:t xml:space="preserve"> wraz z podaniem ich rodzaju, wartości, daty, miejsca wykonania i podmiotów, na rzecz których roboty te zostały wykonane, oraz załączeniem </w:t>
      </w:r>
      <w:r>
        <w:rPr>
          <w:rFonts w:hint="default" w:ascii="Times New Roman" w:hAnsi="Times New Roman" w:cs="Times New Roman"/>
          <w:color w:val="000000" w:themeColor="text1"/>
          <w:sz w:val="24"/>
          <w:szCs w:val="24"/>
          <w:u w:val="single"/>
          <w14:textFill>
            <w14:solidFill>
              <w14:schemeClr w14:val="tx1"/>
            </w14:solidFill>
          </w14:textFill>
        </w:rPr>
        <w:t>dowodów</w:t>
      </w:r>
      <w:r>
        <w:rPr>
          <w:rFonts w:hint="default" w:ascii="Times New Roman" w:hAnsi="Times New Roman" w:cs="Times New Roman"/>
          <w:color w:val="000000" w:themeColor="text1"/>
          <w:sz w:val="24"/>
          <w:szCs w:val="24"/>
          <w14:textFill>
            <w14:solidFill>
              <w14:schemeClr w14:val="tx1"/>
            </w14:solidFill>
          </w14:textFil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pPr>
        <w:pStyle w:val="78"/>
        <w:autoSpaceDE w:val="0"/>
        <w:autoSpaceDN w:val="0"/>
        <w:adjustRightInd w:val="0"/>
        <w:spacing w:after="0" w:line="240" w:lineRule="auto"/>
        <w:ind w:left="170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Okresy wyrażone w latach, o których mowa wyżej liczy się wstecz od dnia, w którym upływa termin składania ofert.</w:t>
      </w:r>
    </w:p>
    <w:p>
      <w:pPr>
        <w:tabs>
          <w:tab w:val="left" w:pos="1701"/>
        </w:tabs>
        <w:ind w:left="1701"/>
        <w:jc w:val="both"/>
        <w:rPr>
          <w:rFonts w:hint="default" w:ascii="Times New Roman" w:hAnsi="Times New Roman" w:cs="Times New Roman"/>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W przypadku wspólnego ubiegania się wykonawców o udzielenie zamówienia wykonawcy ci składają jeden wspólny ww. dokument.</w:t>
      </w:r>
    </w:p>
    <w:p>
      <w:pPr>
        <w:numPr>
          <w:ilvl w:val="0"/>
          <w:numId w:val="22"/>
        </w:numPr>
        <w:ind w:left="1701" w:hanging="56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iCs/>
          <w:color w:val="000000" w:themeColor="text1"/>
          <w:sz w:val="24"/>
          <w:szCs w:val="24"/>
          <w14:textFill>
            <w14:solidFill>
              <w14:schemeClr w14:val="tx1"/>
            </w14:solidFill>
          </w14:textFill>
        </w:rPr>
        <w:t>wykaz osób</w:t>
      </w:r>
      <w:r>
        <w:rPr>
          <w:rFonts w:hint="default" w:ascii="Times New Roman" w:hAnsi="Times New Roman" w:cs="Times New Roman"/>
          <w:iCs/>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hint="default" w:ascii="Times New Roman" w:hAnsi="Times New Roman" w:cs="Times New Roman"/>
          <w:iCs/>
          <w:color w:val="000000" w:themeColor="text1"/>
          <w:sz w:val="24"/>
          <w:szCs w:val="24"/>
          <w14:textFill>
            <w14:solidFill>
              <w14:schemeClr w14:val="tx1"/>
            </w14:solidFill>
          </w14:textFill>
        </w:rPr>
        <w:t xml:space="preserve"> </w:t>
      </w:r>
    </w:p>
    <w:p>
      <w:pPr>
        <w:ind w:left="1701"/>
        <w:jc w:val="both"/>
        <w:rPr>
          <w:rFonts w:hint="default" w:ascii="Times New Roman" w:hAnsi="Times New Roman" w:cs="Times New Roman"/>
          <w:i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W przypadku wspólnego ubiegania się wykonawców o udzielenie zamówienia wykonawcy ci składają jeden wspólny ww. dokument.</w:t>
      </w:r>
    </w:p>
    <w:p>
      <w:pPr>
        <w:numPr>
          <w:ilvl w:val="0"/>
          <w:numId w:val="19"/>
        </w:numPr>
        <w:tabs>
          <w:tab w:val="left" w:pos="360"/>
          <w:tab w:val="left" w:pos="567"/>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Jeżeli wykonawca nie złoży przedmiotowych środków dowodowych lub złożone przedmiotowe środki dowodowe będą niekompletne, zamawiający może wezwać do ich złożenia lub uzupełnienia w wyznaczonym terminie, chyba, że przedmiotowy środek dowodowy służy potwierdzeniu zgodności z cechami lub kryteriami określonymi w opisie kryteriów oceny ofert lub, pomimo złożenia przedmiotowego środka dowodowego, oferta podlegała odrzuceniu albo zachodzą przesłanki unieważnienia postępowania. Zamawiający może żądać od wykonawcy wyjaśnień dotyczących treści przedmiotowych środków dowodowych.</w:t>
      </w:r>
    </w:p>
    <w:p>
      <w:pPr>
        <w:numPr>
          <w:ilvl w:val="0"/>
          <w:numId w:val="19"/>
        </w:numPr>
        <w:tabs>
          <w:tab w:val="left" w:pos="360"/>
          <w:tab w:val="left" w:pos="567"/>
        </w:tabs>
        <w:ind w:left="567" w:hanging="567"/>
        <w:jc w:val="both"/>
        <w:rPr>
          <w:rFonts w:hint="default" w:ascii="Times New Roman" w:hAnsi="Times New Roman" w:cs="Times New Roman"/>
          <w:color w:val="FF0000"/>
          <w:sz w:val="24"/>
          <w:szCs w:val="24"/>
        </w:rPr>
      </w:pPr>
      <w:r>
        <w:rPr>
          <w:rFonts w:hint="default" w:ascii="Times New Roman" w:hAnsi="Times New Roman" w:cs="Times New Roman"/>
          <w:sz w:val="24"/>
          <w:szCs w:val="24"/>
        </w:rPr>
        <w:t xml:space="preserve">Jeżeli wykonawca nie złoży oświadczenia </w:t>
      </w:r>
      <w:bookmarkStart w:id="1" w:name="_Hlk62590605"/>
      <w:r>
        <w:rPr>
          <w:rFonts w:hint="default" w:ascii="Times New Roman" w:hAnsi="Times New Roman" w:cs="Times New Roman"/>
          <w:sz w:val="24"/>
          <w:szCs w:val="24"/>
        </w:rPr>
        <w:t>o niepodleganiu wykluczeniu, oświadczenia o spełnianiu warunków udziału w postępowaniu</w:t>
      </w:r>
      <w:bookmarkEnd w:id="1"/>
      <w:r>
        <w:rPr>
          <w:rFonts w:hint="default" w:ascii="Times New Roman" w:hAnsi="Times New Roman" w:cs="Times New Roman"/>
          <w:sz w:val="24"/>
          <w:szCs w:val="24"/>
        </w:rPr>
        <w:t xml:space="preserve">, podmiotowych środków dowodowych, innych dokumentów lub oświadczeń składanych w postępowaniu lub będą one niekompletne lub będą zawierać błędy, zamawiający może wezwać wykonawcę odpowiednio do ich złożenia, poprawienia lub uzupełnienia w wyznaczonym terminie, chyba, że oferta wykonawcy podlega odrzuceniu, bez względu na ich złożenie, uzupełnienie lub poprawienie lub zachodzą przesłanki unieważnienia postępowania. </w:t>
      </w:r>
    </w:p>
    <w:p>
      <w:pPr>
        <w:numPr>
          <w:ilvl w:val="0"/>
          <w:numId w:val="19"/>
        </w:numPr>
        <w:tabs>
          <w:tab w:val="left" w:pos="360"/>
          <w:tab w:val="left" w:pos="567"/>
        </w:tabs>
        <w:ind w:left="567" w:hanging="567"/>
        <w:jc w:val="both"/>
        <w:rPr>
          <w:rFonts w:hint="default" w:ascii="Times New Roman" w:hAnsi="Times New Roman" w:cs="Times New Roman"/>
          <w:color w:val="FF0000"/>
          <w:sz w:val="24"/>
          <w:szCs w:val="24"/>
        </w:rPr>
      </w:pPr>
      <w:r>
        <w:rPr>
          <w:rFonts w:hint="default" w:ascii="Times New Roman" w:hAnsi="Times New Roman" w:cs="Times New Roman"/>
          <w:sz w:val="24"/>
          <w:szCs w:val="24"/>
        </w:rPr>
        <w:t>Wykonawca składa podmiotowe środki dowodowe, na wezwanie, o którym mowa w pkt 4, aktualne na dzień ich złożenia.</w:t>
      </w:r>
    </w:p>
    <w:p>
      <w:pPr>
        <w:numPr>
          <w:ilvl w:val="0"/>
          <w:numId w:val="19"/>
        </w:numPr>
        <w:tabs>
          <w:tab w:val="left" w:pos="360"/>
          <w:tab w:val="left" w:pos="567"/>
        </w:tabs>
        <w:ind w:left="567" w:hanging="567"/>
        <w:jc w:val="both"/>
        <w:rPr>
          <w:rFonts w:hint="default" w:ascii="Times New Roman" w:hAnsi="Times New Roman" w:cs="Times New Roman"/>
          <w:color w:val="FF0000"/>
          <w:sz w:val="24"/>
          <w:szCs w:val="24"/>
        </w:rPr>
      </w:pPr>
      <w:r>
        <w:rPr>
          <w:rFonts w:hint="default" w:ascii="Times New Roman" w:hAnsi="Times New Roman" w:cs="Times New Roman"/>
          <w:sz w:val="24"/>
          <w:szCs w:val="24"/>
        </w:rPr>
        <w:t xml:space="preserve">Zamawiający może żądać od wykonawcy wyjaśnień dotyczących treści oświadczenia o niepodleganiu wykluczeniu, oświadczenia o spełnianiu warunków udziału w postępowaniu, lub złożonych podmiotowych środków dowodowych lub innych dokumentów lub oświadczeń składanych w postępowaniu. </w:t>
      </w:r>
    </w:p>
    <w:p>
      <w:pPr>
        <w:numPr>
          <w:ilvl w:val="0"/>
          <w:numId w:val="19"/>
        </w:numPr>
        <w:tabs>
          <w:tab w:val="left" w:pos="360"/>
          <w:tab w:val="left" w:pos="567"/>
        </w:tabs>
        <w:ind w:left="567" w:hanging="567"/>
        <w:jc w:val="both"/>
        <w:rPr>
          <w:rFonts w:hint="default" w:ascii="Times New Roman" w:hAnsi="Times New Roman" w:cs="Times New Roman"/>
          <w:color w:val="FF0000"/>
          <w:sz w:val="24"/>
          <w:szCs w:val="24"/>
        </w:rPr>
      </w:pPr>
      <w:r>
        <w:rPr>
          <w:rFonts w:hint="default"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pPr>
        <w:numPr>
          <w:ilvl w:val="0"/>
          <w:numId w:val="19"/>
        </w:numPr>
        <w:tabs>
          <w:tab w:val="left" w:pos="360"/>
          <w:tab w:val="left" w:pos="567"/>
        </w:tabs>
        <w:ind w:left="567" w:hanging="567"/>
        <w:jc w:val="both"/>
        <w:rPr>
          <w:rFonts w:hint="default" w:ascii="Times New Roman" w:hAnsi="Times New Roman" w:cs="Times New Roman"/>
          <w:b/>
          <w:bCs/>
          <w:color w:val="FF0000"/>
          <w:sz w:val="24"/>
          <w:szCs w:val="24"/>
        </w:rPr>
      </w:pPr>
      <w:r>
        <w:rPr>
          <w:rFonts w:hint="default" w:ascii="Times New Roman" w:hAnsi="Times New Roman" w:cs="Times New Roman"/>
          <w:b/>
          <w:bCs/>
          <w:sz w:val="24"/>
          <w:szCs w:val="24"/>
        </w:rPr>
        <w:t xml:space="preserve">Zamawiający nie wzywa do złożenia podmiotowych środków dowodowych, jeżeli może je uzyskać za pomocą bezpłatnych i ogólnodostępnych baz danych, w szczególności rejestrów publicznych w rozumieniu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"/document/17181936?cm=DOCUMENT" </w:instrText>
      </w:r>
      <w:r>
        <w:rPr>
          <w:rFonts w:hint="default" w:ascii="Times New Roman" w:hAnsi="Times New Roman" w:cs="Times New Roman"/>
        </w:rPr>
        <w:fldChar w:fldCharType="separate"/>
      </w:r>
      <w:r>
        <w:rPr>
          <w:rFonts w:hint="default" w:ascii="Times New Roman" w:hAnsi="Times New Roman" w:cs="Times New Roman"/>
          <w:b/>
          <w:bCs/>
          <w:sz w:val="24"/>
          <w:szCs w:val="24"/>
        </w:rPr>
        <w:t>ustawy</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t xml:space="preserve"> z dnia 17 lutego 2005 r. o informatyzacji działalności podmiotów realizujących zadania publiczne.</w:t>
      </w:r>
    </w:p>
    <w:p>
      <w:pPr>
        <w:numPr>
          <w:ilvl w:val="0"/>
          <w:numId w:val="0"/>
        </w:numPr>
        <w:tabs>
          <w:tab w:val="left" w:pos="567"/>
        </w:tabs>
        <w:ind w:leftChars="0"/>
        <w:jc w:val="both"/>
        <w:rPr>
          <w:rFonts w:hint="default" w:ascii="Times New Roman" w:hAnsi="Times New Roman" w:cs="Times New Roman"/>
          <w:b/>
          <w:bCs w:val="0"/>
          <w:sz w:val="24"/>
          <w:szCs w:val="24"/>
        </w:rPr>
      </w:pPr>
      <w:r>
        <w:rPr>
          <w:rFonts w:hint="default" w:cs="Times New Roman"/>
          <w:b/>
          <w:bCs w:val="0"/>
          <w:sz w:val="24"/>
          <w:szCs w:val="24"/>
          <w:lang w:val="pl-PL"/>
        </w:rPr>
        <w:t>8.</w:t>
      </w:r>
      <w:r>
        <w:rPr>
          <w:rFonts w:hint="default" w:ascii="Times New Roman" w:hAnsi="Times New Roman" w:cs="Times New Roman"/>
          <w:b/>
          <w:bCs w:val="0"/>
          <w:sz w:val="24"/>
          <w:szCs w:val="24"/>
        </w:rPr>
        <w:t>Termin wykonania zamówienia, gwarancja i rękojmia</w:t>
      </w:r>
    </w:p>
    <w:p>
      <w:pPr>
        <w:numPr>
          <w:ilvl w:val="0"/>
          <w:numId w:val="23"/>
        </w:numPr>
        <w:shd w:val="clear" w:color="auto" w:fill="FFFFFF"/>
        <w:autoSpaceDE w:val="0"/>
        <w:autoSpaceDN w:val="0"/>
        <w:adjustRightInd w:val="0"/>
        <w:ind w:left="567" w:hanging="567"/>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Termin wykonania zamówienia </w:t>
      </w:r>
      <w:r>
        <w:rPr>
          <w:rFonts w:hint="default" w:ascii="Times New Roman" w:hAnsi="Times New Roman" w:cs="Times New Roman"/>
          <w:sz w:val="24"/>
          <w:szCs w:val="24"/>
          <w:lang w:val="pl-PL"/>
        </w:rPr>
        <w:t xml:space="preserve">dotyczący </w:t>
      </w:r>
      <w:r>
        <w:rPr>
          <w:rFonts w:hint="default" w:cs="Times New Roman"/>
          <w:sz w:val="24"/>
          <w:szCs w:val="24"/>
          <w:lang w:val="pl-PL"/>
        </w:rPr>
        <w:t xml:space="preserve">wykonania prac ujętych w projektach wykonawczych z branży sanitarnej i elektrycznej </w:t>
      </w:r>
      <w:r>
        <w:rPr>
          <w:rFonts w:hint="default" w:ascii="Times New Roman" w:hAnsi="Times New Roman" w:cs="Times New Roman"/>
          <w:sz w:val="24"/>
          <w:szCs w:val="24"/>
        </w:rPr>
        <w:t xml:space="preserve">nie może być dłuższy </w:t>
      </w:r>
      <w:r>
        <w:rPr>
          <w:rFonts w:hint="default" w:ascii="Times New Roman" w:hAnsi="Times New Roman" w:cs="Times New Roman"/>
          <w:b/>
          <w:sz w:val="24"/>
          <w:szCs w:val="24"/>
        </w:rPr>
        <w:t xml:space="preserve">niż do </w:t>
      </w:r>
      <w:r>
        <w:rPr>
          <w:rFonts w:hint="default" w:ascii="Times New Roman" w:hAnsi="Times New Roman" w:cs="Times New Roman"/>
          <w:b/>
          <w:sz w:val="24"/>
          <w:szCs w:val="24"/>
          <w:lang w:val="pl-PL"/>
        </w:rPr>
        <w:t xml:space="preserve">dnia </w:t>
      </w:r>
      <w:r>
        <w:rPr>
          <w:rFonts w:hint="default" w:cs="Times New Roman"/>
          <w:b/>
          <w:sz w:val="24"/>
          <w:szCs w:val="24"/>
          <w:lang w:val="pl-PL"/>
        </w:rPr>
        <w:t>03</w:t>
      </w:r>
      <w:r>
        <w:rPr>
          <w:rFonts w:hint="default" w:ascii="Times New Roman" w:hAnsi="Times New Roman" w:cs="Times New Roman"/>
          <w:b/>
          <w:sz w:val="24"/>
          <w:szCs w:val="24"/>
        </w:rPr>
        <w:t>.</w:t>
      </w:r>
      <w:r>
        <w:rPr>
          <w:rFonts w:hint="default" w:ascii="Times New Roman" w:hAnsi="Times New Roman" w:cs="Times New Roman"/>
          <w:b/>
          <w:sz w:val="24"/>
          <w:szCs w:val="24"/>
          <w:lang w:val="pl-PL"/>
        </w:rPr>
        <w:t>0</w:t>
      </w:r>
      <w:r>
        <w:rPr>
          <w:rFonts w:hint="default" w:cs="Times New Roman"/>
          <w:b/>
          <w:sz w:val="24"/>
          <w:szCs w:val="24"/>
          <w:lang w:val="pl-PL"/>
        </w:rPr>
        <w:t>6</w:t>
      </w:r>
      <w:r>
        <w:rPr>
          <w:rFonts w:hint="default" w:ascii="Times New Roman" w:hAnsi="Times New Roman" w:cs="Times New Roman"/>
          <w:b/>
          <w:sz w:val="24"/>
          <w:szCs w:val="24"/>
        </w:rPr>
        <w:t>.202</w:t>
      </w:r>
      <w:r>
        <w:rPr>
          <w:rFonts w:hint="default" w:cs="Times New Roman"/>
          <w:b/>
          <w:sz w:val="24"/>
          <w:szCs w:val="24"/>
          <w:lang w:val="pl-PL"/>
        </w:rPr>
        <w:t>2</w:t>
      </w:r>
      <w:r>
        <w:rPr>
          <w:rFonts w:hint="default" w:ascii="Times New Roman" w:hAnsi="Times New Roman" w:cs="Times New Roman"/>
          <w:b/>
          <w:sz w:val="24"/>
          <w:szCs w:val="24"/>
        </w:rPr>
        <w:t>r.</w:t>
      </w:r>
      <w:r>
        <w:rPr>
          <w:rFonts w:hint="default" w:ascii="Times New Roman" w:hAnsi="Times New Roman" w:cs="Times New Roman"/>
          <w:b/>
          <w:sz w:val="24"/>
          <w:szCs w:val="24"/>
          <w:lang w:val="pl-PL"/>
        </w:rPr>
        <w:t xml:space="preserve"> </w:t>
      </w:r>
      <w:r>
        <w:rPr>
          <w:rFonts w:hint="default" w:ascii="Times New Roman" w:hAnsi="Times New Roman" w:cs="Times New Roman"/>
          <w:b w:val="0"/>
          <w:bCs/>
          <w:sz w:val="24"/>
          <w:szCs w:val="24"/>
          <w:lang w:val="pl-PL"/>
        </w:rPr>
        <w:t xml:space="preserve">Termin wykonania </w:t>
      </w:r>
      <w:r>
        <w:rPr>
          <w:rFonts w:hint="default" w:cs="Times New Roman"/>
          <w:b w:val="0"/>
          <w:bCs/>
          <w:sz w:val="24"/>
          <w:szCs w:val="24"/>
          <w:lang w:val="pl-PL"/>
        </w:rPr>
        <w:t>prac ujętych projektem wykonawczym z branży architektonicznej</w:t>
      </w:r>
      <w:r>
        <w:rPr>
          <w:rFonts w:hint="default" w:ascii="Times New Roman" w:hAnsi="Times New Roman" w:cs="Times New Roman"/>
          <w:b w:val="0"/>
          <w:bCs/>
          <w:sz w:val="24"/>
          <w:szCs w:val="24"/>
          <w:lang w:val="pl-PL"/>
        </w:rPr>
        <w:t xml:space="preserve"> nie później </w:t>
      </w:r>
      <w:r>
        <w:rPr>
          <w:rFonts w:hint="default" w:ascii="Times New Roman" w:hAnsi="Times New Roman" w:cs="Times New Roman"/>
          <w:b/>
          <w:bCs w:val="0"/>
          <w:sz w:val="24"/>
          <w:szCs w:val="24"/>
          <w:lang w:val="pl-PL"/>
        </w:rPr>
        <w:t xml:space="preserve">niż do dnia </w:t>
      </w:r>
      <w:r>
        <w:rPr>
          <w:rFonts w:hint="default" w:cs="Times New Roman"/>
          <w:b/>
          <w:bCs w:val="0"/>
          <w:sz w:val="24"/>
          <w:szCs w:val="24"/>
          <w:lang w:val="pl-PL"/>
        </w:rPr>
        <w:t>15</w:t>
      </w:r>
      <w:r>
        <w:rPr>
          <w:rFonts w:hint="default" w:ascii="Times New Roman" w:hAnsi="Times New Roman" w:cs="Times New Roman"/>
          <w:b/>
          <w:bCs w:val="0"/>
          <w:sz w:val="24"/>
          <w:szCs w:val="24"/>
          <w:lang w:val="pl-PL"/>
        </w:rPr>
        <w:t>.0</w:t>
      </w:r>
      <w:r>
        <w:rPr>
          <w:rFonts w:hint="default" w:cs="Times New Roman"/>
          <w:b/>
          <w:bCs w:val="0"/>
          <w:sz w:val="24"/>
          <w:szCs w:val="24"/>
          <w:lang w:val="pl-PL"/>
        </w:rPr>
        <w:t>7</w:t>
      </w:r>
      <w:r>
        <w:rPr>
          <w:rFonts w:hint="default" w:ascii="Times New Roman" w:hAnsi="Times New Roman" w:cs="Times New Roman"/>
          <w:b/>
          <w:bCs w:val="0"/>
          <w:sz w:val="24"/>
          <w:szCs w:val="24"/>
          <w:lang w:val="pl-PL"/>
        </w:rPr>
        <w:t>.202</w:t>
      </w:r>
      <w:r>
        <w:rPr>
          <w:rFonts w:hint="default" w:cs="Times New Roman"/>
          <w:b/>
          <w:bCs w:val="0"/>
          <w:sz w:val="24"/>
          <w:szCs w:val="24"/>
          <w:lang w:val="pl-PL"/>
        </w:rPr>
        <w:t>2</w:t>
      </w:r>
      <w:r>
        <w:rPr>
          <w:rFonts w:hint="default" w:ascii="Times New Roman" w:hAnsi="Times New Roman" w:cs="Times New Roman"/>
          <w:b/>
          <w:bCs w:val="0"/>
          <w:sz w:val="24"/>
          <w:szCs w:val="24"/>
          <w:lang w:val="pl-PL"/>
        </w:rPr>
        <w:t>r</w:t>
      </w:r>
      <w:r>
        <w:rPr>
          <w:rFonts w:hint="default" w:ascii="Times New Roman" w:hAnsi="Times New Roman" w:cs="Times New Roman"/>
          <w:b w:val="0"/>
          <w:bCs/>
          <w:sz w:val="24"/>
          <w:szCs w:val="24"/>
          <w:lang w:val="pl-PL"/>
        </w:rPr>
        <w:t xml:space="preserve">. </w:t>
      </w:r>
    </w:p>
    <w:p>
      <w:pPr>
        <w:pStyle w:val="15"/>
        <w:numPr>
          <w:ilvl w:val="0"/>
          <w:numId w:val="23"/>
        </w:numPr>
        <w:autoSpaceDE w:val="0"/>
        <w:autoSpaceDN w:val="0"/>
        <w:adjustRightInd w:val="0"/>
        <w:ind w:left="567" w:hanging="567"/>
        <w:rPr>
          <w:rFonts w:hint="default" w:ascii="Times New Roman" w:hAnsi="Times New Roman" w:cs="Times New Roman"/>
          <w:b w:val="0"/>
          <w:color w:val="000000" w:themeColor="text1"/>
          <w:sz w:val="24"/>
          <w:szCs w:val="24"/>
          <w14:textFill>
            <w14:solidFill>
              <w14:schemeClr w14:val="tx1"/>
            </w14:solidFill>
          </w14:textFill>
        </w:rPr>
      </w:pPr>
      <w:r>
        <w:rPr>
          <w:rFonts w:hint="default" w:ascii="Times New Roman" w:hAnsi="Times New Roman" w:cs="Times New Roman"/>
          <w:b w:val="0"/>
          <w:color w:val="000000" w:themeColor="text1"/>
          <w:sz w:val="24"/>
          <w:szCs w:val="24"/>
          <w14:textFill>
            <w14:solidFill>
              <w14:schemeClr w14:val="tx1"/>
            </w14:solidFill>
          </w14:textFill>
        </w:rPr>
        <w:t>Wykonawca będzie odpowiedzialny wobec zamawiającego z tytułu rękojmi za wady przedmiotu umowy przez co najmniej 36 miesięcy. Okres rękojmi rozpoczyna się z dniem zakończenia czynności odbioru końcowego.</w:t>
      </w:r>
    </w:p>
    <w:p>
      <w:pPr>
        <w:pStyle w:val="15"/>
        <w:numPr>
          <w:ilvl w:val="0"/>
          <w:numId w:val="23"/>
        </w:numPr>
        <w:autoSpaceDE w:val="0"/>
        <w:autoSpaceDN w:val="0"/>
        <w:adjustRightInd w:val="0"/>
        <w:ind w:left="567" w:hanging="567"/>
        <w:rPr>
          <w:rFonts w:hint="default" w:ascii="Times New Roman" w:hAnsi="Times New Roman" w:cs="Times New Roman"/>
          <w:b w:val="0"/>
          <w:color w:val="000000" w:themeColor="text1"/>
          <w:sz w:val="24"/>
          <w:szCs w:val="24"/>
          <w14:textFill>
            <w14:solidFill>
              <w14:schemeClr w14:val="tx1"/>
            </w14:solidFill>
          </w14:textFill>
        </w:rPr>
      </w:pPr>
      <w:r>
        <w:rPr>
          <w:rFonts w:hint="default" w:ascii="Times New Roman" w:hAnsi="Times New Roman" w:cs="Times New Roman"/>
          <w:b w:val="0"/>
          <w:color w:val="000000" w:themeColor="text1"/>
          <w:sz w:val="24"/>
          <w:szCs w:val="24"/>
          <w14:textFill>
            <w14:solidFill>
              <w14:schemeClr w14:val="tx1"/>
            </w14:solidFill>
          </w14:textFill>
        </w:rPr>
        <w:t>Niezależnie od uprawnień tytułu rękojmi Wykonawca udzieli Zamawiającemu co najmniej 36 miesięcy gwarancji jakości na przedmiot umowy. Okres gwarancji rozpoczyna się z dniem zakończenia czynności odbioru końcowego.</w:t>
      </w:r>
    </w:p>
    <w:p>
      <w:pPr>
        <w:pStyle w:val="15"/>
        <w:numPr>
          <w:ilvl w:val="0"/>
          <w:numId w:val="0"/>
        </w:numPr>
        <w:autoSpaceDE w:val="0"/>
        <w:autoSpaceDN w:val="0"/>
        <w:adjustRightInd w:val="0"/>
        <w:ind w:leftChars="0"/>
        <w:rPr>
          <w:rFonts w:hint="default" w:ascii="Times New Roman" w:hAnsi="Times New Roman" w:cs="Times New Roman"/>
          <w:b/>
          <w:bCs w:val="0"/>
          <w:color w:val="000000" w:themeColor="text1"/>
          <w:sz w:val="24"/>
          <w:szCs w:val="24"/>
          <w:lang w:val="pl-PL"/>
          <w14:textFill>
            <w14:solidFill>
              <w14:schemeClr w14:val="tx1"/>
            </w14:solidFill>
          </w14:textFill>
        </w:rPr>
      </w:pPr>
      <w:r>
        <w:rPr>
          <w:rFonts w:hint="default" w:cs="Times New Roman"/>
          <w:b/>
          <w:bCs w:val="0"/>
          <w:color w:val="000000" w:themeColor="text1"/>
          <w:sz w:val="24"/>
          <w:szCs w:val="24"/>
          <w:lang w:val="pl-PL"/>
          <w14:textFill>
            <w14:solidFill>
              <w14:schemeClr w14:val="tx1"/>
            </w14:solidFill>
          </w14:textFill>
        </w:rPr>
        <w:t>9.</w:t>
      </w:r>
      <w:r>
        <w:rPr>
          <w:rFonts w:hint="default" w:ascii="Times New Roman" w:hAnsi="Times New Roman" w:cs="Times New Roman"/>
          <w:b/>
          <w:bCs w:val="0"/>
          <w:color w:val="000000" w:themeColor="text1"/>
          <w:sz w:val="24"/>
          <w:szCs w:val="24"/>
          <w:lang w:val="pl-PL"/>
          <w14:textFill>
            <w14:solidFill>
              <w14:schemeClr w14:val="tx1"/>
            </w14:solidFill>
          </w14:textFill>
        </w:rPr>
        <w:t>Wadium</w:t>
      </w:r>
    </w:p>
    <w:p>
      <w:pPr>
        <w:pStyle w:val="141"/>
        <w:numPr>
          <w:ilvl w:val="0"/>
          <w:numId w:val="24"/>
        </w:numPr>
        <w:tabs>
          <w:tab w:val="left" w:pos="567"/>
          <w:tab w:val="clear" w:pos="360"/>
        </w:tabs>
        <w:spacing w:before="0" w:after="0"/>
        <w:ind w:left="567" w:hanging="567"/>
        <w:rPr>
          <w:rFonts w:hint="default" w:ascii="Times New Roman" w:hAnsi="Times New Roman" w:cs="Times New Roman"/>
          <w:sz w:val="24"/>
          <w:szCs w:val="24"/>
        </w:rPr>
      </w:pPr>
      <w:r>
        <w:rPr>
          <w:rFonts w:hint="default" w:ascii="Times New Roman" w:hAnsi="Times New Roman" w:cs="Times New Roman"/>
          <w:sz w:val="24"/>
          <w:szCs w:val="24"/>
        </w:rPr>
        <w:t xml:space="preserve">Wadium należy wnieść w wysokości </w:t>
      </w:r>
      <w:r>
        <w:rPr>
          <w:rFonts w:hint="default" w:cs="Times New Roman"/>
          <w:b/>
          <w:sz w:val="24"/>
          <w:szCs w:val="24"/>
          <w:lang w:val="pl-PL"/>
        </w:rPr>
        <w:t>23</w:t>
      </w:r>
      <w:r>
        <w:rPr>
          <w:rFonts w:hint="default" w:ascii="Times New Roman" w:hAnsi="Times New Roman" w:cs="Times New Roman"/>
          <w:b/>
          <w:sz w:val="24"/>
          <w:szCs w:val="24"/>
        </w:rPr>
        <w:t>000,00 zł</w:t>
      </w:r>
      <w:r>
        <w:rPr>
          <w:rFonts w:hint="default" w:ascii="Times New Roman" w:hAnsi="Times New Roman" w:cs="Times New Roman"/>
          <w:sz w:val="24"/>
          <w:szCs w:val="24"/>
        </w:rPr>
        <w:t xml:space="preserve"> (słownie: </w:t>
      </w:r>
      <w:r>
        <w:rPr>
          <w:rFonts w:hint="default" w:cs="Times New Roman"/>
          <w:sz w:val="24"/>
          <w:szCs w:val="24"/>
          <w:lang w:val="pl-PL"/>
        </w:rPr>
        <w:t>dwadzieścia trzy tysiące</w:t>
      </w:r>
      <w:r>
        <w:rPr>
          <w:rFonts w:hint="default" w:ascii="Times New Roman" w:hAnsi="Times New Roman" w:cs="Times New Roman"/>
          <w:b/>
          <w:sz w:val="24"/>
          <w:szCs w:val="24"/>
        </w:rPr>
        <w:t xml:space="preserve"> złotych</w:t>
      </w:r>
      <w:r>
        <w:rPr>
          <w:rFonts w:hint="default" w:ascii="Times New Roman" w:hAnsi="Times New Roman" w:cs="Times New Roman"/>
          <w:sz w:val="24"/>
          <w:szCs w:val="24"/>
        </w:rPr>
        <w:t xml:space="preserve">) przed upływem terminu składania ofert. </w:t>
      </w:r>
      <w:r>
        <w:rPr>
          <w:rFonts w:hint="default" w:ascii="Times New Roman" w:hAnsi="Times New Roman" w:cs="Times New Roman"/>
          <w:b/>
          <w:sz w:val="24"/>
          <w:szCs w:val="24"/>
        </w:rPr>
        <w:t xml:space="preserve">Decyduje moment wpływu środków do zamawiającego. </w:t>
      </w:r>
    </w:p>
    <w:p>
      <w:pPr>
        <w:pStyle w:val="141"/>
        <w:numPr>
          <w:ilvl w:val="0"/>
          <w:numId w:val="24"/>
        </w:numPr>
        <w:tabs>
          <w:tab w:val="left" w:pos="567"/>
          <w:tab w:val="clear" w:pos="360"/>
        </w:tabs>
        <w:spacing w:before="0" w:after="0"/>
        <w:ind w:left="567" w:hanging="567"/>
        <w:rPr>
          <w:rFonts w:hint="default" w:ascii="Times New Roman" w:hAnsi="Times New Roman" w:cs="Times New Roman"/>
          <w:sz w:val="24"/>
          <w:szCs w:val="24"/>
        </w:rPr>
      </w:pPr>
      <w:r>
        <w:rPr>
          <w:rFonts w:hint="default" w:ascii="Times New Roman" w:hAnsi="Times New Roman" w:cs="Times New Roman"/>
          <w:sz w:val="24"/>
          <w:szCs w:val="24"/>
        </w:rPr>
        <w:t xml:space="preserve">Wadium może być wnoszone </w:t>
      </w:r>
      <w:r>
        <w:rPr>
          <w:rFonts w:hint="default" w:ascii="Times New Roman" w:hAnsi="Times New Roman" w:cs="Times New Roman"/>
          <w:color w:val="000000"/>
          <w:sz w:val="24"/>
          <w:szCs w:val="24"/>
        </w:rPr>
        <w:t>w jednej lub kilku następujących formach</w:t>
      </w:r>
      <w:r>
        <w:rPr>
          <w:rFonts w:hint="default" w:ascii="Times New Roman" w:hAnsi="Times New Roman" w:cs="Times New Roman"/>
          <w:sz w:val="24"/>
          <w:szCs w:val="24"/>
        </w:rPr>
        <w:t>:</w:t>
      </w:r>
    </w:p>
    <w:p>
      <w:pPr>
        <w:numPr>
          <w:ilvl w:val="1"/>
          <w:numId w:val="25"/>
        </w:numPr>
        <w:tabs>
          <w:tab w:val="left" w:pos="567"/>
        </w:tabs>
        <w:ind w:left="567" w:hanging="283"/>
        <w:jc w:val="both"/>
        <w:rPr>
          <w:rFonts w:hint="default" w:ascii="Times New Roman" w:hAnsi="Times New Roman" w:cs="Times New Roman"/>
          <w:sz w:val="24"/>
          <w:szCs w:val="24"/>
        </w:rPr>
      </w:pPr>
      <w:r>
        <w:rPr>
          <w:rFonts w:hint="default" w:ascii="Times New Roman" w:hAnsi="Times New Roman" w:cs="Times New Roman"/>
          <w:sz w:val="24"/>
          <w:szCs w:val="24"/>
        </w:rPr>
        <w:t xml:space="preserve">w </w:t>
      </w:r>
      <w:r>
        <w:rPr>
          <w:rFonts w:hint="default" w:ascii="Times New Roman" w:hAnsi="Times New Roman" w:cs="Times New Roman"/>
          <w:b/>
          <w:sz w:val="24"/>
          <w:szCs w:val="24"/>
        </w:rPr>
        <w:t>pieniądzu</w:t>
      </w:r>
      <w:r>
        <w:rPr>
          <w:rFonts w:hint="default" w:ascii="Times New Roman" w:hAnsi="Times New Roman" w:cs="Times New Roman"/>
          <w:sz w:val="24"/>
          <w:szCs w:val="24"/>
        </w:rPr>
        <w:t xml:space="preserve"> – przelewem na konto depozytowe Zamawiającego: </w:t>
      </w:r>
    </w:p>
    <w:p>
      <w:pPr>
        <w:pStyle w:val="78"/>
        <w:spacing w:before="120"/>
        <w:ind w:left="567"/>
        <w:jc w:val="both"/>
        <w:rPr>
          <w:rFonts w:hint="default" w:ascii="Times New Roman" w:hAnsi="Times New Roman" w:cs="Times New Roman"/>
          <w:sz w:val="24"/>
          <w:szCs w:val="24"/>
        </w:rPr>
      </w:pPr>
      <w:r>
        <w:rPr>
          <w:rFonts w:hint="default" w:ascii="Times New Roman" w:hAnsi="Times New Roman" w:cs="Times New Roman"/>
          <w:sz w:val="24"/>
          <w:szCs w:val="24"/>
        </w:rPr>
        <w:t>Bank P</w:t>
      </w:r>
      <w:r>
        <w:rPr>
          <w:rFonts w:hint="default" w:ascii="Times New Roman" w:hAnsi="Times New Roman" w:cs="Times New Roman"/>
          <w:sz w:val="24"/>
          <w:szCs w:val="24"/>
          <w:lang w:val="pl-PL"/>
        </w:rPr>
        <w:t>K</w:t>
      </w:r>
      <w:r>
        <w:rPr>
          <w:rFonts w:hint="default" w:ascii="Times New Roman" w:hAnsi="Times New Roman" w:cs="Times New Roman"/>
          <w:sz w:val="24"/>
          <w:szCs w:val="24"/>
        </w:rPr>
        <w:t xml:space="preserve">O </w:t>
      </w:r>
      <w:r>
        <w:rPr>
          <w:rFonts w:hint="default" w:ascii="Times New Roman" w:hAnsi="Times New Roman" w:cs="Times New Roman"/>
          <w:sz w:val="24"/>
          <w:szCs w:val="24"/>
          <w:lang w:val="pl-PL"/>
        </w:rPr>
        <w:t>BP</w:t>
      </w: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Nr rachunku </w:t>
      </w:r>
      <w:r>
        <w:rPr>
          <w:rFonts w:hint="default" w:ascii="Times New Roman" w:hAnsi="Times New Roman" w:cs="Times New Roman"/>
          <w:b/>
          <w:bCs/>
          <w:sz w:val="24"/>
          <w:szCs w:val="24"/>
          <w:lang w:val="pl-PL"/>
        </w:rPr>
        <w:t>0</w:t>
      </w:r>
      <w:r>
        <w:rPr>
          <w:rFonts w:hint="default" w:ascii="Times New Roman" w:hAnsi="Times New Roman" w:cs="Times New Roman"/>
          <w:b/>
          <w:bCs/>
          <w:sz w:val="24"/>
          <w:szCs w:val="24"/>
        </w:rPr>
        <w:t>8 1</w:t>
      </w:r>
      <w:r>
        <w:rPr>
          <w:rFonts w:hint="default" w:ascii="Times New Roman" w:hAnsi="Times New Roman" w:cs="Times New Roman"/>
          <w:b/>
          <w:bCs/>
          <w:sz w:val="24"/>
          <w:szCs w:val="24"/>
          <w:lang w:val="pl-PL"/>
        </w:rPr>
        <w:t>020</w:t>
      </w:r>
      <w:r>
        <w:rPr>
          <w:rFonts w:hint="default" w:ascii="Times New Roman" w:hAnsi="Times New Roman" w:cs="Times New Roman"/>
          <w:b/>
          <w:bCs/>
          <w:sz w:val="24"/>
          <w:szCs w:val="24"/>
        </w:rPr>
        <w:t xml:space="preserve"> 3</w:t>
      </w:r>
      <w:r>
        <w:rPr>
          <w:rFonts w:hint="default" w:ascii="Times New Roman" w:hAnsi="Times New Roman" w:cs="Times New Roman"/>
          <w:b/>
          <w:bCs/>
          <w:sz w:val="24"/>
          <w:szCs w:val="24"/>
          <w:lang w:val="pl-PL"/>
        </w:rPr>
        <w:t>440</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pl-PL"/>
        </w:rPr>
        <w:t>0000</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pl-PL"/>
        </w:rPr>
        <w:t>7902</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pl-PL"/>
        </w:rPr>
        <w:t>0013</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pl-PL"/>
        </w:rPr>
        <w:t>253</w:t>
      </w:r>
      <w:r>
        <w:rPr>
          <w:rFonts w:hint="default" w:ascii="Times New Roman" w:hAnsi="Times New Roman" w:cs="Times New Roman"/>
          <w:b/>
          <w:bCs/>
          <w:sz w:val="24"/>
          <w:szCs w:val="24"/>
        </w:rPr>
        <w:t xml:space="preserve">0 </w:t>
      </w:r>
      <w:r>
        <w:rPr>
          <w:rFonts w:hint="default" w:ascii="Times New Roman" w:hAnsi="Times New Roman" w:cs="Times New Roman"/>
          <w:sz w:val="24"/>
          <w:szCs w:val="24"/>
        </w:rPr>
        <w:t xml:space="preserve">             </w:t>
      </w:r>
    </w:p>
    <w:p>
      <w:pPr>
        <w:pStyle w:val="78"/>
        <w:spacing w:before="120"/>
        <w:ind w:left="567"/>
        <w:jc w:val="both"/>
        <w:rPr>
          <w:rFonts w:hint="default" w:ascii="Times New Roman" w:hAnsi="Times New Roman" w:cs="Times New Roman"/>
          <w:sz w:val="24"/>
          <w:szCs w:val="24"/>
          <w:lang w:val="pl-PL"/>
        </w:rPr>
      </w:pPr>
      <w:r>
        <w:rPr>
          <w:rFonts w:hint="default" w:ascii="Times New Roman" w:hAnsi="Times New Roman" w:cs="Times New Roman"/>
          <w:sz w:val="24"/>
          <w:szCs w:val="24"/>
        </w:rPr>
        <w:t>z dopiskiem</w:t>
      </w:r>
      <w:r>
        <w:rPr>
          <w:rFonts w:hint="default" w:ascii="Times New Roman" w:hAnsi="Times New Roman" w:cs="Times New Roman"/>
          <w:b/>
          <w:sz w:val="24"/>
          <w:szCs w:val="24"/>
        </w:rPr>
        <w:t>:  „</w:t>
      </w:r>
      <w:r>
        <w:rPr>
          <w:rFonts w:hint="default"/>
          <w:b/>
          <w:sz w:val="24"/>
          <w:szCs w:val="24"/>
          <w:lang w:val="pl-PL"/>
        </w:rPr>
        <w:t>Rozbudowa kotłowni gazowej przy ul. Wojska Polskiego 1b w Łęczycy</w:t>
      </w:r>
      <w:r>
        <w:rPr>
          <w:rFonts w:hint="default" w:ascii="Times New Roman" w:hAnsi="Times New Roman" w:cs="Times New Roman"/>
          <w:b/>
          <w:sz w:val="24"/>
          <w:szCs w:val="24"/>
        </w:rPr>
        <w:t>”</w:t>
      </w:r>
    </w:p>
    <w:p>
      <w:pPr>
        <w:pStyle w:val="141"/>
        <w:numPr>
          <w:ilvl w:val="1"/>
          <w:numId w:val="25"/>
        </w:numPr>
        <w:tabs>
          <w:tab w:val="left" w:pos="567"/>
        </w:tabs>
        <w:spacing w:before="0" w:after="0"/>
        <w:ind w:left="567" w:hanging="283"/>
        <w:rPr>
          <w:rFonts w:hint="default" w:ascii="Times New Roman" w:hAnsi="Times New Roman" w:cs="Times New Roman"/>
          <w:sz w:val="24"/>
          <w:szCs w:val="24"/>
        </w:rPr>
      </w:pPr>
      <w:r>
        <w:rPr>
          <w:rFonts w:hint="default" w:ascii="Times New Roman" w:hAnsi="Times New Roman" w:cs="Times New Roman"/>
          <w:b/>
          <w:sz w:val="24"/>
          <w:szCs w:val="24"/>
        </w:rPr>
        <w:t>gwarancjach bankowych</w:t>
      </w:r>
      <w:r>
        <w:rPr>
          <w:rFonts w:hint="default" w:ascii="Times New Roman" w:hAnsi="Times New Roman" w:cs="Times New Roman"/>
          <w:sz w:val="24"/>
          <w:szCs w:val="24"/>
        </w:rPr>
        <w:t xml:space="preserve">, </w:t>
      </w:r>
      <w:r>
        <w:rPr>
          <w:rFonts w:hint="default" w:ascii="Times New Roman" w:hAnsi="Times New Roman" w:cs="Times New Roman"/>
          <w:b/>
          <w:sz w:val="24"/>
          <w:szCs w:val="24"/>
        </w:rPr>
        <w:t>gwarancjach ubezpieczeniowych</w:t>
      </w:r>
      <w:r>
        <w:rPr>
          <w:rFonts w:hint="default" w:ascii="Times New Roman" w:hAnsi="Times New Roman" w:cs="Times New Roman"/>
          <w:sz w:val="24"/>
          <w:szCs w:val="24"/>
        </w:rPr>
        <w:t xml:space="preserve">, </w:t>
      </w:r>
      <w:r>
        <w:rPr>
          <w:rFonts w:hint="default" w:ascii="Times New Roman" w:hAnsi="Times New Roman" w:cs="Times New Roman"/>
          <w:b/>
          <w:color w:val="000000"/>
          <w:sz w:val="24"/>
          <w:szCs w:val="24"/>
        </w:rPr>
        <w:t>poręczeniach</w:t>
      </w:r>
      <w:r>
        <w:rPr>
          <w:rFonts w:hint="default" w:ascii="Times New Roman" w:hAnsi="Times New Roman" w:cs="Times New Roman"/>
          <w:color w:val="000000"/>
          <w:sz w:val="24"/>
          <w:szCs w:val="24"/>
        </w:rPr>
        <w:t xml:space="preserve"> udzielanych przez podmioty, o których mowa w </w:t>
      </w:r>
      <w:r>
        <w:rPr>
          <w:rFonts w:hint="default" w:ascii="Times New Roman" w:hAnsi="Times New Roman" w:cs="Times New Roman"/>
          <w:color w:val="1B1B1B"/>
          <w:sz w:val="24"/>
          <w:szCs w:val="24"/>
        </w:rPr>
        <w:t>art. 6b ust. 5 pkt 2</w:t>
      </w:r>
      <w:r>
        <w:rPr>
          <w:rFonts w:hint="default" w:ascii="Times New Roman" w:hAnsi="Times New Roman" w:cs="Times New Roman"/>
          <w:color w:val="000000"/>
          <w:sz w:val="24"/>
          <w:szCs w:val="24"/>
        </w:rPr>
        <w:t xml:space="preserve"> ustawy z dnia 9 listopada 2000 r. o utworzeniu Polskiej Agencji Rozwoju </w:t>
      </w:r>
      <w:r>
        <w:rPr>
          <w:rFonts w:hint="default" w:ascii="Times New Roman" w:hAnsi="Times New Roman" w:cs="Times New Roman"/>
          <w:sz w:val="24"/>
          <w:szCs w:val="24"/>
        </w:rPr>
        <w:t xml:space="preserve">Przedsiębiorczości (z zastrzeżeniem, że poręczenie jest zawsze poręczeniem pieniężnym) </w:t>
      </w:r>
    </w:p>
    <w:p>
      <w:pPr>
        <w:pStyle w:val="141"/>
        <w:spacing w:before="0" w:after="0"/>
        <w:ind w:left="567" w:firstLine="0"/>
        <w:rPr>
          <w:rFonts w:hint="default" w:ascii="Times New Roman" w:hAnsi="Times New Roman" w:cs="Times New Roman"/>
          <w:sz w:val="24"/>
          <w:szCs w:val="24"/>
        </w:rPr>
      </w:pPr>
      <w:r>
        <w:rPr>
          <w:rFonts w:hint="default" w:ascii="Times New Roman" w:hAnsi="Times New Roman" w:cs="Times New Roman"/>
          <w:b/>
          <w:sz w:val="24"/>
          <w:szCs w:val="24"/>
          <w:u w:val="single"/>
        </w:rPr>
        <w:t>Uwaga:</w:t>
      </w:r>
      <w:r>
        <w:rPr>
          <w:rFonts w:hint="default" w:ascii="Times New Roman" w:hAnsi="Times New Roman" w:cs="Times New Roman"/>
          <w:b/>
          <w:sz w:val="24"/>
          <w:szCs w:val="24"/>
        </w:rPr>
        <w:t xml:space="preserve"> </w:t>
      </w:r>
      <w:r>
        <w:rPr>
          <w:rFonts w:hint="default" w:ascii="Times New Roman" w:hAnsi="Times New Roman" w:cs="Times New Roman"/>
          <w:b/>
          <w:bCs/>
          <w:sz w:val="24"/>
          <w:szCs w:val="24"/>
        </w:rPr>
        <w:t>Oryginały gwarancji bankowych, gwarancji ubezpieczeniowych oraz poręczeń bankowych winny być dołączone do oferty w postaci elektronicznej przez wczytanie na Platformie oryginału dokumentu wadialnego. W takim przypadku Zamawiający wymaga złożenia dokumentu w formie elektronicznej – z zastrzeżeniem, iż musi on być podpisany kwalifikowanym podpisem elektronicznym przez Gwaranta tj. wystawcę gwarancji/poręczenia i nie może zawierać postanowień uzależniających jego dalsze obowiązywanie od zwrotu oryginału dokumentu gwarancyjnego do gwaranta</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 xml:space="preserve"> </w:t>
      </w:r>
    </w:p>
    <w:p>
      <w:pPr>
        <w:numPr>
          <w:ilvl w:val="0"/>
          <w:numId w:val="26"/>
        </w:numPr>
        <w:tabs>
          <w:tab w:val="left" w:pos="284"/>
          <w:tab w:val="lef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W przypadku wnoszenia wadium w pieniądzu zaleca się, aby w tytule przelewu wyraźnie oznaczyć wykonawcę wnoszącego wadium, szczególnie w przypadku, gdy wadium jest wnoszone przez pełnomocnika/pośrednika. </w:t>
      </w:r>
    </w:p>
    <w:p>
      <w:pPr>
        <w:numPr>
          <w:ilvl w:val="0"/>
          <w:numId w:val="26"/>
        </w:numPr>
        <w:tabs>
          <w:tab w:val="left" w:pos="284"/>
          <w:tab w:val="righ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W przypadku, gdy wykonawca wnosi wadium w formie gwarancji lub poręczenia:</w:t>
      </w:r>
    </w:p>
    <w:p>
      <w:pPr>
        <w:numPr>
          <w:ilvl w:val="0"/>
          <w:numId w:val="27"/>
        </w:numPr>
        <w:tabs>
          <w:tab w:val="right" w:pos="567"/>
        </w:tabs>
        <w:ind w:left="567" w:hanging="283"/>
        <w:jc w:val="both"/>
        <w:rPr>
          <w:rFonts w:hint="default" w:ascii="Times New Roman" w:hAnsi="Times New Roman" w:cs="Times New Roman"/>
          <w:sz w:val="24"/>
          <w:szCs w:val="24"/>
        </w:rPr>
      </w:pPr>
      <w:r>
        <w:rPr>
          <w:rFonts w:hint="default" w:ascii="Times New Roman" w:hAnsi="Times New Roman" w:cs="Times New Roman"/>
          <w:sz w:val="24"/>
          <w:szCs w:val="24"/>
        </w:rPr>
        <w:t>dokument gwarancji/poręczenia sporządzony w języku obcym należy złożyć wraz z tłumaczeniem na język polski,</w:t>
      </w:r>
    </w:p>
    <w:p>
      <w:pPr>
        <w:numPr>
          <w:ilvl w:val="0"/>
          <w:numId w:val="27"/>
        </w:numPr>
        <w:tabs>
          <w:tab w:val="right" w:pos="567"/>
        </w:tabs>
        <w:ind w:left="567" w:hanging="283"/>
        <w:jc w:val="both"/>
        <w:rPr>
          <w:rFonts w:hint="default" w:ascii="Times New Roman" w:hAnsi="Times New Roman" w:cs="Times New Roman"/>
          <w:sz w:val="24"/>
          <w:szCs w:val="24"/>
        </w:rPr>
      </w:pPr>
      <w:r>
        <w:rPr>
          <w:rFonts w:hint="default" w:ascii="Times New Roman" w:hAnsi="Times New Roman" w:cs="Times New Roman"/>
          <w:sz w:val="24"/>
          <w:szCs w:val="24"/>
        </w:rPr>
        <w:t xml:space="preserve">gwarancje/poręczenia podlegać muszą prawu polskiemu; wszystkie spory dotyczące gwarancji/poręczeń będą rozstrzygane zgodnie z prawem polskim i poddane jurysdykcji sądów polskich. </w:t>
      </w:r>
    </w:p>
    <w:p>
      <w:pPr>
        <w:numPr>
          <w:ilvl w:val="0"/>
          <w:numId w:val="26"/>
        </w:numPr>
        <w:tabs>
          <w:tab w:val="left" w:pos="284"/>
          <w:tab w:val="righ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W przypadku, gdy wykonawca wnosi wadium w formie gwarancji lub poręczenia z treści tych dokumentów musi w szczególności jednoznacznie wynikać:</w:t>
      </w:r>
    </w:p>
    <w:p>
      <w:pPr>
        <w:numPr>
          <w:ilvl w:val="0"/>
          <w:numId w:val="28"/>
        </w:numPr>
        <w:tabs>
          <w:tab w:val="left" w:pos="567"/>
        </w:tabs>
        <w:ind w:left="567" w:hanging="283"/>
        <w:jc w:val="both"/>
        <w:rPr>
          <w:rFonts w:hint="default" w:ascii="Times New Roman" w:hAnsi="Times New Roman" w:cs="Times New Roman"/>
          <w:sz w:val="24"/>
          <w:szCs w:val="24"/>
        </w:rPr>
      </w:pPr>
      <w:r>
        <w:rPr>
          <w:rFonts w:hint="default" w:ascii="Times New Roman" w:hAnsi="Times New Roman" w:cs="Times New Roman"/>
          <w:sz w:val="24"/>
          <w:szCs w:val="24"/>
        </w:rPr>
        <w:t xml:space="preserve">zobowiązanie gwaranta/poręczyciela do zapłaty całej kwoty wadium </w:t>
      </w:r>
      <w:r>
        <w:rPr>
          <w:rFonts w:hint="default" w:ascii="Times New Roman" w:hAnsi="Times New Roman" w:cs="Times New Roman"/>
          <w:b/>
          <w:sz w:val="24"/>
          <w:szCs w:val="24"/>
        </w:rPr>
        <w:t xml:space="preserve">nieodwołalnie i bezwarunkowo </w:t>
      </w:r>
      <w:r>
        <w:rPr>
          <w:rFonts w:hint="default" w:ascii="Times New Roman" w:hAnsi="Times New Roman" w:cs="Times New Roman"/>
          <w:b/>
          <w:bCs/>
          <w:sz w:val="24"/>
          <w:szCs w:val="24"/>
        </w:rPr>
        <w:t>na pierwsze żądanie zamawiającego</w:t>
      </w:r>
      <w:r>
        <w:rPr>
          <w:rFonts w:hint="default" w:ascii="Times New Roman" w:hAnsi="Times New Roman" w:cs="Times New Roman"/>
          <w:sz w:val="24"/>
          <w:szCs w:val="24"/>
        </w:rPr>
        <w:t xml:space="preserve"> (beneficjenta gwarancji/poręczenia – </w:t>
      </w:r>
      <w:r>
        <w:rPr>
          <w:rFonts w:hint="default" w:ascii="Times New Roman" w:hAnsi="Times New Roman" w:cs="Times New Roman"/>
          <w:i/>
          <w:sz w:val="24"/>
          <w:szCs w:val="24"/>
          <w:lang w:val="pl-PL"/>
        </w:rPr>
        <w:t>Przedsiębiorstwa Energetyki Cieplnej Spółka z o.o. w Łęczycy</w:t>
      </w: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zawierające oświadczenie:</w:t>
      </w:r>
    </w:p>
    <w:p>
      <w:pPr>
        <w:pStyle w:val="78"/>
        <w:numPr>
          <w:ilvl w:val="0"/>
          <w:numId w:val="29"/>
        </w:numPr>
        <w:spacing w:after="0" w:line="240" w:lineRule="auto"/>
        <w:ind w:firstLine="66"/>
        <w:jc w:val="both"/>
        <w:rPr>
          <w:rFonts w:hint="default" w:ascii="Times New Roman" w:hAnsi="Times New Roman" w:cs="Times New Roman"/>
          <w:sz w:val="24"/>
          <w:szCs w:val="24"/>
        </w:rPr>
      </w:pPr>
      <w:r>
        <w:rPr>
          <w:rFonts w:hint="default" w:ascii="Times New Roman" w:hAnsi="Times New Roman" w:cs="Times New Roman"/>
          <w:sz w:val="24"/>
          <w:szCs w:val="24"/>
        </w:rPr>
        <w:t>że Wykonawca, którego oferta została wybrana:</w:t>
      </w:r>
    </w:p>
    <w:p>
      <w:pPr>
        <w:pStyle w:val="20"/>
        <w:tabs>
          <w:tab w:val="left" w:pos="360"/>
        </w:tabs>
        <w:spacing w:after="0"/>
        <w:ind w:left="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 odmówił podpisania umowy na warunkach określonych w ofercie, </w:t>
      </w:r>
    </w:p>
    <w:p>
      <w:pPr>
        <w:pStyle w:val="20"/>
        <w:tabs>
          <w:tab w:val="left" w:pos="360"/>
        </w:tabs>
        <w:spacing w:after="0"/>
        <w:ind w:left="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 nie wniósł zabezpieczenia należytego wykonania umowy, </w:t>
      </w:r>
    </w:p>
    <w:p>
      <w:pPr>
        <w:pStyle w:val="20"/>
        <w:numPr>
          <w:ilvl w:val="0"/>
          <w:numId w:val="29"/>
        </w:numPr>
        <w:tabs>
          <w:tab w:val="left" w:pos="426"/>
        </w:tabs>
        <w:spacing w:after="0"/>
        <w:ind w:left="567" w:hanging="141"/>
        <w:jc w:val="both"/>
        <w:rPr>
          <w:rFonts w:hint="default" w:ascii="Times New Roman" w:hAnsi="Times New Roman" w:cs="Times New Roman"/>
          <w:sz w:val="24"/>
          <w:szCs w:val="24"/>
        </w:rPr>
      </w:pPr>
      <w:r>
        <w:rPr>
          <w:rFonts w:hint="default" w:ascii="Times New Roman" w:hAnsi="Times New Roman" w:cs="Times New Roman"/>
          <w:sz w:val="24"/>
          <w:szCs w:val="24"/>
        </w:rPr>
        <w:t>zawarcie umowy stało się niemożliwe z przyczyn leżących po stronie Wykonawcy.</w:t>
      </w:r>
    </w:p>
    <w:p>
      <w:pPr>
        <w:pStyle w:val="78"/>
        <w:numPr>
          <w:ilvl w:val="0"/>
          <w:numId w:val="28"/>
        </w:numPr>
        <w:ind w:left="709" w:hanging="425"/>
        <w:jc w:val="both"/>
        <w:rPr>
          <w:rFonts w:hint="default" w:ascii="Times New Roman" w:hAnsi="Times New Roman" w:cs="Times New Roman"/>
          <w:sz w:val="24"/>
          <w:szCs w:val="24"/>
        </w:rPr>
      </w:pPr>
      <w:r>
        <w:rPr>
          <w:rFonts w:hint="default" w:ascii="Times New Roman" w:hAnsi="Times New Roman" w:cs="Times New Roman"/>
          <w:sz w:val="24"/>
          <w:szCs w:val="24"/>
        </w:rPr>
        <w:t>termin obowiązywania gwarancji/poręczenia, który nie może być krótszy niż termin związania ofertą.</w:t>
      </w:r>
    </w:p>
    <w:p>
      <w:pPr>
        <w:numPr>
          <w:ilvl w:val="0"/>
          <w:numId w:val="26"/>
        </w:numPr>
        <w:tabs>
          <w:tab w:val="left" w:pos="142"/>
          <w:tab w:val="left" w:pos="284"/>
          <w:tab w:val="clear" w:pos="360"/>
        </w:tabs>
        <w:ind w:left="284" w:hanging="284"/>
        <w:jc w:val="both"/>
        <w:rPr>
          <w:rFonts w:hint="default" w:ascii="Times New Roman" w:hAnsi="Times New Roman" w:cs="Times New Roman"/>
          <w:b/>
          <w:sz w:val="24"/>
          <w:szCs w:val="24"/>
        </w:rPr>
      </w:pPr>
      <w:r>
        <w:rPr>
          <w:rFonts w:hint="default" w:ascii="Times New Roman" w:hAnsi="Times New Roman" w:cs="Times New Roman"/>
          <w:b/>
          <w:sz w:val="24"/>
          <w:szCs w:val="24"/>
        </w:rPr>
        <w:t>Zamawiający zwraca wadium wniesione w innej formie niż w pieniądzu poprzez złożenie gwarantowi lub poręczycielowi oświadczenia o zwolnieniu wadium. Mając na uwadze powyższe Zamawiający zaleca aby w treści gwarancji/poręczenia wskazano adres poczty elektronicznej, na który należy przesłać oświadczenie o zwolnieniu wadium.</w:t>
      </w:r>
    </w:p>
    <w:p>
      <w:pPr>
        <w:numPr>
          <w:ilvl w:val="0"/>
          <w:numId w:val="26"/>
        </w:numPr>
        <w:tabs>
          <w:tab w:val="left" w:pos="142"/>
          <w:tab w:val="left" w:pos="284"/>
          <w:tab w:val="lef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W formularzu oferty należy wpisać nr konta, na które zamawiający ma zwrócić wadium wniesione w pieniądzu. </w:t>
      </w:r>
    </w:p>
    <w:p>
      <w:pPr>
        <w:numPr>
          <w:ilvl w:val="0"/>
          <w:numId w:val="26"/>
        </w:numPr>
        <w:tabs>
          <w:tab w:val="left" w:pos="142"/>
          <w:tab w:val="left" w:pos="284"/>
          <w:tab w:val="lef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Zamawiający zwraca wadium niezwłocznie, w przypadku wystąpienia jednej z okoliczności:</w:t>
      </w:r>
    </w:p>
    <w:p>
      <w:pPr>
        <w:pStyle w:val="78"/>
        <w:numPr>
          <w:ilvl w:val="1"/>
          <w:numId w:val="19"/>
        </w:numPr>
        <w:tabs>
          <w:tab w:val="left" w:pos="142"/>
          <w:tab w:val="left" w:pos="786"/>
          <w:tab w:val="left" w:pos="851"/>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upływu terminu związania ofertą,</w:t>
      </w:r>
    </w:p>
    <w:p>
      <w:pPr>
        <w:pStyle w:val="78"/>
        <w:numPr>
          <w:ilvl w:val="1"/>
          <w:numId w:val="19"/>
        </w:numPr>
        <w:tabs>
          <w:tab w:val="left" w:pos="142"/>
          <w:tab w:val="left" w:pos="786"/>
          <w:tab w:val="left" w:pos="851"/>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zawarcia umowy,</w:t>
      </w:r>
    </w:p>
    <w:p>
      <w:pPr>
        <w:pStyle w:val="78"/>
        <w:numPr>
          <w:ilvl w:val="1"/>
          <w:numId w:val="19"/>
        </w:numPr>
        <w:tabs>
          <w:tab w:val="left" w:pos="142"/>
          <w:tab w:val="left" w:pos="786"/>
          <w:tab w:val="left" w:pos="851"/>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unieważnienia postępowania. </w:t>
      </w:r>
    </w:p>
    <w:p>
      <w:pPr>
        <w:pStyle w:val="78"/>
        <w:numPr>
          <w:ilvl w:val="0"/>
          <w:numId w:val="30"/>
        </w:numPr>
        <w:spacing w:after="0" w:line="240" w:lineRule="auto"/>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Zamawiający, niezwłocznie, nie później jednak niż w terminie 7 dni od dnia złożenia wniosku zwraca wadium wykonawcy:</w:t>
      </w:r>
    </w:p>
    <w:p>
      <w:pPr>
        <w:pStyle w:val="78"/>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1) który wycofał ofertę przed upływem terminu składania ofert;</w:t>
      </w:r>
    </w:p>
    <w:p>
      <w:pPr>
        <w:pStyle w:val="78"/>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2) którego oferta została odrzucona;</w:t>
      </w:r>
    </w:p>
    <w:p>
      <w:pPr>
        <w:pStyle w:val="78"/>
        <w:spacing w:after="0" w:line="240"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3) po wyborze najkorzystniejszej oferty, z wyjątkiem wykonawcy, którego oferta została wybrana jako najkorzystniejsza;</w:t>
      </w:r>
    </w:p>
    <w:p>
      <w:pPr>
        <w:pStyle w:val="78"/>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4) po unieważnieniu postępowania.</w:t>
      </w:r>
    </w:p>
    <w:p>
      <w:pPr>
        <w:pStyle w:val="78"/>
        <w:numPr>
          <w:ilvl w:val="0"/>
          <w:numId w:val="31"/>
        </w:numPr>
        <w:spacing w:after="0" w:line="240" w:lineRule="auto"/>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Złożenie wniosku o zwrot wadium, o którym mowa w pkt. 9, powoduje rozwiązanie stosunku prawnego z wykonawcą.</w:t>
      </w:r>
    </w:p>
    <w:p>
      <w:pPr>
        <w:pStyle w:val="78"/>
        <w:numPr>
          <w:ilvl w:val="0"/>
          <w:numId w:val="31"/>
        </w:numPr>
        <w:spacing w:after="0" w:line="240" w:lineRule="auto"/>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pPr>
        <w:tabs>
          <w:tab w:val="left" w:pos="851"/>
        </w:tabs>
        <w:jc w:val="both"/>
        <w:rPr>
          <w:rFonts w:ascii="Arial" w:hAnsi="Arial" w:cs="Arial"/>
          <w:sz w:val="24"/>
          <w:szCs w:val="24"/>
        </w:rPr>
      </w:pPr>
    </w:p>
    <w:p>
      <w:pPr>
        <w:tabs>
          <w:tab w:val="left" w:pos="851"/>
        </w:tabs>
        <w:jc w:val="both"/>
        <w:rPr>
          <w:rFonts w:hint="default" w:ascii="Times New Roman" w:hAnsi="Times New Roman" w:cs="Times New Roman"/>
          <w:b/>
          <w:bCs/>
          <w:sz w:val="24"/>
          <w:szCs w:val="24"/>
        </w:rPr>
      </w:pPr>
      <w:r>
        <w:rPr>
          <w:rFonts w:hint="default" w:cs="Times New Roman"/>
          <w:b/>
          <w:bCs/>
          <w:sz w:val="24"/>
          <w:szCs w:val="24"/>
          <w:lang w:val="pl-PL"/>
        </w:rPr>
        <w:t>10.</w:t>
      </w:r>
      <w:r>
        <w:rPr>
          <w:rFonts w:hint="default" w:ascii="Times New Roman" w:hAnsi="Times New Roman" w:cs="Times New Roman"/>
          <w:b/>
          <w:bCs/>
          <w:sz w:val="24"/>
          <w:szCs w:val="24"/>
        </w:rPr>
        <w:t>Sposób obliczenia ceny oferty</w:t>
      </w:r>
    </w:p>
    <w:p>
      <w:pPr>
        <w:numPr>
          <w:ilvl w:val="0"/>
          <w:numId w:val="32"/>
        </w:numPr>
        <w:ind w:left="357" w:hanging="35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rPr>
        <w:t>Cena oferty musi zawierać wszystkie elementy zgodnie z Opisem przedmiotu zamówienia.</w:t>
      </w:r>
    </w:p>
    <w:p>
      <w:pPr>
        <w:numPr>
          <w:ilvl w:val="0"/>
          <w:numId w:val="32"/>
        </w:numPr>
        <w:ind w:left="357" w:hanging="35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Zamawiający </w:t>
      </w:r>
      <w:r>
        <w:rPr>
          <w:rFonts w:hint="default" w:ascii="Times New Roman" w:hAnsi="Times New Roman" w:cs="Times New Roman"/>
          <w:color w:val="000000" w:themeColor="text1"/>
          <w:sz w:val="24"/>
          <w:szCs w:val="24"/>
          <w:lang w:val="pl-PL"/>
          <w14:textFill>
            <w14:solidFill>
              <w14:schemeClr w14:val="tx1"/>
            </w14:solidFill>
          </w14:textFill>
        </w:rPr>
        <w:t xml:space="preserve">nie </w:t>
      </w:r>
      <w:r>
        <w:rPr>
          <w:rFonts w:hint="default" w:ascii="Times New Roman" w:hAnsi="Times New Roman" w:cs="Times New Roman"/>
          <w:color w:val="000000" w:themeColor="text1"/>
          <w:sz w:val="24"/>
          <w:szCs w:val="24"/>
          <w14:textFill>
            <w14:solidFill>
              <w14:schemeClr w14:val="tx1"/>
            </w14:solidFill>
          </w14:textFill>
        </w:rPr>
        <w:t>przewiduje wynagrodzeni</w:t>
      </w:r>
      <w:r>
        <w:rPr>
          <w:rFonts w:hint="default" w:ascii="Times New Roman" w:hAnsi="Times New Roman" w:cs="Times New Roman"/>
          <w:color w:val="000000" w:themeColor="text1"/>
          <w:sz w:val="24"/>
          <w:szCs w:val="24"/>
          <w:lang w:val="pl-PL"/>
          <w14:textFill>
            <w14:solidFill>
              <w14:schemeClr w14:val="tx1"/>
            </w14:solidFill>
          </w14:textFill>
        </w:rPr>
        <w:t>a</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i/>
          <w:iCs/>
          <w:color w:val="000000" w:themeColor="text1"/>
          <w:sz w:val="24"/>
          <w:szCs w:val="24"/>
          <w14:textFill>
            <w14:solidFill>
              <w14:schemeClr w14:val="tx1"/>
            </w14:solidFill>
          </w14:textFill>
        </w:rPr>
        <w:t>ryczałtowe</w:t>
      </w:r>
      <w:r>
        <w:rPr>
          <w:rFonts w:hint="default" w:ascii="Times New Roman" w:hAnsi="Times New Roman" w:cs="Times New Roman"/>
          <w:i/>
          <w:iCs/>
          <w:color w:val="000000" w:themeColor="text1"/>
          <w:sz w:val="24"/>
          <w:szCs w:val="24"/>
          <w:lang w:val="pl-PL"/>
          <w14:textFill>
            <w14:solidFill>
              <w14:schemeClr w14:val="tx1"/>
            </w14:solidFill>
          </w14:textFill>
        </w:rPr>
        <w:t>go</w:t>
      </w:r>
      <w:r>
        <w:rPr>
          <w:rFonts w:hint="default" w:ascii="Times New Roman" w:hAnsi="Times New Roman" w:cs="Times New Roman"/>
          <w:i/>
          <w:iCs/>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p>
      <w:pPr>
        <w:numPr>
          <w:ilvl w:val="0"/>
          <w:numId w:val="32"/>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Obliczona przez Wykonawcę cena oferty musi zawierać wszystkie koszty niezbędne do prawidłowego i terminowego wykonania przedmiotu zamówienia.     </w:t>
      </w:r>
    </w:p>
    <w:p>
      <w:pPr>
        <w:numPr>
          <w:ilvl w:val="0"/>
          <w:numId w:val="32"/>
        </w:numPr>
        <w:ind w:left="357" w:hanging="35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Rozliczenia między zamawiającym a wykonawcą będą prowadzone w PLN.</w:t>
      </w:r>
    </w:p>
    <w:p>
      <w:pPr>
        <w:numPr>
          <w:ilvl w:val="0"/>
          <w:numId w:val="32"/>
        </w:numPr>
        <w:ind w:left="357" w:hanging="35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Cena musi być wyrażona w złotych polskich niezależnie od wchodzących w jej skład elementów. </w:t>
      </w:r>
    </w:p>
    <w:p>
      <w:pPr>
        <w:numPr>
          <w:ilvl w:val="0"/>
          <w:numId w:val="0"/>
        </w:numPr>
        <w:tabs>
          <w:tab w:val="left" w:pos="567"/>
        </w:tabs>
        <w:ind w:leftChars="0"/>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i/>
          <w:iCs/>
          <w:color w:val="000000" w:themeColor="text1"/>
          <w:sz w:val="24"/>
          <w:szCs w:val="24"/>
          <w14:textFill>
            <w14:solidFill>
              <w14:schemeClr w14:val="tx1"/>
            </w14:solidFill>
          </w14:textFill>
        </w:rPr>
        <w:t xml:space="preserve">W cenie oferty Wykonawca powinien uwzględnić podatek VAT.  </w:t>
      </w:r>
    </w:p>
    <w:p>
      <w:pPr>
        <w:numPr>
          <w:ilvl w:val="0"/>
          <w:numId w:val="0"/>
        </w:numPr>
        <w:tabs>
          <w:tab w:val="left" w:pos="567"/>
        </w:tabs>
        <w:ind w:leftChars="0"/>
        <w:jc w:val="both"/>
        <w:rPr>
          <w:rFonts w:hint="default" w:ascii="Times New Roman" w:hAnsi="Times New Roman" w:cs="Times New Roman"/>
          <w:i/>
          <w:iCs/>
          <w:color w:val="000000" w:themeColor="text1"/>
          <w:sz w:val="24"/>
          <w:szCs w:val="24"/>
          <w14:textFill>
            <w14:solidFill>
              <w14:schemeClr w14:val="tx1"/>
            </w14:solidFill>
          </w14:textFill>
        </w:rPr>
      </w:pPr>
    </w:p>
    <w:p>
      <w:pPr>
        <w:numPr>
          <w:ilvl w:val="0"/>
          <w:numId w:val="0"/>
        </w:numPr>
        <w:tabs>
          <w:tab w:val="left" w:pos="567"/>
        </w:tabs>
        <w:ind w:leftChars="0"/>
        <w:jc w:val="both"/>
        <w:rPr>
          <w:rFonts w:hint="default" w:ascii="Times New Roman" w:hAnsi="Times New Roman" w:cs="Times New Roman"/>
          <w:b/>
          <w:bCs/>
          <w:i w:val="0"/>
          <w:iCs w:val="0"/>
          <w:color w:val="000000" w:themeColor="text1"/>
          <w:sz w:val="24"/>
          <w:szCs w:val="24"/>
          <w:lang w:val="pl-PL"/>
          <w14:textFill>
            <w14:solidFill>
              <w14:schemeClr w14:val="tx1"/>
            </w14:solidFill>
          </w14:textFill>
        </w:rPr>
      </w:pPr>
      <w:r>
        <w:rPr>
          <w:rFonts w:hint="default" w:cs="Times New Roman"/>
          <w:b/>
          <w:bCs/>
          <w:i w:val="0"/>
          <w:iCs w:val="0"/>
          <w:color w:val="000000" w:themeColor="text1"/>
          <w:sz w:val="24"/>
          <w:szCs w:val="24"/>
          <w:lang w:val="pl-PL"/>
          <w14:textFill>
            <w14:solidFill>
              <w14:schemeClr w14:val="tx1"/>
            </w14:solidFill>
          </w14:textFill>
        </w:rPr>
        <w:t>11.</w:t>
      </w:r>
      <w:r>
        <w:rPr>
          <w:rFonts w:hint="default" w:ascii="Times New Roman" w:hAnsi="Times New Roman" w:cs="Times New Roman"/>
          <w:b/>
          <w:bCs/>
          <w:i w:val="0"/>
          <w:iCs w:val="0"/>
          <w:color w:val="000000" w:themeColor="text1"/>
          <w:sz w:val="24"/>
          <w:szCs w:val="24"/>
          <w:lang w:val="pl-PL"/>
          <w14:textFill>
            <w14:solidFill>
              <w14:schemeClr w14:val="tx1"/>
            </w14:solidFill>
          </w14:textFill>
        </w:rPr>
        <w:t>Składanie i otwarcie ofert.</w:t>
      </w:r>
    </w:p>
    <w:p>
      <w:pPr>
        <w:pStyle w:val="18"/>
        <w:numPr>
          <w:ilvl w:val="0"/>
          <w:numId w:val="33"/>
        </w:numPr>
        <w:tabs>
          <w:tab w:val="left" w:pos="284"/>
          <w:tab w:val="left" w:pos="709"/>
        </w:tabs>
        <w:ind w:left="284" w:hanging="284"/>
        <w:rPr>
          <w:rFonts w:hint="default" w:ascii="Times New Roman" w:hAnsi="Times New Roman" w:cs="Times New Roman"/>
          <w:color w:val="auto"/>
        </w:rPr>
      </w:pPr>
      <w:r>
        <w:rPr>
          <w:rFonts w:hint="default" w:ascii="Times New Roman" w:hAnsi="Times New Roman" w:cs="Times New Roman"/>
          <w:b/>
          <w:color w:val="auto"/>
        </w:rPr>
        <w:t xml:space="preserve">Ofertę należy złożyć na Platformie w terminie do dnia </w:t>
      </w:r>
      <w:r>
        <w:rPr>
          <w:rFonts w:hint="default" w:cs="Times New Roman"/>
          <w:b/>
          <w:color w:val="auto"/>
          <w:lang w:val="pl-PL"/>
        </w:rPr>
        <w:t>16</w:t>
      </w:r>
      <w:r>
        <w:rPr>
          <w:rFonts w:hint="default" w:ascii="Times New Roman" w:hAnsi="Times New Roman" w:cs="Times New Roman"/>
          <w:b/>
          <w:color w:val="auto"/>
        </w:rPr>
        <w:t>.0</w:t>
      </w:r>
      <w:r>
        <w:rPr>
          <w:rFonts w:hint="default" w:cs="Times New Roman"/>
          <w:b/>
          <w:color w:val="auto"/>
          <w:lang w:val="pl-PL"/>
        </w:rPr>
        <w:t>3</w:t>
      </w:r>
      <w:r>
        <w:rPr>
          <w:rFonts w:hint="default" w:ascii="Times New Roman" w:hAnsi="Times New Roman" w:cs="Times New Roman"/>
          <w:b/>
          <w:color w:val="auto"/>
        </w:rPr>
        <w:t>.202</w:t>
      </w:r>
      <w:r>
        <w:rPr>
          <w:rFonts w:hint="default" w:cs="Times New Roman"/>
          <w:b/>
          <w:color w:val="auto"/>
          <w:lang w:val="pl-PL"/>
        </w:rPr>
        <w:t>2</w:t>
      </w:r>
      <w:r>
        <w:rPr>
          <w:rFonts w:hint="default" w:ascii="Times New Roman" w:hAnsi="Times New Roman" w:cs="Times New Roman"/>
          <w:b/>
          <w:color w:val="auto"/>
        </w:rPr>
        <w:t xml:space="preserve"> r., do godz.1</w:t>
      </w:r>
      <w:r>
        <w:rPr>
          <w:rFonts w:hint="default" w:ascii="Times New Roman" w:hAnsi="Times New Roman" w:cs="Times New Roman"/>
          <w:b/>
          <w:color w:val="auto"/>
          <w:lang w:val="pl-PL"/>
        </w:rPr>
        <w:t>0</w:t>
      </w:r>
      <w:r>
        <w:rPr>
          <w:rFonts w:hint="default" w:ascii="Times New Roman" w:hAnsi="Times New Roman" w:cs="Times New Roman"/>
          <w:b/>
          <w:color w:val="auto"/>
        </w:rPr>
        <w:t>:</w:t>
      </w:r>
      <w:r>
        <w:rPr>
          <w:rFonts w:hint="default" w:ascii="Times New Roman" w:hAnsi="Times New Roman" w:cs="Times New Roman"/>
          <w:b/>
          <w:color w:val="auto"/>
          <w:lang w:val="pl-PL"/>
        </w:rPr>
        <w:t>01.</w:t>
      </w:r>
    </w:p>
    <w:p>
      <w:pPr>
        <w:pStyle w:val="18"/>
        <w:numPr>
          <w:ilvl w:val="0"/>
          <w:numId w:val="33"/>
        </w:numPr>
        <w:tabs>
          <w:tab w:val="left" w:pos="284"/>
          <w:tab w:val="left" w:pos="709"/>
        </w:tabs>
        <w:ind w:left="284" w:hanging="284"/>
        <w:rPr>
          <w:rFonts w:hint="default" w:ascii="Times New Roman" w:hAnsi="Times New Roman" w:cs="Times New Roman"/>
          <w:b/>
          <w:color w:val="auto"/>
        </w:rPr>
      </w:pPr>
      <w:r>
        <w:rPr>
          <w:rFonts w:hint="default" w:ascii="Times New Roman" w:hAnsi="Times New Roman" w:cs="Times New Roman"/>
          <w:color w:val="auto"/>
        </w:rPr>
        <w:t xml:space="preserve">Otwarcie ofert odbędzie się </w:t>
      </w:r>
      <w:r>
        <w:rPr>
          <w:rFonts w:hint="default" w:ascii="Times New Roman" w:hAnsi="Times New Roman" w:cs="Times New Roman"/>
          <w:b/>
          <w:color w:val="auto"/>
        </w:rPr>
        <w:t xml:space="preserve">w dniu </w:t>
      </w:r>
      <w:r>
        <w:rPr>
          <w:rFonts w:hint="default" w:cs="Times New Roman"/>
          <w:b/>
          <w:color w:val="auto"/>
          <w:lang w:val="pl-PL"/>
        </w:rPr>
        <w:t>16</w:t>
      </w:r>
      <w:r>
        <w:rPr>
          <w:rFonts w:hint="default" w:ascii="Times New Roman" w:hAnsi="Times New Roman" w:cs="Times New Roman"/>
          <w:b/>
          <w:color w:val="auto"/>
        </w:rPr>
        <w:t>.0</w:t>
      </w:r>
      <w:r>
        <w:rPr>
          <w:rFonts w:hint="default" w:cs="Times New Roman"/>
          <w:b/>
          <w:color w:val="auto"/>
          <w:lang w:val="pl-PL"/>
        </w:rPr>
        <w:t>3</w:t>
      </w:r>
      <w:r>
        <w:rPr>
          <w:rFonts w:hint="default" w:ascii="Times New Roman" w:hAnsi="Times New Roman" w:cs="Times New Roman"/>
          <w:b/>
          <w:color w:val="auto"/>
        </w:rPr>
        <w:t>.202</w:t>
      </w:r>
      <w:r>
        <w:rPr>
          <w:rFonts w:hint="default" w:cs="Times New Roman"/>
          <w:b/>
          <w:color w:val="auto"/>
          <w:lang w:val="pl-PL"/>
        </w:rPr>
        <w:t>2</w:t>
      </w:r>
      <w:r>
        <w:rPr>
          <w:rFonts w:hint="default" w:ascii="Times New Roman" w:hAnsi="Times New Roman" w:cs="Times New Roman"/>
          <w:b/>
          <w:color w:val="auto"/>
        </w:rPr>
        <w:t xml:space="preserve"> r., o godz. 1</w:t>
      </w:r>
      <w:r>
        <w:rPr>
          <w:rFonts w:hint="default" w:ascii="Times New Roman" w:hAnsi="Times New Roman" w:cs="Times New Roman"/>
          <w:b/>
          <w:color w:val="auto"/>
          <w:lang w:val="pl-PL"/>
        </w:rPr>
        <w:t>0</w:t>
      </w:r>
      <w:r>
        <w:rPr>
          <w:rFonts w:hint="default" w:ascii="Times New Roman" w:hAnsi="Times New Roman" w:cs="Times New Roman"/>
          <w:b/>
          <w:color w:val="auto"/>
        </w:rPr>
        <w:t>:</w:t>
      </w:r>
      <w:r>
        <w:rPr>
          <w:rFonts w:hint="default" w:ascii="Times New Roman" w:hAnsi="Times New Roman" w:cs="Times New Roman"/>
          <w:b/>
          <w:color w:val="auto"/>
          <w:lang w:val="pl-PL"/>
        </w:rPr>
        <w:t>31.</w:t>
      </w:r>
    </w:p>
    <w:p>
      <w:pPr>
        <w:pStyle w:val="78"/>
        <w:numPr>
          <w:ilvl w:val="0"/>
          <w:numId w:val="33"/>
        </w:numPr>
        <w:tabs>
          <w:tab w:val="left" w:pos="284"/>
        </w:tabs>
        <w:autoSpaceDE w:val="0"/>
        <w:autoSpaceDN w:val="0"/>
        <w:adjustRightInd w:val="0"/>
        <w:spacing w:after="0" w:line="240" w:lineRule="auto"/>
        <w:ind w:left="284" w:hanging="28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Wykonawca pozostaje związany ofertą przez okres </w:t>
      </w:r>
      <w:r>
        <w:rPr>
          <w:rFonts w:hint="default" w:ascii="Times New Roman" w:hAnsi="Times New Roman" w:cs="Times New Roman"/>
          <w:b/>
          <w:bCs/>
          <w:color w:val="000000" w:themeColor="text1"/>
          <w:sz w:val="24"/>
          <w:szCs w:val="24"/>
          <w14:textFill>
            <w14:solidFill>
              <w14:schemeClr w14:val="tx1"/>
            </w14:solidFill>
          </w14:textFill>
        </w:rPr>
        <w:t>60 dni</w:t>
      </w:r>
      <w:r>
        <w:rPr>
          <w:rFonts w:hint="default" w:ascii="Times New Roman" w:hAnsi="Times New Roman" w:cs="Times New Roman"/>
          <w:color w:val="000000" w:themeColor="text1"/>
          <w:sz w:val="24"/>
          <w:szCs w:val="24"/>
          <w14:textFill>
            <w14:solidFill>
              <w14:schemeClr w14:val="tx1"/>
            </w14:solidFill>
          </w14:textFill>
        </w:rPr>
        <w:t>. Bieg terminu związania ofertą rozpoczyna się wraz z upływem terminu składania ofert.</w:t>
      </w:r>
    </w:p>
    <w:p>
      <w:pPr>
        <w:pStyle w:val="18"/>
        <w:numPr>
          <w:ilvl w:val="0"/>
          <w:numId w:val="33"/>
        </w:numPr>
        <w:tabs>
          <w:tab w:val="left" w:pos="284"/>
          <w:tab w:val="left" w:pos="709"/>
        </w:tabs>
        <w:ind w:left="284" w:hanging="284"/>
        <w:rPr>
          <w:rFonts w:hint="default" w:ascii="Times New Roman" w:hAnsi="Times New Roman" w:cs="Times New Roman"/>
          <w:b/>
          <w:color w:val="auto"/>
        </w:rPr>
      </w:pPr>
      <w:r>
        <w:rPr>
          <w:rFonts w:hint="default" w:ascii="Times New Roman" w:hAnsi="Times New Roman" w:cs="Times New Roman"/>
        </w:rPr>
        <w:t>Ponieważ otwarcie ofert nastąpi przy użyciu systemu teleinformatycznego, w przypadku awarii tego systemu, która spowoduje brak możliwości otwarcia ofert w terminie określonym przez zamawiającego, otwarcie ofert nastąpi niezwłocznie po usunięciu awarii.</w:t>
      </w:r>
    </w:p>
    <w:p>
      <w:pPr>
        <w:pStyle w:val="18"/>
        <w:numPr>
          <w:ilvl w:val="0"/>
          <w:numId w:val="33"/>
        </w:numPr>
        <w:tabs>
          <w:tab w:val="left" w:pos="284"/>
          <w:tab w:val="left" w:pos="709"/>
        </w:tabs>
        <w:ind w:left="284" w:hanging="284"/>
        <w:rPr>
          <w:rFonts w:hint="default" w:ascii="Times New Roman" w:hAnsi="Times New Roman" w:cs="Times New Roman"/>
          <w:b/>
          <w:color w:val="auto"/>
        </w:rPr>
      </w:pPr>
      <w:r>
        <w:rPr>
          <w:rFonts w:hint="default" w:ascii="Times New Roman" w:hAnsi="Times New Roman" w:cs="Times New Roman"/>
        </w:rPr>
        <w:t xml:space="preserve">W sytuacji, o której mowa w pkt 4 zamawiający zamieści na Platformie /stronie internetowej prowadzonego postępowania informację o zmianie terminu otwarcia ofert. </w:t>
      </w:r>
    </w:p>
    <w:p>
      <w:pPr>
        <w:numPr>
          <w:ilvl w:val="0"/>
          <w:numId w:val="33"/>
        </w:numPr>
        <w:tabs>
          <w:tab w:val="left" w:pos="284"/>
          <w:tab w:val="left" w:pos="993"/>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Zamawiający najpóźniej przed otwarciem ofert, udostępni na Platformie /stronie internetowej prowadzonego postępowania informację o kwocie, jaką zamierza przeznaczyć na sfinansowanie zamówienia.</w:t>
      </w:r>
    </w:p>
    <w:p>
      <w:pPr>
        <w:numPr>
          <w:ilvl w:val="0"/>
          <w:numId w:val="33"/>
        </w:numPr>
        <w:tabs>
          <w:tab w:val="left" w:pos="284"/>
          <w:tab w:val="left" w:pos="993"/>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Zamawiający, niezwłocznie po otwarciu ofert, udostępni na Platformie/stronie internetowej prowadzonego postępowania informacje o:</w:t>
      </w:r>
    </w:p>
    <w:p>
      <w:pPr>
        <w:pStyle w:val="78"/>
        <w:numPr>
          <w:ilvl w:val="1"/>
          <w:numId w:val="34"/>
        </w:numPr>
        <w:spacing w:after="0" w:line="240" w:lineRule="auto"/>
        <w:ind w:left="851" w:hanging="567"/>
        <w:rPr>
          <w:rFonts w:hint="default" w:ascii="Times New Roman" w:hAnsi="Times New Roman" w:cs="Times New Roman"/>
          <w:sz w:val="24"/>
          <w:szCs w:val="24"/>
        </w:rPr>
      </w:pPr>
      <w:r>
        <w:rPr>
          <w:rFonts w:hint="default"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pPr>
        <w:pStyle w:val="78"/>
        <w:numPr>
          <w:ilvl w:val="1"/>
          <w:numId w:val="34"/>
        </w:numPr>
        <w:spacing w:after="0" w:line="240" w:lineRule="auto"/>
        <w:ind w:left="851" w:hanging="567"/>
        <w:rPr>
          <w:rFonts w:hint="default" w:ascii="Times New Roman" w:hAnsi="Times New Roman" w:cs="Times New Roman"/>
          <w:sz w:val="24"/>
          <w:szCs w:val="24"/>
        </w:rPr>
      </w:pPr>
      <w:r>
        <w:rPr>
          <w:rFonts w:hint="default" w:ascii="Times New Roman" w:hAnsi="Times New Roman" w:cs="Times New Roman"/>
          <w:sz w:val="24"/>
          <w:szCs w:val="24"/>
        </w:rPr>
        <w:t>cenach lub kosztach zawartych w ofertach.</w:t>
      </w:r>
    </w:p>
    <w:p>
      <w:pPr>
        <w:pStyle w:val="78"/>
        <w:numPr>
          <w:ilvl w:val="0"/>
          <w:numId w:val="33"/>
        </w:numPr>
        <w:spacing w:after="0" w:line="240" w:lineRule="auto"/>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W przypadku ofert, które podlegają negocjacjom, zamawiający udostępni informacje, o których mowa w pkt 7 ppkt 2, niezwłocznie po otwarciu ofert dodatkowych.</w:t>
      </w:r>
    </w:p>
    <w:p>
      <w:pPr>
        <w:pStyle w:val="135"/>
        <w:spacing w:line="360" w:lineRule="auto"/>
        <w:jc w:val="both"/>
        <w:rPr>
          <w:rFonts w:ascii="Times New Roman" w:hAnsi="Times New Roman" w:cs="Times New Roman"/>
        </w:rPr>
      </w:pPr>
    </w:p>
    <w:p>
      <w:pPr>
        <w:pStyle w:val="135"/>
        <w:spacing w:line="360" w:lineRule="auto"/>
        <w:jc w:val="both"/>
        <w:rPr>
          <w:rFonts w:hint="default" w:ascii="Times New Roman" w:hAnsi="Times New Roman" w:cs="Times New Roman"/>
          <w:b/>
          <w:bCs/>
          <w:lang w:val="pl-PL"/>
        </w:rPr>
      </w:pPr>
      <w:r>
        <w:rPr>
          <w:rFonts w:hint="default" w:ascii="Times New Roman" w:hAnsi="Times New Roman" w:cs="Times New Roman"/>
          <w:b/>
          <w:bCs/>
          <w:lang w:val="pl-PL"/>
        </w:rPr>
        <w:t>12.Ocena ofert</w:t>
      </w:r>
    </w:p>
    <w:p>
      <w:pPr>
        <w:pStyle w:val="142"/>
        <w:numPr>
          <w:ilvl w:val="0"/>
          <w:numId w:val="35"/>
        </w:numPr>
        <w:tabs>
          <w:tab w:val="left" w:pos="567"/>
          <w:tab w:val="clear" w:pos="360"/>
        </w:tabs>
        <w:ind w:left="567" w:hanging="567"/>
        <w:rPr>
          <w:rFonts w:hint="default" w:ascii="Times New Roman" w:hAnsi="Times New Roman" w:cs="Times New Roman"/>
          <w:b w:val="0"/>
          <w:bCs w:val="0"/>
        </w:rPr>
      </w:pPr>
      <w:r>
        <w:rPr>
          <w:rFonts w:hint="default" w:ascii="Times New Roman" w:hAnsi="Times New Roman" w:cs="Times New Roman"/>
          <w:b w:val="0"/>
          <w:bCs w:val="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pPr>
        <w:pStyle w:val="142"/>
        <w:numPr>
          <w:ilvl w:val="0"/>
          <w:numId w:val="35"/>
        </w:numPr>
        <w:tabs>
          <w:tab w:val="left" w:pos="567"/>
          <w:tab w:val="clear" w:pos="360"/>
        </w:tabs>
        <w:ind w:left="567" w:hanging="567"/>
        <w:rPr>
          <w:rFonts w:hint="default" w:ascii="Times New Roman" w:hAnsi="Times New Roman" w:cs="Times New Roman"/>
          <w:b w:val="0"/>
          <w:bCs w:val="0"/>
        </w:rPr>
      </w:pPr>
      <w:r>
        <w:rPr>
          <w:rFonts w:hint="default" w:ascii="Times New Roman" w:hAnsi="Times New Roman" w:cs="Times New Roman"/>
        </w:rPr>
        <w:t>Zamawiający poprawi w ofercie:</w:t>
      </w:r>
    </w:p>
    <w:p>
      <w:pPr>
        <w:pStyle w:val="78"/>
        <w:spacing w:after="0" w:line="240" w:lineRule="auto"/>
        <w:ind w:left="567"/>
        <w:rPr>
          <w:rFonts w:hint="default" w:ascii="Times New Roman" w:hAnsi="Times New Roman" w:cs="Times New Roman"/>
          <w:sz w:val="24"/>
          <w:szCs w:val="24"/>
        </w:rPr>
      </w:pPr>
      <w:r>
        <w:rPr>
          <w:rFonts w:hint="default" w:ascii="Times New Roman" w:hAnsi="Times New Roman" w:cs="Times New Roman"/>
          <w:sz w:val="24"/>
          <w:szCs w:val="24"/>
        </w:rPr>
        <w:t>1) oczywiste omyłki pisarskie</w:t>
      </w:r>
    </w:p>
    <w:p>
      <w:pPr>
        <w:pStyle w:val="78"/>
        <w:spacing w:after="0" w:line="240" w:lineRule="auto"/>
        <w:ind w:left="567"/>
        <w:rPr>
          <w:rFonts w:hint="default" w:ascii="Times New Roman" w:hAnsi="Times New Roman" w:cs="Times New Roman"/>
          <w:sz w:val="24"/>
          <w:szCs w:val="24"/>
        </w:rPr>
      </w:pPr>
      <w:r>
        <w:rPr>
          <w:rFonts w:hint="default" w:ascii="Times New Roman" w:hAnsi="Times New Roman" w:cs="Times New Roman"/>
          <w:sz w:val="24"/>
          <w:szCs w:val="24"/>
        </w:rPr>
        <w:t>2) oczywiste omyłki rachunkowe, z uwzględnieniem konsekwencji rachunkowych dokonanych poprawek</w:t>
      </w:r>
    </w:p>
    <w:p>
      <w:pPr>
        <w:pStyle w:val="78"/>
        <w:spacing w:after="0" w:line="240" w:lineRule="auto"/>
        <w:ind w:left="567"/>
        <w:jc w:val="both"/>
        <w:rPr>
          <w:rFonts w:hint="default" w:ascii="Times New Roman" w:hAnsi="Times New Roman" w:cs="Times New Roman"/>
          <w:sz w:val="24"/>
          <w:szCs w:val="24"/>
        </w:rPr>
      </w:pPr>
      <w:r>
        <w:rPr>
          <w:rFonts w:hint="default" w:ascii="Times New Roman" w:hAnsi="Times New Roman" w:cs="Times New Roman"/>
          <w:sz w:val="24"/>
          <w:szCs w:val="24"/>
        </w:rPr>
        <w:t>3) inne omyłki polegające na niezgodności oferty z dokumentami zamówienia, niepowodujące istotnych zmian w treści oferty</w:t>
      </w:r>
    </w:p>
    <w:p>
      <w:pPr>
        <w:pStyle w:val="78"/>
        <w:spacing w:after="0" w:line="240" w:lineRule="auto"/>
        <w:ind w:left="567"/>
        <w:jc w:val="both"/>
        <w:rPr>
          <w:rFonts w:hint="default" w:ascii="Times New Roman" w:hAnsi="Times New Roman" w:cs="Times New Roman"/>
          <w:sz w:val="24"/>
          <w:szCs w:val="24"/>
        </w:rPr>
      </w:pPr>
      <w:r>
        <w:rPr>
          <w:rFonts w:hint="default" w:ascii="Times New Roman" w:hAnsi="Times New Roman" w:cs="Times New Roman"/>
          <w:sz w:val="24"/>
          <w:szCs w:val="24"/>
        </w:rPr>
        <w:t>- niezwłocznie zawiadamiając o tym wykonawcę, którego oferta została poprawiona.</w:t>
      </w:r>
    </w:p>
    <w:p>
      <w:pPr>
        <w:pStyle w:val="142"/>
        <w:numPr>
          <w:ilvl w:val="0"/>
          <w:numId w:val="35"/>
        </w:numPr>
        <w:tabs>
          <w:tab w:val="left" w:pos="567"/>
          <w:tab w:val="clear" w:pos="360"/>
        </w:tabs>
        <w:ind w:left="567" w:hanging="567"/>
        <w:rPr>
          <w:rFonts w:hint="default" w:ascii="Times New Roman" w:hAnsi="Times New Roman" w:cs="Times New Roman"/>
          <w:b w:val="0"/>
          <w:bCs w:val="0"/>
        </w:rPr>
      </w:pPr>
      <w:r>
        <w:rPr>
          <w:rFonts w:hint="default" w:ascii="Times New Roman" w:hAnsi="Times New Roman" w:cs="Times New Roman"/>
          <w:b w:val="0"/>
          <w:bCs w:val="0"/>
        </w:rPr>
        <w:t xml:space="preserve">Jeżeli zaoferowana cena lub jej istotne części składowe, wydają się rażąco niskie w stosunku do przedmiotu zamówienia lub budzą wątpliwości zamawiającego co do możliwości wykonania przedmiotu zamówienia zgodnie z wymogami określonymi w dokumentach zamówienia lub wynikającymi z odrębnych przepisów, zamawiający może żądać od wykonawcy wyjaśnień, w tym złożenia dowodów w zakresie wyliczenia ceny lub ich istotnych części składowych. </w:t>
      </w:r>
    </w:p>
    <w:p>
      <w:pPr>
        <w:pStyle w:val="142"/>
        <w:numPr>
          <w:ilvl w:val="0"/>
          <w:numId w:val="0"/>
        </w:numPr>
        <w:tabs>
          <w:tab w:val="left" w:pos="567"/>
        </w:tabs>
        <w:ind w:leftChars="0"/>
        <w:rPr>
          <w:rFonts w:hint="default" w:ascii="Times New Roman" w:hAnsi="Times New Roman" w:cs="Times New Roman"/>
          <w:b w:val="0"/>
          <w:bCs w:val="0"/>
        </w:rPr>
      </w:pPr>
    </w:p>
    <w:p>
      <w:pPr>
        <w:pStyle w:val="142"/>
        <w:numPr>
          <w:ilvl w:val="0"/>
          <w:numId w:val="0"/>
        </w:numPr>
        <w:tabs>
          <w:tab w:val="left" w:pos="567"/>
        </w:tabs>
        <w:ind w:leftChars="0"/>
        <w:rPr>
          <w:rFonts w:hint="default" w:ascii="Times New Roman" w:hAnsi="Times New Roman" w:cs="Times New Roman"/>
          <w:color w:val="auto"/>
        </w:rPr>
      </w:pPr>
      <w:r>
        <w:rPr>
          <w:rFonts w:hint="default" w:cs="Times New Roman"/>
          <w:color w:val="auto"/>
          <w:lang w:val="pl-PL"/>
        </w:rPr>
        <w:t>13.</w:t>
      </w:r>
      <w:r>
        <w:rPr>
          <w:rFonts w:hint="default" w:ascii="Times New Roman" w:hAnsi="Times New Roman" w:cs="Times New Roman"/>
          <w:color w:val="auto"/>
        </w:rPr>
        <w:t>Przesłanki odrzucenia ofert</w:t>
      </w:r>
    </w:p>
    <w:p>
      <w:pPr>
        <w:pStyle w:val="142"/>
        <w:numPr>
          <w:ilvl w:val="0"/>
          <w:numId w:val="36"/>
        </w:numPr>
        <w:rPr>
          <w:rFonts w:hint="default" w:ascii="Times New Roman" w:hAnsi="Times New Roman" w:cs="Times New Roman"/>
        </w:rPr>
      </w:pPr>
      <w:r>
        <w:rPr>
          <w:rFonts w:hint="default" w:ascii="Times New Roman" w:hAnsi="Times New Roman" w:cs="Times New Roman"/>
        </w:rPr>
        <w:t>Zamawiający odrzuci ofertę, jeżeli:</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została złożona po terminie składania ofert</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została złożona przez wykonawcę, podlegającego wykluczeniu z postępowania lub niespełniającego warunków udziału w postępowaniu lub który nie złożył w przewidzianym terminie oświadczenia, o braku podstaw wykluczenia lub o spełnianiu warunków udziału w postępowaniu, potwierdzających brak podstaw wykluczenia lub spełnianie warunków udziału w postępowaniu, przedmiotowego środka dowodowego lub innych dokumentów lub oświadczeń</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jest nieważna na podstawie odrębnych przepisów</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jej treść jest niezgodna z warunkami zamówienia</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zawiera rażąco niską cenę w stosunku do przedmiotu zamówienia lub Wykonawca nie złożył wyjaśnień w tym zakresie</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zawiera błędy w obliczeniu ceny, których nie można poprawić</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wykonawca zakwestionował poprawienie omyłki, o której mowa w pkt 2 ppkt 3</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wykonawca nie wyraził zgody na przedłużenie terminu związania ofertą</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wykonawca nie wyraził zgody na wybór jego oferty po upływie terminu związania ofertą</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wykonawca nie wniósł wadium, lub wniósł w sposób nieprawidłowy lub nie utrzymał wadium nieprzerwanie do upływu terminu związania ofertą</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jej przyjęcie naruszałoby bezpieczeństwo publiczne, a tego bezpieczeństwa nie można zagwarantować w inny sposób</w:t>
      </w:r>
    </w:p>
    <w:p>
      <w:pPr>
        <w:pStyle w:val="142"/>
        <w:numPr>
          <w:ilvl w:val="0"/>
          <w:numId w:val="0"/>
        </w:numPr>
        <w:tabs>
          <w:tab w:val="left" w:pos="567"/>
        </w:tabs>
        <w:ind w:leftChars="0"/>
        <w:rPr>
          <w:rFonts w:hint="default" w:ascii="Times New Roman" w:hAnsi="Times New Roman" w:cs="Times New Roman"/>
          <w:b w:val="0"/>
          <w:bCs w:val="0"/>
        </w:rPr>
      </w:pPr>
      <w:r>
        <w:rPr>
          <w:rFonts w:hint="default" w:ascii="Times New Roman" w:hAnsi="Times New Roman" w:cs="Times New Roman"/>
          <w:b w:val="0"/>
          <w:bCs w:val="0"/>
        </w:rPr>
        <w:t>została złożona bez odbycia wizji lokalnej lub bez sprawdzenia dokumentów niezbędnych do realizacji zamówienia – jeżeli zamawiający tego wymagał w dokumentach zamówienia.</w:t>
      </w:r>
    </w:p>
    <w:p>
      <w:pPr>
        <w:pStyle w:val="142"/>
        <w:numPr>
          <w:ilvl w:val="0"/>
          <w:numId w:val="0"/>
        </w:numPr>
        <w:tabs>
          <w:tab w:val="left" w:pos="567"/>
        </w:tabs>
        <w:ind w:leftChars="0"/>
        <w:rPr>
          <w:rFonts w:hint="default" w:ascii="Times New Roman" w:hAnsi="Times New Roman" w:cs="Times New Roman"/>
          <w:b w:val="0"/>
          <w:bCs w:val="0"/>
        </w:rPr>
      </w:pPr>
    </w:p>
    <w:p>
      <w:pPr>
        <w:pStyle w:val="142"/>
        <w:numPr>
          <w:ilvl w:val="0"/>
          <w:numId w:val="0"/>
        </w:numPr>
        <w:tabs>
          <w:tab w:val="left" w:pos="567"/>
        </w:tabs>
        <w:ind w:leftChars="0"/>
        <w:rPr>
          <w:rFonts w:hint="default" w:ascii="Times New Roman" w:hAnsi="Times New Roman" w:cs="Times New Roman"/>
          <w:b w:val="0"/>
          <w:bCs w:val="0"/>
        </w:rPr>
      </w:pPr>
    </w:p>
    <w:p>
      <w:pPr>
        <w:pStyle w:val="142"/>
        <w:numPr>
          <w:ilvl w:val="0"/>
          <w:numId w:val="0"/>
        </w:numPr>
        <w:tabs>
          <w:tab w:val="left" w:pos="567"/>
        </w:tabs>
        <w:ind w:leftChars="0"/>
        <w:rPr>
          <w:rFonts w:hint="default" w:ascii="Times New Roman" w:hAnsi="Times New Roman" w:cs="Times New Roman"/>
          <w:b/>
          <w:bCs/>
          <w:lang w:val="pl-PL"/>
        </w:rPr>
      </w:pPr>
      <w:r>
        <w:rPr>
          <w:rFonts w:hint="default" w:cs="Times New Roman"/>
          <w:b/>
          <w:bCs/>
          <w:lang w:val="pl-PL"/>
        </w:rPr>
        <w:t>14.</w:t>
      </w:r>
      <w:r>
        <w:rPr>
          <w:rFonts w:hint="default" w:ascii="Times New Roman" w:hAnsi="Times New Roman" w:cs="Times New Roman"/>
          <w:b/>
          <w:bCs/>
          <w:lang w:val="pl-PL"/>
        </w:rPr>
        <w:t>Kryteria oceny ofert</w:t>
      </w:r>
    </w:p>
    <w:p>
      <w:pPr>
        <w:pStyle w:val="142"/>
        <w:numPr>
          <w:ilvl w:val="0"/>
          <w:numId w:val="38"/>
        </w:numPr>
        <w:rPr>
          <w:rFonts w:hint="default" w:ascii="Times New Roman" w:hAnsi="Times New Roman" w:cs="Times New Roman"/>
          <w:bCs w:val="0"/>
        </w:rPr>
      </w:pPr>
      <w:r>
        <w:rPr>
          <w:rFonts w:hint="default" w:ascii="Times New Roman" w:hAnsi="Times New Roman" w:cs="Times New Roman"/>
          <w:bCs w:val="0"/>
        </w:rPr>
        <w:t>Kryteria oceny ofert:</w:t>
      </w:r>
    </w:p>
    <w:p>
      <w:pPr>
        <w:pStyle w:val="142"/>
        <w:rPr>
          <w:rFonts w:hint="default" w:ascii="Times New Roman" w:hAnsi="Times New Roman" w:cs="Times New Roman"/>
          <w:bCs w:val="0"/>
        </w:rPr>
      </w:pPr>
    </w:p>
    <w:p>
      <w:pPr>
        <w:pStyle w:val="78"/>
        <w:numPr>
          <w:ilvl w:val="0"/>
          <w:numId w:val="39"/>
        </w:numPr>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color w:val="000000"/>
          <w:sz w:val="24"/>
          <w:szCs w:val="24"/>
        </w:rPr>
        <w:t>Przy wyborze oferty Zamawiający będzie się kierował następującymi kryteriami:</w:t>
      </w:r>
    </w:p>
    <w:p>
      <w:pPr>
        <w:tabs>
          <w:tab w:val="left" w:pos="993"/>
        </w:tabs>
        <w:ind w:left="480"/>
        <w:jc w:val="both"/>
        <w:rPr>
          <w:rFonts w:hint="default" w:ascii="Times New Roman" w:hAnsi="Times New Roman" w:cs="Times New Roman"/>
          <w:sz w:val="22"/>
          <w:szCs w:val="22"/>
        </w:rPr>
      </w:pPr>
    </w:p>
    <w:tbl>
      <w:tblPr>
        <w:tblStyle w:val="12"/>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54"/>
        <w:gridCol w:w="721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trPr>
        <w:tc>
          <w:tcPr>
            <w:tcW w:w="654"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hint="default" w:ascii="Times New Roman" w:hAnsi="Times New Roman" w:cs="Times New Roman"/>
                <w:sz w:val="22"/>
                <w:szCs w:val="22"/>
                <w:lang w:eastAsia="en-US"/>
              </w:rPr>
            </w:pPr>
            <w:r>
              <w:rPr>
                <w:rFonts w:hint="default" w:ascii="Times New Roman" w:hAnsi="Times New Roman" w:cs="Times New Roman"/>
                <w:sz w:val="22"/>
                <w:szCs w:val="22"/>
                <w:lang w:eastAsia="en-US"/>
              </w:rPr>
              <w:t>NR</w:t>
            </w:r>
          </w:p>
        </w:tc>
        <w:tc>
          <w:tcPr>
            <w:tcW w:w="7213"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hint="default" w:ascii="Times New Roman" w:hAnsi="Times New Roman" w:cs="Times New Roman"/>
                <w:sz w:val="22"/>
                <w:szCs w:val="22"/>
                <w:lang w:eastAsia="en-US"/>
              </w:rPr>
            </w:pPr>
            <w:r>
              <w:rPr>
                <w:rFonts w:hint="default" w:ascii="Times New Roman" w:hAnsi="Times New Roman" w:cs="Times New Roman"/>
                <w:sz w:val="22"/>
                <w:szCs w:val="22"/>
                <w:lang w:eastAsia="en-US"/>
              </w:rPr>
              <w:t>KRYTERIUM</w:t>
            </w:r>
          </w:p>
        </w:tc>
        <w:tc>
          <w:tcPr>
            <w:tcW w:w="1563"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hint="default" w:ascii="Times New Roman" w:hAnsi="Times New Roman" w:cs="Times New Roman"/>
                <w:sz w:val="22"/>
                <w:szCs w:val="22"/>
                <w:lang w:eastAsia="en-US"/>
              </w:rPr>
            </w:pPr>
            <w:r>
              <w:rPr>
                <w:rFonts w:hint="default" w:ascii="Times New Roman" w:hAnsi="Times New Roman" w:cs="Times New Roman"/>
                <w:sz w:val="22"/>
                <w:szCs w:val="22"/>
                <w:lang w:eastAsia="en-US"/>
              </w:rPr>
              <w:t>WAGA 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8" w:hRule="atLeast"/>
        </w:trPr>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7213"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hint="default" w:ascii="Times New Roman" w:hAnsi="Times New Roman" w:eastAsia="Arial Unicode MS" w:cs="Times New Roman"/>
                <w:b/>
                <w:sz w:val="22"/>
                <w:szCs w:val="22"/>
                <w:lang w:eastAsia="en-US"/>
              </w:rPr>
            </w:pPr>
            <w:r>
              <w:rPr>
                <w:rFonts w:hint="default" w:ascii="Times New Roman" w:hAnsi="Times New Roman" w:eastAsia="Arial Unicode MS" w:cs="Times New Roman"/>
                <w:b/>
                <w:sz w:val="22"/>
                <w:szCs w:val="22"/>
                <w:lang w:eastAsia="en-US"/>
              </w:rPr>
              <w:t xml:space="preserve">CENA </w:t>
            </w:r>
            <w:r>
              <w:rPr>
                <w:rFonts w:hint="default" w:ascii="Times New Roman" w:hAnsi="Times New Roman" w:eastAsia="Arial Unicode MS" w:cs="Times New Roman"/>
                <w:b/>
                <w:i/>
                <w:iCs/>
                <w:color w:val="FF0000"/>
                <w:sz w:val="22"/>
                <w:szCs w:val="22"/>
                <w:lang w:eastAsia="en-US"/>
              </w:rPr>
              <w:t xml:space="preserve">BRUTTO </w:t>
            </w:r>
            <w:r>
              <w:rPr>
                <w:rFonts w:hint="default" w:ascii="Times New Roman" w:hAnsi="Times New Roman" w:eastAsia="Arial Unicode MS" w:cs="Times New Roman"/>
                <w:b/>
                <w:sz w:val="22"/>
                <w:szCs w:val="22"/>
                <w:lang w:eastAsia="en-US"/>
              </w:rPr>
              <w:t>OFERTY</w:t>
            </w:r>
          </w:p>
          <w:p>
            <w:pPr>
              <w:rPr>
                <w:rFonts w:hint="default" w:ascii="Times New Roman" w:hAnsi="Times New Roman" w:eastAsia="Arial Unicode MS" w:cs="Times New Roman"/>
                <w:lang w:eastAsia="en-US"/>
              </w:rPr>
            </w:pP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100</w:t>
            </w:r>
          </w:p>
        </w:tc>
      </w:tr>
    </w:tbl>
    <w:p>
      <w:pPr>
        <w:pStyle w:val="142"/>
        <w:ind w:left="0"/>
        <w:rPr>
          <w:rFonts w:hint="default" w:ascii="Times New Roman" w:hAnsi="Times New Roman" w:cs="Times New Roman"/>
          <w:bCs w:val="0"/>
        </w:rPr>
      </w:pPr>
    </w:p>
    <w:p>
      <w:pPr>
        <w:pStyle w:val="142"/>
        <w:numPr>
          <w:ilvl w:val="0"/>
          <w:numId w:val="39"/>
        </w:numPr>
        <w:rPr>
          <w:rFonts w:hint="default" w:ascii="Times New Roman" w:hAnsi="Times New Roman" w:cs="Times New Roman"/>
          <w:b w:val="0"/>
          <w:bCs w:val="0"/>
        </w:rPr>
      </w:pPr>
      <w:r>
        <w:rPr>
          <w:rFonts w:hint="default" w:ascii="Times New Roman" w:hAnsi="Times New Roman" w:cs="Times New Roman"/>
          <w:b w:val="0"/>
          <w:bCs w:val="0"/>
        </w:rPr>
        <w:t xml:space="preserve">Jeżeli w postępowaniu o udzielenie zamówienia,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 </w:t>
      </w:r>
    </w:p>
    <w:p>
      <w:pPr>
        <w:pStyle w:val="142"/>
        <w:numPr>
          <w:ilvl w:val="0"/>
          <w:numId w:val="39"/>
        </w:numPr>
        <w:rPr>
          <w:rFonts w:hint="default" w:ascii="Times New Roman" w:hAnsi="Times New Roman" w:cs="Times New Roman"/>
          <w:b w:val="0"/>
          <w:bCs w:val="0"/>
        </w:rPr>
      </w:pPr>
      <w:r>
        <w:rPr>
          <w:rFonts w:hint="default" w:ascii="Times New Roman" w:hAnsi="Times New Roman" w:cs="Times New Roman"/>
          <w:b w:val="0"/>
          <w:bCs w:val="0"/>
        </w:rPr>
        <w:t>Wykonawcy, składając oferty dodatkowe, nie mogą oferować cen wyższych niż zaoferowane w uprzednio złożonych przez nich ofertach.</w:t>
      </w:r>
    </w:p>
    <w:p>
      <w:pPr>
        <w:pStyle w:val="142"/>
        <w:numPr>
          <w:ilvl w:val="0"/>
          <w:numId w:val="0"/>
        </w:numPr>
        <w:ind w:left="360" w:leftChars="0"/>
        <w:rPr>
          <w:rFonts w:hint="default" w:ascii="Times New Roman" w:hAnsi="Times New Roman" w:cs="Times New Roman"/>
          <w:b w:val="0"/>
          <w:bCs w:val="0"/>
        </w:rPr>
      </w:pPr>
    </w:p>
    <w:p>
      <w:pPr>
        <w:pStyle w:val="142"/>
        <w:numPr>
          <w:ilvl w:val="0"/>
          <w:numId w:val="0"/>
        </w:numPr>
        <w:ind w:left="360" w:leftChars="0"/>
        <w:rPr>
          <w:rFonts w:hint="default" w:ascii="Times New Roman" w:hAnsi="Times New Roman" w:cs="Times New Roman"/>
          <w:b w:val="0"/>
          <w:bCs w:val="0"/>
        </w:rPr>
      </w:pPr>
      <w:r>
        <w:rPr>
          <w:rFonts w:hint="default" w:ascii="Times New Roman" w:hAnsi="Times New Roman" w:cs="Times New Roman"/>
          <w:lang w:val="pl-PL"/>
        </w:rPr>
        <w:t>15.</w:t>
      </w:r>
      <w:r>
        <w:rPr>
          <w:rFonts w:hint="default" w:ascii="Times New Roman" w:hAnsi="Times New Roman" w:cs="Times New Roman"/>
        </w:rPr>
        <w:t>Zawiadomienie o wyborze oferty najkorzystniejszej.</w:t>
      </w:r>
    </w:p>
    <w:p>
      <w:pPr>
        <w:pStyle w:val="142"/>
        <w:numPr>
          <w:ilvl w:val="0"/>
          <w:numId w:val="0"/>
        </w:numPr>
        <w:tabs>
          <w:tab w:val="left" w:pos="567"/>
        </w:tabs>
        <w:ind w:leftChars="0"/>
        <w:rPr>
          <w:rFonts w:hint="default" w:ascii="Times New Roman" w:hAnsi="Times New Roman" w:cs="Times New Roman"/>
          <w:b w:val="0"/>
          <w:bCs w:val="0"/>
          <w:lang w:val="pl-PL"/>
        </w:rPr>
      </w:pPr>
    </w:p>
    <w:p>
      <w:pPr>
        <w:pStyle w:val="142"/>
        <w:numPr>
          <w:ilvl w:val="0"/>
          <w:numId w:val="40"/>
        </w:numPr>
        <w:rPr>
          <w:rFonts w:hint="default" w:ascii="Times New Roman" w:hAnsi="Times New Roman" w:cs="Times New Roman"/>
          <w:b w:val="0"/>
          <w:bCs w:val="0"/>
        </w:rPr>
      </w:pPr>
      <w:r>
        <w:rPr>
          <w:rFonts w:hint="default" w:ascii="Times New Roman" w:hAnsi="Times New Roman" w:cs="Times New Roman"/>
          <w:b w:val="0"/>
          <w:bCs w:val="0"/>
        </w:rPr>
        <w:t xml:space="preserve">Zawiadomienie o wyborze oferty najkorzystniejszej. </w:t>
      </w:r>
    </w:p>
    <w:p>
      <w:pPr>
        <w:pStyle w:val="142"/>
        <w:ind w:left="360"/>
        <w:rPr>
          <w:rFonts w:hint="default" w:ascii="Times New Roman" w:hAnsi="Times New Roman" w:cs="Times New Roman"/>
        </w:rPr>
      </w:pPr>
      <w:r>
        <w:rPr>
          <w:rFonts w:hint="default" w:ascii="Times New Roman" w:hAnsi="Times New Roman" w:cs="Times New Roman"/>
          <w:b w:val="0"/>
          <w:bCs w:val="0"/>
        </w:rPr>
        <w:t>Po wyborze oferty najkorzystniejszej zamawiający poinformuje równocześnie wykonawców, którzy złożyli oferty o:</w:t>
      </w:r>
    </w:p>
    <w:p>
      <w:pPr>
        <w:pStyle w:val="142"/>
        <w:numPr>
          <w:ilvl w:val="0"/>
          <w:numId w:val="41"/>
        </w:numPr>
        <w:rPr>
          <w:rFonts w:hint="default" w:ascii="Times New Roman" w:hAnsi="Times New Roman" w:cs="Times New Roman"/>
          <w:b w:val="0"/>
          <w:bCs w:val="0"/>
        </w:rPr>
      </w:pPr>
      <w:r>
        <w:rPr>
          <w:rFonts w:hint="default" w:ascii="Times New Roman" w:hAnsi="Times New Roman" w:cs="Times New Roman"/>
          <w:b w:val="0"/>
          <w:bCs w:val="0"/>
        </w:rPr>
        <w:t xml:space="preserve"> wyborze najkorzystniejszej oferty</w:t>
      </w:r>
    </w:p>
    <w:p>
      <w:pPr>
        <w:pStyle w:val="142"/>
        <w:numPr>
          <w:ilvl w:val="0"/>
          <w:numId w:val="41"/>
        </w:numPr>
        <w:rPr>
          <w:rFonts w:hint="default" w:ascii="Times New Roman" w:hAnsi="Times New Roman" w:cs="Times New Roman"/>
          <w:b w:val="0"/>
          <w:bCs w:val="0"/>
        </w:rPr>
      </w:pPr>
      <w:r>
        <w:rPr>
          <w:rFonts w:hint="default" w:ascii="Times New Roman" w:hAnsi="Times New Roman" w:cs="Times New Roman"/>
          <w:b w:val="0"/>
          <w:bCs w:val="0"/>
        </w:rPr>
        <w:t>wykonawcach, których oferty zostały odrzucone</w:t>
      </w:r>
    </w:p>
    <w:p>
      <w:pPr>
        <w:pStyle w:val="142"/>
        <w:ind w:left="360"/>
        <w:rPr>
          <w:rFonts w:hint="default" w:ascii="Times New Roman" w:hAnsi="Times New Roman" w:cs="Times New Roman"/>
          <w:b w:val="0"/>
          <w:bCs w:val="0"/>
        </w:rPr>
      </w:pPr>
      <w:r>
        <w:rPr>
          <w:rFonts w:hint="default" w:ascii="Times New Roman" w:hAnsi="Times New Roman" w:cs="Times New Roman"/>
          <w:b w:val="0"/>
          <w:bCs w:val="0"/>
        </w:rPr>
        <w:t xml:space="preserve">- podając uzasadnienie faktyczne i prawne. </w:t>
      </w:r>
    </w:p>
    <w:p>
      <w:pPr>
        <w:pStyle w:val="142"/>
        <w:ind w:left="360"/>
        <w:rPr>
          <w:rFonts w:hint="default" w:ascii="Times New Roman" w:hAnsi="Times New Roman" w:cs="Times New Roman"/>
          <w:b w:val="0"/>
          <w:bCs w:val="0"/>
        </w:rPr>
      </w:pPr>
      <w:r>
        <w:rPr>
          <w:rFonts w:hint="default" w:ascii="Times New Roman" w:hAnsi="Times New Roman" w:cs="Times New Roman"/>
          <w:b w:val="0"/>
          <w:bCs w:val="0"/>
        </w:rPr>
        <w:t xml:space="preserve">Zamawiający udostępni na Platformie/stronie internetowej prowadzonego postępowania ww. </w:t>
      </w:r>
      <w:r>
        <w:rPr>
          <w:rFonts w:hint="default" w:cs="Times New Roman"/>
          <w:b w:val="0"/>
          <w:bCs w:val="0"/>
          <w:lang w:val="pl-PL"/>
        </w:rPr>
        <w:t>i</w:t>
      </w:r>
      <w:r>
        <w:rPr>
          <w:rFonts w:hint="default" w:ascii="Times New Roman" w:hAnsi="Times New Roman" w:cs="Times New Roman"/>
          <w:b w:val="0"/>
          <w:bCs w:val="0"/>
        </w:rPr>
        <w:t>nformacje</w:t>
      </w:r>
      <w:r>
        <w:rPr>
          <w:rFonts w:hint="default" w:cs="Times New Roman"/>
          <w:b w:val="0"/>
          <w:bCs w:val="0"/>
          <w:lang w:val="pl-PL"/>
        </w:rPr>
        <w:t xml:space="preserve"> w ciągu 3 dni roboczych</w:t>
      </w:r>
      <w:r>
        <w:rPr>
          <w:rFonts w:hint="default" w:ascii="Times New Roman" w:hAnsi="Times New Roman" w:cs="Times New Roman"/>
          <w:b w:val="0"/>
          <w:bCs w:val="0"/>
        </w:rPr>
        <w:t xml:space="preserve">. </w:t>
      </w:r>
    </w:p>
    <w:p>
      <w:pPr>
        <w:pStyle w:val="142"/>
        <w:ind w:left="360"/>
        <w:rPr>
          <w:rFonts w:hint="default" w:ascii="Times New Roman" w:hAnsi="Times New Roman" w:cs="Times New Roman"/>
          <w:b w:val="0"/>
          <w:bCs w:val="0"/>
        </w:rPr>
      </w:pPr>
    </w:p>
    <w:p>
      <w:pPr>
        <w:pStyle w:val="142"/>
        <w:ind w:left="360"/>
        <w:rPr>
          <w:rFonts w:hint="default" w:ascii="Times New Roman" w:hAnsi="Times New Roman" w:cs="Times New Roman"/>
          <w:b w:val="0"/>
          <w:bCs w:val="0"/>
        </w:rPr>
      </w:pPr>
      <w:r>
        <w:rPr>
          <w:rFonts w:hint="default" w:cs="Times New Roman"/>
          <w:b/>
          <w:bCs/>
          <w:sz w:val="24"/>
          <w:szCs w:val="24"/>
          <w:lang w:val="pl-PL"/>
        </w:rPr>
        <w:t>16.</w:t>
      </w:r>
      <w:r>
        <w:rPr>
          <w:rFonts w:hint="default" w:ascii="Times New Roman" w:hAnsi="Times New Roman" w:cs="Times New Roman"/>
          <w:b/>
          <w:bCs/>
          <w:sz w:val="24"/>
          <w:szCs w:val="24"/>
        </w:rPr>
        <w:t>Przesłanki unieważnienia postępowania</w:t>
      </w:r>
    </w:p>
    <w:p>
      <w:pPr>
        <w:pStyle w:val="142"/>
        <w:numPr>
          <w:ilvl w:val="0"/>
          <w:numId w:val="42"/>
        </w:numPr>
        <w:rPr>
          <w:rFonts w:hint="default" w:ascii="Times New Roman" w:hAnsi="Times New Roman" w:cs="Times New Roman"/>
          <w:b w:val="0"/>
          <w:bCs w:val="0"/>
        </w:rPr>
      </w:pPr>
      <w:r>
        <w:rPr>
          <w:rFonts w:hint="default" w:ascii="Times New Roman" w:hAnsi="Times New Roman" w:cs="Times New Roman"/>
          <w:b w:val="0"/>
          <w:bCs w:val="0"/>
        </w:rPr>
        <w:t>Zamawiający unieważnia postępowanie o udzielenie zamówienia, jeżeli:</w:t>
      </w:r>
    </w:p>
    <w:p>
      <w:pPr>
        <w:pStyle w:val="78"/>
        <w:numPr>
          <w:ilvl w:val="0"/>
          <w:numId w:val="43"/>
        </w:num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nie złożono żadnej oferty</w:t>
      </w:r>
    </w:p>
    <w:p>
      <w:pPr>
        <w:pStyle w:val="78"/>
        <w:numPr>
          <w:ilvl w:val="0"/>
          <w:numId w:val="43"/>
        </w:num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wszystkie oferty podlegały odrzuceniu</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cena najkorzystniejszej oferty lub oferta z najniższą ceną przewyższa kwotę, którą zamawiający zamierza przeznaczyć na sfinansowanie zamówienia, chyba że zamawiający może zwiększyć tę kwotę do ceny najkorzystniejszej oferty</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zostały złożone oferty dodatkowe o takiej samej cenie</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wystąpiła istotna zmiana okoliczności powodująca, że prowadzenie postępowania lub wykonanie zamówienia nie leży w interesie publicznym, czego nie można było wcześniej przewidzieć</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postępowanie obarczone jest niemożliwą do usunięcia wadą uniemożliwiającą zawarcie niepodlegającej unieważnieniu umowy w sprawie zamówienia publicznego</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wykonawca nie wniósł wymaganego zabezpieczenia należytego wykonania umowy lub uchylił się od zawarcia umowy w sprawie zamówienia publicznego, </w:t>
      </w:r>
    </w:p>
    <w:p>
      <w:pPr>
        <w:pStyle w:val="135"/>
        <w:numPr>
          <w:ilvl w:val="0"/>
          <w:numId w:val="42"/>
        </w:numPr>
        <w:jc w:val="both"/>
        <w:rPr>
          <w:rFonts w:hint="default" w:ascii="Times New Roman" w:hAnsi="Times New Roman" w:cs="Times New Roman"/>
        </w:rPr>
      </w:pPr>
      <w:r>
        <w:rPr>
          <w:rFonts w:hint="default" w:ascii="Times New Roman" w:hAnsi="Times New Roman" w:cs="Times New Roman"/>
        </w:rPr>
        <w:t>O unieważnieniu postępowania o udzielenie zamówienia Zamawiający zawiadamia równocześnie wszystkich Wykonawców, którzy ubiegali się o udzielenie zamówienia, podając uzasadnienie faktyczne i prawne poprzez zamieszczenie informacji na Platformie/stronie internetowej prowadzonego postępowania.</w:t>
      </w:r>
    </w:p>
    <w:p>
      <w:pPr>
        <w:pStyle w:val="135"/>
        <w:spacing w:line="360" w:lineRule="auto"/>
        <w:jc w:val="both"/>
        <w:rPr>
          <w:rFonts w:hint="default" w:ascii="Times New Roman" w:hAnsi="Times New Roman" w:cs="Times New Roman"/>
          <w:b/>
          <w:bCs/>
        </w:rPr>
      </w:pPr>
      <w:r>
        <w:rPr>
          <w:rFonts w:hint="default" w:ascii="Times New Roman" w:hAnsi="Times New Roman" w:cs="Times New Roman"/>
          <w:b/>
          <w:bCs/>
        </w:rPr>
        <w:t>Ponadto, Zamawiający zastrzega sobie możliwość unieważnienia postępowania bez podawania przyczyn.</w:t>
      </w:r>
    </w:p>
    <w:p>
      <w:pPr>
        <w:pStyle w:val="135"/>
        <w:spacing w:line="360" w:lineRule="auto"/>
        <w:jc w:val="both"/>
        <w:rPr>
          <w:rFonts w:hint="default" w:ascii="Times New Roman" w:hAnsi="Times New Roman" w:cs="Times New Roman"/>
          <w:b/>
          <w:bCs/>
        </w:rPr>
      </w:pPr>
    </w:p>
    <w:p>
      <w:pPr>
        <w:pStyle w:val="135"/>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l-PL"/>
        </w:rPr>
        <w:t>17.</w:t>
      </w:r>
      <w:r>
        <w:rPr>
          <w:rFonts w:hint="default" w:ascii="Times New Roman" w:hAnsi="Times New Roman" w:cs="Times New Roman"/>
          <w:b/>
          <w:bCs/>
          <w:sz w:val="24"/>
          <w:szCs w:val="24"/>
        </w:rPr>
        <w:t>Zawarcie umowy, zabezpieczenie należytego wykonania umowy, ubezpieczenie OC</w:t>
      </w:r>
    </w:p>
    <w:p>
      <w:pPr>
        <w:pStyle w:val="15"/>
        <w:numPr>
          <w:ilvl w:val="2"/>
          <w:numId w:val="44"/>
        </w:numPr>
        <w:tabs>
          <w:tab w:val="left" w:pos="-1843"/>
          <w:tab w:val="left" w:pos="284"/>
          <w:tab w:val="clear" w:pos="2340"/>
        </w:tabs>
        <w:ind w:left="284" w:hanging="284"/>
        <w:rPr>
          <w:rFonts w:hint="default" w:ascii="Times New Roman" w:hAnsi="Times New Roman" w:cs="Times New Roman"/>
          <w:bCs w:val="0"/>
          <w:sz w:val="24"/>
          <w:szCs w:val="24"/>
        </w:rPr>
      </w:pPr>
      <w:r>
        <w:rPr>
          <w:rFonts w:hint="default" w:ascii="Times New Roman" w:hAnsi="Times New Roman" w:cs="Times New Roman"/>
          <w:bCs w:val="0"/>
          <w:sz w:val="24"/>
          <w:szCs w:val="24"/>
        </w:rPr>
        <w:t>Zawarcie umowy:</w:t>
      </w:r>
    </w:p>
    <w:p>
      <w:pPr>
        <w:pStyle w:val="15"/>
        <w:tabs>
          <w:tab w:val="left" w:pos="-1843"/>
        </w:tabs>
        <w:ind w:left="284"/>
        <w:rPr>
          <w:rFonts w:hint="default" w:ascii="Times New Roman" w:hAnsi="Times New Roman" w:cs="Times New Roman"/>
          <w:b w:val="0"/>
          <w:sz w:val="24"/>
          <w:szCs w:val="24"/>
        </w:rPr>
      </w:pPr>
      <w:r>
        <w:rPr>
          <w:rFonts w:hint="default" w:ascii="Times New Roman" w:hAnsi="Times New Roman" w:cs="Times New Roman"/>
          <w:b w:val="0"/>
          <w:sz w:val="24"/>
          <w:szCs w:val="24"/>
        </w:rPr>
        <w:t xml:space="preserve">Projektowane </w:t>
      </w:r>
      <w:r>
        <w:rPr>
          <w:rFonts w:hint="default" w:ascii="Times New Roman" w:hAnsi="Times New Roman" w:cs="Times New Roman"/>
          <w:b w:val="0"/>
          <w:color w:val="000000"/>
          <w:sz w:val="24"/>
          <w:szCs w:val="24"/>
        </w:rPr>
        <w:t xml:space="preserve">postanowienia umowy, które zostaną wprowadzone do treści  umowy zawarte są w projekcie umowy </w:t>
      </w:r>
      <w:r>
        <w:rPr>
          <w:rFonts w:hint="default" w:ascii="Times New Roman" w:hAnsi="Times New Roman" w:cs="Times New Roman"/>
          <w:b w:val="0"/>
          <w:sz w:val="24"/>
          <w:szCs w:val="24"/>
        </w:rPr>
        <w:t xml:space="preserve">stanowiącym </w:t>
      </w:r>
      <w:r>
        <w:rPr>
          <w:rFonts w:hint="default" w:ascii="Times New Roman" w:hAnsi="Times New Roman" w:cs="Times New Roman"/>
          <w:bCs w:val="0"/>
          <w:sz w:val="24"/>
          <w:szCs w:val="24"/>
        </w:rPr>
        <w:t>załącznik nr 6 do SWZ</w:t>
      </w:r>
      <w:r>
        <w:rPr>
          <w:rFonts w:hint="default" w:ascii="Times New Roman" w:hAnsi="Times New Roman" w:cs="Times New Roman"/>
          <w:b w:val="0"/>
          <w:sz w:val="24"/>
          <w:szCs w:val="24"/>
        </w:rPr>
        <w:t>. Wykonawca ma obowiązek zawrzeć umowę zgodnie z tym projektem umowy.</w:t>
      </w:r>
    </w:p>
    <w:p>
      <w:pPr>
        <w:pStyle w:val="15"/>
        <w:numPr>
          <w:ilvl w:val="2"/>
          <w:numId w:val="44"/>
        </w:numPr>
        <w:tabs>
          <w:tab w:val="left" w:pos="-1843"/>
          <w:tab w:val="left" w:pos="284"/>
          <w:tab w:val="clear" w:pos="2340"/>
        </w:tabs>
        <w:ind w:left="284" w:hanging="284"/>
        <w:rPr>
          <w:rFonts w:hint="default" w:ascii="Times New Roman" w:hAnsi="Times New Roman" w:cs="Times New Roman"/>
          <w:bCs w:val="0"/>
          <w:sz w:val="24"/>
          <w:szCs w:val="24"/>
        </w:rPr>
      </w:pPr>
      <w:r>
        <w:rPr>
          <w:rFonts w:hint="default" w:ascii="Times New Roman" w:hAnsi="Times New Roman" w:cs="Times New Roman"/>
          <w:bCs w:val="0"/>
          <w:sz w:val="24"/>
          <w:szCs w:val="24"/>
        </w:rPr>
        <w:t>Zabezpieczenie należytego wykonania umowy.</w:t>
      </w:r>
    </w:p>
    <w:p>
      <w:pPr>
        <w:pStyle w:val="141"/>
        <w:numPr>
          <w:ilvl w:val="0"/>
          <w:numId w:val="45"/>
        </w:numPr>
        <w:tabs>
          <w:tab w:val="left" w:pos="567"/>
          <w:tab w:val="left" w:pos="6840"/>
        </w:tabs>
        <w:spacing w:before="0" w:after="0"/>
        <w:ind w:left="567" w:hanging="283"/>
        <w:rPr>
          <w:rFonts w:hint="default" w:ascii="Times New Roman" w:hAnsi="Times New Roman" w:cs="Times New Roman"/>
          <w:i/>
          <w:iCs/>
        </w:rPr>
      </w:pPr>
      <w:r>
        <w:rPr>
          <w:rFonts w:hint="default" w:ascii="Times New Roman" w:hAnsi="Times New Roman" w:cs="Times New Roman"/>
        </w:rPr>
        <w:t xml:space="preserve">Wykonawca jest zobowiązany wnieść zabezpieczenie należytego wykonania umowy przed zawarciem umowy, w </w:t>
      </w:r>
      <w:r>
        <w:rPr>
          <w:rFonts w:hint="default" w:ascii="Times New Roman" w:hAnsi="Times New Roman" w:cs="Times New Roman"/>
          <w:color w:val="000000" w:themeColor="text1"/>
          <w14:textFill>
            <w14:solidFill>
              <w14:schemeClr w14:val="tx1"/>
            </w14:solidFill>
          </w14:textFill>
        </w:rPr>
        <w:t xml:space="preserve">wysokości 5 </w:t>
      </w:r>
      <w:r>
        <w:rPr>
          <w:rFonts w:hint="default" w:ascii="Times New Roman" w:hAnsi="Times New Roman" w:cs="Times New Roman"/>
          <w:b/>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rPr>
        <w:t>ceny całkowitej podanej w ofercie.</w:t>
      </w:r>
    </w:p>
    <w:p>
      <w:pPr>
        <w:pStyle w:val="141"/>
        <w:numPr>
          <w:ilvl w:val="0"/>
          <w:numId w:val="45"/>
        </w:numPr>
        <w:tabs>
          <w:tab w:val="left" w:pos="567"/>
          <w:tab w:val="left" w:pos="6840"/>
        </w:tabs>
        <w:spacing w:before="0" w:after="0"/>
        <w:ind w:left="567" w:hanging="283"/>
        <w:rPr>
          <w:rFonts w:hint="default" w:ascii="Times New Roman" w:hAnsi="Times New Roman" w:cs="Times New Roman"/>
          <w:i/>
          <w:iCs/>
        </w:rPr>
      </w:pPr>
      <w:r>
        <w:rPr>
          <w:rFonts w:hint="default" w:ascii="Times New Roman" w:hAnsi="Times New Roman" w:cs="Times New Roman"/>
        </w:rPr>
        <w:t>W przypadku zabezpieczenia wnoszonego w formie innej niż pieniężna, Wykonawca dostarczy wzór dokumentu (gwarancja/poręczenie) w terminie 7 dni od dnia otrzymania informacji o wyborze jego oferty. Wzór w/w dokumentu winien zostać zaakceptowany przez Zamawiającego, po czym Zamawiający określi termin podpisania umowy. Oryginał dokumentu (gwarancji/poręczenia) winien zostać przekazany Zamawiającemu najpóźniej 1 dzień przed podpisaniem umowy i winien obowiązywać od dnia zawarcia umowy pomiędzy Zamawiającym i Wykonawcą do 15 dnia liczonego od dnia upływu okresu gwarancji i rękojmi. Nie dostarczenie w tym terminie dokumentu jw. zostanie przez Zamawiającego uznane jako odmowa podpisania umowy przez Wykonawcę na warunkach określonych w ofercie.</w:t>
      </w:r>
    </w:p>
    <w:p>
      <w:pPr>
        <w:pStyle w:val="141"/>
        <w:numPr>
          <w:ilvl w:val="0"/>
          <w:numId w:val="45"/>
        </w:numPr>
        <w:tabs>
          <w:tab w:val="left" w:pos="567"/>
          <w:tab w:val="left" w:pos="6840"/>
        </w:tabs>
        <w:spacing w:before="0" w:after="0"/>
        <w:ind w:left="567" w:hanging="283"/>
        <w:rPr>
          <w:rFonts w:hint="default" w:ascii="Times New Roman" w:hAnsi="Times New Roman" w:cs="Times New Roman"/>
          <w:i/>
          <w:iCs/>
        </w:rPr>
      </w:pPr>
      <w:r>
        <w:rPr>
          <w:rFonts w:hint="default" w:ascii="Times New Roman" w:hAnsi="Times New Roman" w:cs="Times New Roman"/>
        </w:rPr>
        <w:t xml:space="preserve">Zabezpieczenie należytego wykonania umowy będzie służyć do pokrycia roszczeń przysługujących Zamawiającemu z tytułu niewykonania lub nienależytego wykonania umowy przez Wykonawcę oraz roszczeń z tytułu gwarancji i rękojmi. Dodatkowe uregulowania dotyczące zabezpieczenia należytego wykonania umowy zostały określone we wzorze </w:t>
      </w:r>
      <w:bookmarkStart w:id="2" w:name="_Hlk62623081"/>
      <w:r>
        <w:rPr>
          <w:rFonts w:hint="default" w:ascii="Times New Roman" w:hAnsi="Times New Roman" w:cs="Times New Roman"/>
        </w:rPr>
        <w:t>gwarancji na zabezpieczenie należytego wykonania umowy</w:t>
      </w:r>
      <w:bookmarkEnd w:id="2"/>
      <w:r>
        <w:rPr>
          <w:rFonts w:hint="default" w:ascii="Times New Roman" w:hAnsi="Times New Roman" w:cs="Times New Roman"/>
        </w:rPr>
        <w:t xml:space="preserve"> (</w:t>
      </w:r>
      <w:r>
        <w:rPr>
          <w:rFonts w:hint="default" w:ascii="Times New Roman" w:hAnsi="Times New Roman" w:cs="Times New Roman"/>
          <w:b/>
          <w:bCs/>
        </w:rPr>
        <w:t>Załącznik nr 5 do SWZ</w:t>
      </w:r>
      <w:r>
        <w:rPr>
          <w:rFonts w:hint="default" w:ascii="Times New Roman" w:hAnsi="Times New Roman" w:cs="Times New Roman"/>
        </w:rPr>
        <w:t>)  oraz w projektowanych postanowieniach umowy (</w:t>
      </w:r>
      <w:r>
        <w:rPr>
          <w:rFonts w:hint="default" w:ascii="Times New Roman" w:hAnsi="Times New Roman" w:cs="Times New Roman"/>
          <w:b/>
          <w:bCs/>
        </w:rPr>
        <w:t>Załącznik Nr 6 do SWZ</w:t>
      </w:r>
      <w:r>
        <w:rPr>
          <w:rFonts w:hint="default" w:ascii="Times New Roman" w:hAnsi="Times New Roman" w:cs="Times New Roman"/>
        </w:rPr>
        <w:t>).</w:t>
      </w:r>
    </w:p>
    <w:p>
      <w:pPr>
        <w:pStyle w:val="141"/>
        <w:numPr>
          <w:ilvl w:val="0"/>
          <w:numId w:val="45"/>
        </w:numPr>
        <w:tabs>
          <w:tab w:val="left" w:pos="567"/>
          <w:tab w:val="left" w:pos="6840"/>
        </w:tabs>
        <w:spacing w:before="0" w:after="0"/>
        <w:ind w:left="567" w:hanging="283"/>
        <w:rPr>
          <w:rFonts w:hint="default" w:ascii="Times New Roman" w:hAnsi="Times New Roman" w:cs="Times New Roman"/>
          <w:i/>
          <w:iCs/>
        </w:rPr>
      </w:pPr>
      <w:r>
        <w:rPr>
          <w:rFonts w:hint="default" w:ascii="Times New Roman" w:hAnsi="Times New Roman" w:cs="Times New Roman"/>
        </w:rPr>
        <w:t>Zabezpieczenie należytego wykonania umowy może być wnoszone według wyboru Wykonawcy w jednej lub w kilku następujących formach:</w:t>
      </w:r>
    </w:p>
    <w:p>
      <w:pPr>
        <w:tabs>
          <w:tab w:val="left" w:pos="1800"/>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a.   pieniądzu,</w:t>
      </w:r>
    </w:p>
    <w:p>
      <w:pPr>
        <w:tabs>
          <w:tab w:val="left" w:pos="1800"/>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b.   poręczeniach bankowych,</w:t>
      </w:r>
    </w:p>
    <w:p>
      <w:pPr>
        <w:tabs>
          <w:tab w:val="left" w:pos="1800"/>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c.   gwarancjach bankowych,</w:t>
      </w:r>
    </w:p>
    <w:p>
      <w:pPr>
        <w:tabs>
          <w:tab w:val="left" w:pos="1800"/>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d.   gwarancjach ubezpieczeniowych.</w:t>
      </w:r>
    </w:p>
    <w:p>
      <w:pPr>
        <w:pStyle w:val="135"/>
        <w:numPr>
          <w:ilvl w:val="0"/>
          <w:numId w:val="46"/>
        </w:numPr>
        <w:jc w:val="both"/>
        <w:rPr>
          <w:rFonts w:hint="default" w:ascii="Times New Roman" w:hAnsi="Times New Roman" w:cs="Times New Roman"/>
        </w:rPr>
      </w:pPr>
      <w:r>
        <w:rPr>
          <w:rFonts w:hint="default" w:ascii="Times New Roman" w:hAnsi="Times New Roman" w:cs="Times New Roman"/>
        </w:rPr>
        <w:t xml:space="preserve">Zabezpieczenie wnoszone w pieniądzu Wykonawca obowiązany będzie wpłacić przelewem na rachunek bankowy wskazany przez zamawiającego: </w:t>
      </w:r>
      <w:r>
        <w:rPr>
          <w:rFonts w:hint="default" w:ascii="Times New Roman" w:hAnsi="Times New Roman" w:cs="Times New Roman"/>
          <w:sz w:val="24"/>
          <w:szCs w:val="24"/>
        </w:rPr>
        <w:t>Bank P</w:t>
      </w:r>
      <w:r>
        <w:rPr>
          <w:rFonts w:hint="default" w:ascii="Times New Roman" w:hAnsi="Times New Roman" w:cs="Times New Roman"/>
          <w:sz w:val="24"/>
          <w:szCs w:val="24"/>
          <w:lang w:val="pl-PL"/>
        </w:rPr>
        <w:t>K</w:t>
      </w:r>
      <w:r>
        <w:rPr>
          <w:rFonts w:hint="default" w:ascii="Times New Roman" w:hAnsi="Times New Roman" w:cs="Times New Roman"/>
          <w:sz w:val="24"/>
          <w:szCs w:val="24"/>
        </w:rPr>
        <w:t xml:space="preserve">O </w:t>
      </w:r>
      <w:r>
        <w:rPr>
          <w:rFonts w:hint="default" w:ascii="Times New Roman" w:hAnsi="Times New Roman" w:cs="Times New Roman"/>
          <w:sz w:val="24"/>
          <w:szCs w:val="24"/>
          <w:lang w:val="pl-PL"/>
        </w:rPr>
        <w:t>BP</w:t>
      </w: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Nr rachunku </w:t>
      </w:r>
      <w:r>
        <w:rPr>
          <w:rFonts w:hint="default" w:ascii="Times New Roman" w:hAnsi="Times New Roman" w:cs="Times New Roman"/>
          <w:sz w:val="24"/>
          <w:szCs w:val="24"/>
          <w:lang w:val="pl-PL"/>
        </w:rPr>
        <w:t>0</w:t>
      </w:r>
      <w:r>
        <w:rPr>
          <w:rFonts w:hint="default" w:ascii="Times New Roman" w:hAnsi="Times New Roman" w:cs="Times New Roman"/>
          <w:sz w:val="24"/>
          <w:szCs w:val="24"/>
        </w:rPr>
        <w:t>8 1</w:t>
      </w:r>
      <w:r>
        <w:rPr>
          <w:rFonts w:hint="default" w:ascii="Times New Roman" w:hAnsi="Times New Roman" w:cs="Times New Roman"/>
          <w:sz w:val="24"/>
          <w:szCs w:val="24"/>
          <w:lang w:val="pl-PL"/>
        </w:rPr>
        <w:t>020</w:t>
      </w:r>
      <w:r>
        <w:rPr>
          <w:rFonts w:hint="default" w:ascii="Times New Roman" w:hAnsi="Times New Roman" w:cs="Times New Roman"/>
          <w:sz w:val="24"/>
          <w:szCs w:val="24"/>
        </w:rPr>
        <w:t xml:space="preserve"> 3</w:t>
      </w:r>
      <w:r>
        <w:rPr>
          <w:rFonts w:hint="default" w:ascii="Times New Roman" w:hAnsi="Times New Roman" w:cs="Times New Roman"/>
          <w:sz w:val="24"/>
          <w:szCs w:val="24"/>
          <w:lang w:val="pl-PL"/>
        </w:rPr>
        <w:t>440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0000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7902</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0013</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253</w:t>
      </w:r>
      <w:r>
        <w:rPr>
          <w:rFonts w:hint="default" w:ascii="Times New Roman" w:hAnsi="Times New Roman" w:cs="Times New Roman"/>
          <w:sz w:val="24"/>
          <w:szCs w:val="24"/>
        </w:rPr>
        <w:t>0</w:t>
      </w:r>
      <w:r>
        <w:rPr>
          <w:rFonts w:hint="default" w:ascii="Times New Roman" w:hAnsi="Times New Roman" w:cs="Times New Roman"/>
        </w:rPr>
        <w:t>.</w:t>
      </w:r>
    </w:p>
    <w:p>
      <w:pPr>
        <w:pStyle w:val="135"/>
        <w:numPr>
          <w:ilvl w:val="0"/>
          <w:numId w:val="46"/>
        </w:numPr>
        <w:jc w:val="both"/>
        <w:rPr>
          <w:rFonts w:hint="default" w:ascii="Times New Roman" w:hAnsi="Times New Roman" w:cs="Times New Roman"/>
        </w:rPr>
      </w:pPr>
      <w:r>
        <w:rPr>
          <w:rFonts w:hint="default" w:ascii="Times New Roman" w:hAnsi="Times New Roman" w:cs="Times New Roman"/>
        </w:rPr>
        <w:t xml:space="preserve">Gwarancje bankowe i ubezpieczeniowe oraz poręczenia bankowe wniesione jako zabezpieczenie należytego wykonania umowy będą uznane przez Zamawiającego za satysfakcjonujące pod warunkiem, że będą zawierać zapisy zawarte we wzorze gwarancji należytego wykonania umowy stanowiącego </w:t>
      </w:r>
      <w:r>
        <w:rPr>
          <w:rFonts w:hint="default" w:ascii="Times New Roman" w:hAnsi="Times New Roman" w:cs="Times New Roman"/>
          <w:b/>
          <w:bCs/>
        </w:rPr>
        <w:t>Załącznik nr 5 do SWZ</w:t>
      </w:r>
      <w:r>
        <w:rPr>
          <w:rFonts w:hint="default" w:ascii="Times New Roman" w:hAnsi="Times New Roman" w:cs="Times New Roman"/>
        </w:rPr>
        <w:t xml:space="preserve"> oraz wskazywać Wykonawców, a w przypadku Wykonawców występujących wspólnie będą wymieniać wszystkich Wykonawców.</w:t>
      </w:r>
    </w:p>
    <w:p>
      <w:pPr>
        <w:pStyle w:val="135"/>
        <w:numPr>
          <w:ilvl w:val="0"/>
          <w:numId w:val="47"/>
        </w:numPr>
        <w:jc w:val="both"/>
        <w:rPr>
          <w:rFonts w:hint="default" w:ascii="Times New Roman" w:hAnsi="Times New Roman" w:cs="Times New Roman"/>
          <w:lang w:val="en-US"/>
        </w:rPr>
      </w:pPr>
      <w:r>
        <w:rPr>
          <w:rFonts w:hint="default" w:ascii="Times New Roman" w:hAnsi="Times New Roman" w:cs="Times New Roman"/>
        </w:rPr>
        <w:t>Zwrot zabezpieczenia nastąpi  w terminie 30 dni od daty odbioru końcowego</w:t>
      </w:r>
      <w:r>
        <w:rPr>
          <w:rFonts w:hint="default" w:ascii="Times New Roman" w:hAnsi="Times New Roman" w:cs="Times New Roman"/>
          <w:lang w:val="pl-PL"/>
        </w:rPr>
        <w:t>.</w:t>
      </w:r>
    </w:p>
    <w:p>
      <w:pPr>
        <w:pStyle w:val="78"/>
        <w:numPr>
          <w:ilvl w:val="0"/>
          <w:numId w:val="48"/>
        </w:num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sz w:val="24"/>
          <w:szCs w:val="24"/>
        </w:rPr>
        <w:t>Gwarancja/poręczenie nie może wygasnąć wcześniej niż z upływem powyższych terminów.</w:t>
      </w:r>
    </w:p>
    <w:p>
      <w:pPr>
        <w:pStyle w:val="78"/>
        <w:numPr>
          <w:ilvl w:val="0"/>
          <w:numId w:val="48"/>
        </w:num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sz w:val="24"/>
          <w:szCs w:val="24"/>
        </w:rPr>
        <w:t>W przypadku, gdy wykonawca wnosi zabezpieczenie w formie gwarancji lub poręczenia, gwarancje/poręczenia te podlegać muszą prawu polskiemu; wszystkie spory dotyczące gwarancji/poręczeń będą rozstrzygane zgodnie z prawem polskim i poddane jurysdykcji sądów polskich.</w:t>
      </w:r>
    </w:p>
    <w:p>
      <w:pPr>
        <w:pStyle w:val="78"/>
        <w:numPr>
          <w:ilvl w:val="0"/>
          <w:numId w:val="49"/>
        </w:numPr>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Ubezpieczenie OC:</w:t>
      </w:r>
    </w:p>
    <w:p>
      <w:pPr>
        <w:numPr>
          <w:ilvl w:val="0"/>
          <w:numId w:val="50"/>
        </w:numPr>
        <w:spacing w:line="288"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Wykonawca zobowiązany jest przedłożyć, najpóźniej w dniu podpisania Umowy, polisę ubezpieczenia odpowiedzialności cywilnej </w:t>
      </w:r>
      <w:r>
        <w:rPr>
          <w:rFonts w:hint="default" w:ascii="Times New Roman" w:hAnsi="Times New Roman" w:cs="Times New Roman"/>
          <w:iCs/>
          <w:color w:val="000000"/>
          <w:sz w:val="24"/>
          <w:szCs w:val="24"/>
        </w:rPr>
        <w:t>obejmującą szkody wyrządzone w związku z prowadzoną działalnością i posiadaniem mienia, w tym powstałe w związku z realizacją zadania określonego w Umowie</w:t>
      </w:r>
      <w:r>
        <w:rPr>
          <w:rFonts w:hint="default" w:ascii="Times New Roman" w:hAnsi="Times New Roman" w:cs="Times New Roman"/>
          <w:sz w:val="24"/>
          <w:szCs w:val="24"/>
        </w:rPr>
        <w:t xml:space="preserve">, przy sumie gwarancyjnej nie mniejszej niż 1.000.000,00 PLN na jeden i wszystkie wypadki w okresie ubezpieczenia, </w:t>
      </w:r>
      <w:r>
        <w:rPr>
          <w:rFonts w:hint="default" w:ascii="Times New Roman" w:hAnsi="Times New Roman" w:cs="Times New Roman"/>
          <w:iCs/>
          <w:color w:val="000000"/>
          <w:sz w:val="24"/>
          <w:szCs w:val="24"/>
        </w:rPr>
        <w:t>z rozszerzeniem o</w:t>
      </w:r>
      <w:r>
        <w:rPr>
          <w:rFonts w:hint="default" w:ascii="Times New Roman" w:hAnsi="Times New Roman" w:cs="Times New Roman"/>
          <w:sz w:val="24"/>
          <w:szCs w:val="24"/>
        </w:rPr>
        <w:t>:</w:t>
      </w:r>
    </w:p>
    <w:p>
      <w:pPr>
        <w:numPr>
          <w:ilvl w:val="0"/>
          <w:numId w:val="51"/>
        </w:numPr>
        <w:spacing w:line="288" w:lineRule="auto"/>
        <w:jc w:val="both"/>
        <w:rPr>
          <w:rFonts w:hint="default" w:ascii="Times New Roman" w:hAnsi="Times New Roman" w:cs="Times New Roman"/>
          <w:iCs/>
          <w:color w:val="000000"/>
          <w:sz w:val="24"/>
          <w:szCs w:val="24"/>
        </w:rPr>
      </w:pPr>
      <w:r>
        <w:rPr>
          <w:rFonts w:hint="default" w:ascii="Times New Roman" w:hAnsi="Times New Roman" w:cs="Times New Roman"/>
          <w:iCs/>
          <w:color w:val="000000"/>
          <w:sz w:val="24"/>
          <w:szCs w:val="24"/>
        </w:rPr>
        <w:t>Obligatoryjne rozszerzenia zakresu ubezpieczenia wraz z minimalnymi limitami sumy gwarancyjnej na jeden i wszystkie wypadki w okresie ubezpieczenia:</w:t>
      </w:r>
    </w:p>
    <w:p>
      <w:pPr>
        <w:numPr>
          <w:ilvl w:val="0"/>
          <w:numId w:val="52"/>
        </w:numPr>
        <w:spacing w:line="288" w:lineRule="auto"/>
        <w:jc w:val="both"/>
        <w:rPr>
          <w:rFonts w:hint="default" w:ascii="Times New Roman" w:hAnsi="Times New Roman" w:cs="Times New Roman"/>
          <w:iCs/>
          <w:color w:val="000000"/>
          <w:sz w:val="24"/>
          <w:szCs w:val="24"/>
        </w:rPr>
      </w:pPr>
      <w:r>
        <w:rPr>
          <w:rFonts w:hint="default" w:ascii="Times New Roman" w:hAnsi="Times New Roman" w:cs="Times New Roman"/>
          <w:iCs/>
          <w:color w:val="000000"/>
          <w:sz w:val="24"/>
          <w:szCs w:val="24"/>
        </w:rPr>
        <w:t>odpowiedzialność cywilna za szkody wyrządzone przez podwykonawców Ubezpieczonego – limit do wysokości sumy gwarancyjnej,</w:t>
      </w:r>
    </w:p>
    <w:p>
      <w:pPr>
        <w:numPr>
          <w:ilvl w:val="0"/>
          <w:numId w:val="52"/>
        </w:numPr>
        <w:spacing w:line="288"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odpowiedzialność cywilna za </w:t>
      </w:r>
      <w:r>
        <w:rPr>
          <w:rFonts w:hint="default" w:ascii="Times New Roman" w:hAnsi="Times New Roman" w:cs="Times New Roman"/>
          <w:sz w:val="24"/>
          <w:szCs w:val="24"/>
        </w:rPr>
        <w:t>szkody powstałe po wykonaniu pracy lub usługi wynikłe z nienależytego wykonania zobowiązania – limit do wysokości sumy gwarancyjnej,</w:t>
      </w:r>
    </w:p>
    <w:p>
      <w:pPr>
        <w:numPr>
          <w:ilvl w:val="0"/>
          <w:numId w:val="52"/>
        </w:numPr>
        <w:spacing w:line="288"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odpowiedzialność cywilna za szkody wyrządzone w podziemnych instalacjach lub urządzeniach (również stanowiących część składową nieruchomości) </w:t>
      </w:r>
      <w:r>
        <w:rPr>
          <w:rFonts w:hint="default" w:ascii="Times New Roman" w:hAnsi="Times New Roman" w:cs="Times New Roman"/>
          <w:sz w:val="24"/>
          <w:szCs w:val="24"/>
        </w:rPr>
        <w:t>– limit do wysokości sumy gwarancyjnej,</w:t>
      </w:r>
    </w:p>
    <w:p>
      <w:pPr>
        <w:numPr>
          <w:ilvl w:val="0"/>
          <w:numId w:val="52"/>
        </w:numPr>
        <w:spacing w:line="288"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odpowiedzialność cywilna za szkody spowodowane zalaniem powstałym w następstwie awarii instalacji i urządzeń wodociągowych i kanalizacyjnych, w tym szkody spowodowane cofnięciem się cieczy </w:t>
      </w:r>
      <w:r>
        <w:rPr>
          <w:rFonts w:hint="default" w:ascii="Times New Roman" w:hAnsi="Times New Roman" w:cs="Times New Roman"/>
          <w:sz w:val="24"/>
          <w:szCs w:val="24"/>
        </w:rPr>
        <w:t>– limit do wysokości sumy gwarancyjnej</w:t>
      </w:r>
      <w:r>
        <w:rPr>
          <w:rFonts w:hint="default" w:ascii="Times New Roman" w:hAnsi="Times New Roman" w:cs="Times New Roman"/>
          <w:color w:val="000000"/>
          <w:sz w:val="24"/>
          <w:szCs w:val="24"/>
        </w:rPr>
        <w:t>,</w:t>
      </w:r>
    </w:p>
    <w:p>
      <w:pPr>
        <w:numPr>
          <w:ilvl w:val="0"/>
          <w:numId w:val="52"/>
        </w:numPr>
        <w:spacing w:line="288"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odpowiedzialność cywilna za szkody będące następstwem wypadków przy pracy wyrządzone pracownikom ubezpieczonego</w:t>
      </w:r>
      <w:r>
        <w:rPr>
          <w:rFonts w:hint="default" w:ascii="Times New Roman" w:hAnsi="Times New Roman" w:cs="Times New Roman"/>
          <w:sz w:val="24"/>
          <w:szCs w:val="24"/>
        </w:rPr>
        <w:t>,</w:t>
      </w:r>
    </w:p>
    <w:p>
      <w:pPr>
        <w:numPr>
          <w:ilvl w:val="0"/>
          <w:numId w:val="52"/>
        </w:numPr>
        <w:spacing w:line="288"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odpowiedzialność cywilna za szkody w nieruchomościach stanowiących przedmiot obróbki, naprawy lub innych czynności w ramach usług wykonywanych przez Ubezpieczonego,</w:t>
      </w:r>
    </w:p>
    <w:p>
      <w:pPr>
        <w:numPr>
          <w:ilvl w:val="0"/>
          <w:numId w:val="52"/>
        </w:numPr>
        <w:spacing w:line="288"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odpowiedzialność cywilna za szkody powstałe w związku z posiadaniem, użytkowaniem lub prowadzeniem pojazdów niepodlegających obowiązkowemu ubezpieczeniu OC posiadaczy pojazdów mechanicznych </w:t>
      </w:r>
      <w:r>
        <w:rPr>
          <w:rFonts w:hint="default" w:ascii="Times New Roman" w:hAnsi="Times New Roman" w:cs="Times New Roman"/>
          <w:sz w:val="24"/>
          <w:szCs w:val="24"/>
        </w:rPr>
        <w:t>– limit do wysokości sumy gwarancyjnej (jeżeli będą używane takie pojazdy).</w:t>
      </w:r>
    </w:p>
    <w:p>
      <w:pPr>
        <w:numPr>
          <w:ilvl w:val="0"/>
          <w:numId w:val="50"/>
        </w:numPr>
        <w:spacing w:line="288" w:lineRule="auto"/>
        <w:jc w:val="both"/>
        <w:rPr>
          <w:rFonts w:hint="default" w:ascii="Times New Roman" w:hAnsi="Times New Roman" w:cs="Times New Roman"/>
          <w:sz w:val="24"/>
          <w:szCs w:val="24"/>
        </w:rPr>
      </w:pPr>
      <w:r>
        <w:rPr>
          <w:rFonts w:hint="default" w:ascii="Times New Roman" w:hAnsi="Times New Roman" w:cs="Times New Roman"/>
          <w:sz w:val="24"/>
          <w:szCs w:val="24"/>
        </w:rPr>
        <w:t>Udziały własne, franszyzy i wyłączenia odpowiedzialności dopuszczalne są jedynie w zakresie zgodnym z aktualną dobrą praktyką rynkową, uwzględniającą należyte zabezpieczenie interesów Zamawiającego.</w:t>
      </w:r>
    </w:p>
    <w:p>
      <w:pPr>
        <w:numPr>
          <w:ilvl w:val="0"/>
          <w:numId w:val="50"/>
        </w:numPr>
        <w:spacing w:line="288" w:lineRule="auto"/>
        <w:jc w:val="both"/>
        <w:rPr>
          <w:rFonts w:hint="default" w:ascii="Times New Roman" w:hAnsi="Times New Roman" w:cs="Times New Roman"/>
          <w:sz w:val="24"/>
          <w:szCs w:val="24"/>
        </w:rPr>
      </w:pPr>
      <w:r>
        <w:rPr>
          <w:rFonts w:hint="default" w:ascii="Times New Roman" w:hAnsi="Times New Roman" w:cs="Times New Roman"/>
          <w:sz w:val="24"/>
          <w:szCs w:val="24"/>
        </w:rPr>
        <w:t>Wykonawca zobowiązany jest do pokrycia udziałów własnych, franszyz, a także wyczerpanych limitów odpowiedzialności do pełnej kwoty roszczenia poszkodowanego lub likwidacji zaistniałej szkody.</w:t>
      </w:r>
    </w:p>
    <w:p>
      <w:pPr>
        <w:numPr>
          <w:ilvl w:val="0"/>
          <w:numId w:val="50"/>
        </w:numPr>
        <w:spacing w:line="288" w:lineRule="auto"/>
        <w:jc w:val="both"/>
        <w:rPr>
          <w:rFonts w:hint="default" w:ascii="Times New Roman" w:hAnsi="Times New Roman" w:cs="Times New Roman"/>
          <w:sz w:val="24"/>
          <w:szCs w:val="24"/>
        </w:rPr>
      </w:pPr>
      <w:r>
        <w:rPr>
          <w:rFonts w:hint="default" w:ascii="Times New Roman" w:hAnsi="Times New Roman" w:cs="Times New Roman"/>
          <w:sz w:val="24"/>
          <w:szCs w:val="24"/>
        </w:rPr>
        <w:t>Wymóg zawarcia umowy ubezpieczenia będzie uważany za spełniony, jeśli Wykonawca, najpóźniej w dniu podpisania Umowy, przedłoży polisę ubezpieczenia odpowiedzialności cywilnej, zgodną z zakresem realizowanej Umowy, wraz z potwierdzeniem opłacenia wymagalnych rat składki ubezpieczeniowej.</w:t>
      </w:r>
    </w:p>
    <w:p>
      <w:pPr>
        <w:pStyle w:val="135"/>
        <w:spacing w:line="360" w:lineRule="auto"/>
        <w:jc w:val="both"/>
        <w:rPr>
          <w:rFonts w:hint="default" w:ascii="Arial" w:hAnsi="Arial" w:cs="Arial"/>
          <w:sz w:val="24"/>
          <w:szCs w:val="24"/>
          <w:lang w:val="pl-PL"/>
        </w:rPr>
      </w:pPr>
      <w:r>
        <w:rPr>
          <w:rFonts w:hint="default" w:ascii="Times New Roman" w:hAnsi="Times New Roman" w:cs="Times New Roman"/>
          <w:sz w:val="24"/>
          <w:szCs w:val="24"/>
        </w:rPr>
        <w:t>Wykonawcy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pPr>
        <w:pStyle w:val="135"/>
        <w:spacing w:line="360" w:lineRule="auto"/>
        <w:jc w:val="both"/>
        <w:rPr>
          <w:rFonts w:hint="default" w:ascii="Times New Roman" w:hAnsi="Times New Roman" w:cs="Times New Roman"/>
          <w:b/>
          <w:bCs/>
          <w:i w:val="0"/>
          <w:iCs w:val="0"/>
          <w:sz w:val="24"/>
          <w:szCs w:val="24"/>
          <w:lang w:val="pl-PL"/>
        </w:rPr>
      </w:pPr>
      <w:r>
        <w:rPr>
          <w:rFonts w:hint="default" w:ascii="Times New Roman" w:hAnsi="Times New Roman" w:cs="Times New Roman"/>
          <w:b/>
          <w:bCs/>
          <w:i w:val="0"/>
          <w:iCs w:val="0"/>
          <w:color w:val="auto"/>
          <w:lang w:val="pl-PL"/>
        </w:rPr>
        <w:t>18.</w:t>
      </w:r>
      <w:r>
        <w:rPr>
          <w:rFonts w:hint="default" w:ascii="Times New Roman" w:hAnsi="Times New Roman" w:cs="Times New Roman"/>
          <w:b/>
          <w:bCs/>
          <w:i w:val="0"/>
          <w:iCs w:val="0"/>
          <w:color w:val="auto"/>
        </w:rPr>
        <w:t>Pouczenie o środkach ochrony prawnej</w:t>
      </w:r>
    </w:p>
    <w:p>
      <w:pPr>
        <w:tabs>
          <w:tab w:val="left" w:pos="284"/>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W związku z tym, że postępowanie nie jest prowadzone w oparciu o przepisy ustawy Prawo zamówień publicznych, Wykonawcom nie przysługują środki ochrony prawnej wymienione we wspomnianej ustawie.</w:t>
      </w:r>
    </w:p>
    <w:p>
      <w:pPr>
        <w:pStyle w:val="135"/>
        <w:spacing w:line="360" w:lineRule="auto"/>
        <w:jc w:val="both"/>
        <w:rPr>
          <w:rFonts w:ascii="Times New Roman" w:hAnsi="Times New Roman" w:cs="Times New Roman"/>
        </w:rPr>
      </w:pPr>
    </w:p>
    <w:p>
      <w:pPr>
        <w:pStyle w:val="135"/>
        <w:spacing w:line="360" w:lineRule="auto"/>
        <w:jc w:val="both"/>
        <w:rPr>
          <w:rFonts w:ascii="Times New Roman" w:hAnsi="Times New Roman" w:cs="Times New Roman"/>
        </w:rPr>
      </w:pPr>
    </w:p>
    <w:p>
      <w:pPr>
        <w:pStyle w:val="135"/>
        <w:spacing w:line="360" w:lineRule="auto"/>
        <w:jc w:val="both"/>
        <w:rPr>
          <w:rFonts w:hint="default" w:ascii="Times New Roman" w:hAnsi="Times New Roman" w:cs="Times New Roman"/>
          <w:b/>
          <w:bCs/>
          <w:color w:val="auto"/>
        </w:rPr>
      </w:pPr>
      <w:r>
        <w:rPr>
          <w:rFonts w:hint="default" w:ascii="Times New Roman" w:hAnsi="Times New Roman" w:cs="Times New Roman"/>
          <w:b/>
          <w:bCs/>
          <w:color w:val="auto"/>
          <w:lang w:val="pl-PL"/>
        </w:rPr>
        <w:t>19.</w:t>
      </w:r>
      <w:r>
        <w:rPr>
          <w:rFonts w:hint="default" w:ascii="Times New Roman" w:hAnsi="Times New Roman" w:cs="Times New Roman"/>
          <w:b/>
          <w:bCs/>
          <w:color w:val="auto"/>
        </w:rPr>
        <w:t>Opis przedmiotu zamówienia</w:t>
      </w:r>
    </w:p>
    <w:p>
      <w:pPr>
        <w:jc w:val="both"/>
        <w:rPr>
          <w:rFonts w:hint="default"/>
          <w:color w:val="000000" w:themeColor="text1"/>
          <w:lang w:val="pl-PL"/>
          <w14:textFill>
            <w14:solidFill>
              <w14:schemeClr w14:val="tx1"/>
            </w14:solidFill>
          </w14:textFill>
        </w:rPr>
      </w:pPr>
      <w:r>
        <w:rPr>
          <w:color w:val="000000" w:themeColor="text1"/>
          <w14:textFill>
            <w14:solidFill>
              <w14:schemeClr w14:val="tx1"/>
            </w14:solidFill>
          </w14:textFill>
        </w:rPr>
        <w:t>Przedmiotem zamówienia jest</w:t>
      </w:r>
      <w:r>
        <w:rPr>
          <w:rFonts w:hint="default"/>
          <w:color w:val="000000" w:themeColor="text1"/>
          <w:lang w:val="pl-PL"/>
          <w14:textFill>
            <w14:solidFill>
              <w14:schemeClr w14:val="tx1"/>
            </w14:solidFill>
          </w14:textFill>
        </w:rPr>
        <w:t xml:space="preserve"> rozbudowa kotłowni gazowej przy ul. Wojska Polskiego 1b w Łęczycy, obręb 0001, dz. nr 516/2 poprzez:</w:t>
      </w:r>
    </w:p>
    <w:p>
      <w:pPr>
        <w:numPr>
          <w:ilvl w:val="0"/>
          <w:numId w:val="53"/>
        </w:numPr>
        <w:jc w:val="both"/>
        <w:rPr>
          <w:rFonts w:hint="default"/>
          <w:b w:val="0"/>
          <w:bCs/>
          <w:sz w:val="24"/>
          <w:szCs w:val="24"/>
          <w:lang w:val="pl-PL"/>
        </w:rPr>
      </w:pPr>
      <w:r>
        <w:rPr>
          <w:rFonts w:hint="default"/>
          <w:b w:val="0"/>
          <w:bCs/>
          <w:sz w:val="24"/>
          <w:szCs w:val="24"/>
          <w:lang w:val="pl-PL"/>
        </w:rPr>
        <w:t xml:space="preserve"> Rozbudowę instalacji grzewczej o dwa nowe fabrycznie nowe kotły gazowe Viessmann Vitolplex 300 typ TX3A 1600kW wraz z palnikami gazowymi typ WM-G30/1-A wyk. ZM-LN. Dodatkowo jeden z kotłów należy wyposażyć, zgodnie z projektem, w wymiennik spaliny-woda (ekonomizer) Vitotrans 300 160-204kW. Powyższy  układ należy włączyć w istniejący układ Tichelman’a zgodnie z projektem wykonawczym.</w:t>
      </w:r>
    </w:p>
    <w:p>
      <w:pPr>
        <w:numPr>
          <w:ilvl w:val="0"/>
          <w:numId w:val="53"/>
        </w:numPr>
        <w:jc w:val="both"/>
        <w:rPr>
          <w:rFonts w:hint="default"/>
          <w:b w:val="0"/>
          <w:bCs/>
          <w:sz w:val="24"/>
          <w:szCs w:val="24"/>
          <w:lang w:val="pl-PL"/>
        </w:rPr>
      </w:pPr>
      <w:r>
        <w:rPr>
          <w:rFonts w:hint="default"/>
          <w:b w:val="0"/>
          <w:bCs/>
          <w:sz w:val="24"/>
          <w:szCs w:val="24"/>
          <w:lang w:val="pl-PL"/>
        </w:rPr>
        <w:t>Demontaż istniejących kominów kotłów pelletowych oraz budowę nowych kominów ze stali nierdzewnej o DN 450 i DN 500. W miejsce otworu po zdemontowanych kominach kotłów pelletowych należy zamontować wywietrzak o fi400 oraz obrobić poszycie dachu.</w:t>
      </w:r>
    </w:p>
    <w:p>
      <w:pPr>
        <w:numPr>
          <w:ilvl w:val="0"/>
          <w:numId w:val="53"/>
        </w:numPr>
        <w:jc w:val="both"/>
        <w:rPr>
          <w:rFonts w:hint="default"/>
          <w:b w:val="0"/>
          <w:bCs/>
          <w:sz w:val="24"/>
          <w:szCs w:val="24"/>
          <w:lang w:val="pl-PL"/>
        </w:rPr>
      </w:pPr>
      <w:r>
        <w:rPr>
          <w:rFonts w:hint="default"/>
          <w:b w:val="0"/>
          <w:bCs/>
          <w:sz w:val="24"/>
          <w:szCs w:val="24"/>
          <w:lang w:val="pl-PL"/>
        </w:rPr>
        <w:t>Budowę systemu detekcji gazu  oraz rozbudowę systemu wentylacyjnego.</w:t>
      </w:r>
    </w:p>
    <w:p>
      <w:pPr>
        <w:numPr>
          <w:ilvl w:val="0"/>
          <w:numId w:val="53"/>
        </w:numPr>
        <w:jc w:val="both"/>
        <w:rPr>
          <w:rFonts w:hint="default"/>
          <w:b w:val="0"/>
          <w:bCs/>
          <w:sz w:val="24"/>
          <w:szCs w:val="24"/>
          <w:lang w:val="pl-PL"/>
        </w:rPr>
      </w:pPr>
      <w:r>
        <w:rPr>
          <w:rFonts w:hint="default"/>
          <w:b w:val="0"/>
          <w:bCs/>
          <w:sz w:val="24"/>
          <w:szCs w:val="24"/>
          <w:lang w:val="pl-PL"/>
        </w:rPr>
        <w:t>Wymianę układu stabilizacji ciśnienia na nowy układ stabilizacji GH70 +GS1.1 sterowany pompowo dla rozbudowanej kotłowni składającej się w sumie z 6 kotłów gazowych.</w:t>
      </w:r>
    </w:p>
    <w:p>
      <w:pPr>
        <w:numPr>
          <w:ilvl w:val="0"/>
          <w:numId w:val="53"/>
        </w:numPr>
        <w:jc w:val="both"/>
        <w:rPr>
          <w:rFonts w:hint="default"/>
          <w:b w:val="0"/>
          <w:bCs/>
          <w:sz w:val="24"/>
          <w:szCs w:val="24"/>
          <w:lang w:val="pl-PL"/>
        </w:rPr>
      </w:pPr>
      <w:r>
        <w:rPr>
          <w:rFonts w:hint="default"/>
          <w:b w:val="0"/>
          <w:bCs/>
          <w:sz w:val="24"/>
          <w:szCs w:val="24"/>
          <w:lang w:val="pl-PL"/>
        </w:rPr>
        <w:t>Wymianę stacji uzdatniania wody na technologię SUW o typie filtra EPURION A50-2 wraz z urządzeniami EPUROTECH 95/200 DF SXT i ESPEDOS GCW60-30.</w:t>
      </w:r>
    </w:p>
    <w:p>
      <w:pPr>
        <w:numPr>
          <w:ilvl w:val="0"/>
          <w:numId w:val="53"/>
        </w:numPr>
        <w:jc w:val="both"/>
        <w:rPr>
          <w:rFonts w:hint="default"/>
          <w:b w:val="0"/>
          <w:bCs/>
          <w:sz w:val="24"/>
          <w:szCs w:val="24"/>
          <w:lang w:val="pl-PL"/>
        </w:rPr>
      </w:pPr>
      <w:r>
        <w:rPr>
          <w:rFonts w:hint="default"/>
          <w:b w:val="0"/>
          <w:bCs/>
          <w:sz w:val="24"/>
          <w:szCs w:val="24"/>
          <w:lang w:val="pl-PL"/>
        </w:rPr>
        <w:t>Rozbudowę automatyki i telemetrii już istniejących na terenie kotłowni gazowej. Instalację dotyczącą telemetrii kotłowni działającej za pomocą systemu autorskiego firmy SAMSON należy rozbudować u czujniki temperatury czynnika grzewczego i spalin. Wiązkę elektryczną ww. czujników należy doprowadzić do istniejącej szafy telemetrycznej bez podłączenia przewodów. Zamawiający podłączy do systemu telemetrii czujniki firmy SAMSON we własnym zakresie.</w:t>
      </w:r>
    </w:p>
    <w:p>
      <w:pPr>
        <w:numPr>
          <w:ilvl w:val="0"/>
          <w:numId w:val="53"/>
        </w:numPr>
        <w:jc w:val="both"/>
        <w:rPr>
          <w:rFonts w:hint="default"/>
          <w:b w:val="0"/>
          <w:bCs/>
          <w:sz w:val="24"/>
          <w:szCs w:val="24"/>
          <w:lang w:val="pl-PL"/>
        </w:rPr>
      </w:pPr>
      <w:r>
        <w:rPr>
          <w:rFonts w:hint="default"/>
          <w:b w:val="0"/>
          <w:bCs/>
          <w:sz w:val="24"/>
          <w:szCs w:val="24"/>
          <w:lang w:val="pl-PL"/>
        </w:rPr>
        <w:t>Przeprowadzeniu prób szczelności (30 minut każda) po wykonanych pracach, zarówno instalacji grzewczej gazowej jak i sporządzeniu protokołu z tych prac.</w:t>
      </w:r>
    </w:p>
    <w:p>
      <w:pPr>
        <w:numPr>
          <w:ilvl w:val="0"/>
          <w:numId w:val="53"/>
        </w:numPr>
        <w:jc w:val="both"/>
        <w:rPr>
          <w:rFonts w:hint="default"/>
          <w:b w:val="0"/>
          <w:bCs/>
          <w:sz w:val="24"/>
          <w:szCs w:val="24"/>
          <w:lang w:val="pl-PL"/>
        </w:rPr>
      </w:pPr>
      <w:r>
        <w:rPr>
          <w:rFonts w:hint="default"/>
          <w:b w:val="0"/>
          <w:bCs/>
          <w:sz w:val="24"/>
          <w:szCs w:val="24"/>
          <w:lang w:val="pl-PL"/>
        </w:rPr>
        <w:t>Demontaż dotychczasowego oświetlenia w pomieszczeniach kotłowni biomasowej i magazynu pelletu i budowę nowej instalacji oświetleniowej typu LED w wymienionych pomieszczeniach.</w:t>
      </w:r>
    </w:p>
    <w:p>
      <w:pPr>
        <w:numPr>
          <w:ilvl w:val="0"/>
          <w:numId w:val="53"/>
        </w:numPr>
        <w:jc w:val="both"/>
        <w:rPr>
          <w:rFonts w:hint="default"/>
          <w:b w:val="0"/>
          <w:bCs/>
          <w:sz w:val="24"/>
          <w:szCs w:val="24"/>
          <w:lang w:val="pl-PL"/>
        </w:rPr>
      </w:pPr>
      <w:r>
        <w:rPr>
          <w:rFonts w:hint="default"/>
          <w:b w:val="0"/>
          <w:bCs/>
          <w:sz w:val="24"/>
          <w:szCs w:val="24"/>
          <w:lang w:val="pl-PL"/>
        </w:rPr>
        <w:t>Budowę nowej instalacji elektrycznej do nowo zainstalowanych urządzeń z wykorzystaniem istniejącej szafy sterowniczej kotłowni gazowej.</w:t>
      </w:r>
    </w:p>
    <w:p>
      <w:pPr>
        <w:numPr>
          <w:ilvl w:val="0"/>
          <w:numId w:val="53"/>
        </w:numPr>
        <w:jc w:val="both"/>
        <w:rPr>
          <w:rFonts w:hint="default"/>
          <w:b w:val="0"/>
          <w:bCs/>
          <w:sz w:val="24"/>
          <w:szCs w:val="24"/>
          <w:lang w:val="pl-PL"/>
        </w:rPr>
      </w:pPr>
      <w:r>
        <w:rPr>
          <w:rFonts w:hint="default"/>
          <w:b w:val="0"/>
          <w:bCs/>
          <w:sz w:val="24"/>
          <w:szCs w:val="24"/>
          <w:lang w:val="pl-PL"/>
        </w:rPr>
        <w:t>Remont nawierzchni wejściowej do pomieszczeń kotłowni zgodnie z założeniami projektu wykonawczego branży architektonicznej.</w:t>
      </w:r>
    </w:p>
    <w:p>
      <w:pPr>
        <w:numPr>
          <w:ilvl w:val="0"/>
          <w:numId w:val="53"/>
        </w:numPr>
        <w:jc w:val="both"/>
        <w:rPr>
          <w:rFonts w:hint="default"/>
          <w:b w:val="0"/>
          <w:bCs/>
          <w:sz w:val="24"/>
          <w:szCs w:val="24"/>
          <w:lang w:val="pl-PL"/>
        </w:rPr>
      </w:pPr>
      <w:r>
        <w:rPr>
          <w:rFonts w:hint="default"/>
          <w:b w:val="0"/>
          <w:bCs/>
          <w:sz w:val="24"/>
          <w:szCs w:val="24"/>
          <w:lang w:val="pl-PL"/>
        </w:rPr>
        <w:t xml:space="preserve">Remont dotychczasowego pomieszczenia magazynu opału poprzez wykonanie nowej posadzki i uzupełnienia tynków. </w:t>
      </w:r>
    </w:p>
    <w:p>
      <w:pPr>
        <w:numPr>
          <w:ilvl w:val="0"/>
          <w:numId w:val="53"/>
        </w:numPr>
        <w:jc w:val="both"/>
        <w:rPr>
          <w:rFonts w:hint="default"/>
          <w:b w:val="0"/>
          <w:bCs/>
          <w:sz w:val="24"/>
          <w:szCs w:val="24"/>
          <w:lang w:val="pl-PL"/>
        </w:rPr>
      </w:pPr>
      <w:r>
        <w:rPr>
          <w:rFonts w:hint="default"/>
          <w:b w:val="0"/>
          <w:bCs/>
          <w:sz w:val="24"/>
          <w:szCs w:val="24"/>
          <w:lang w:val="pl-PL"/>
        </w:rPr>
        <w:t>Zamianę ciepłomierzy z kotłowni gazowej przy ul. Belwederskiej 83 i Wojska Polskiego 1b. Prace nie zostały objęte projektami wykonawczymi. Ciepłomierze są odpowiednio o DN250 i DN100. Należy ująć powyższe prace w kosztorysie po odbyciu wizji lokalnej.</w:t>
      </w:r>
      <w:bookmarkStart w:id="4" w:name="_GoBack"/>
      <w:bookmarkEnd w:id="4"/>
    </w:p>
    <w:p>
      <w:pPr>
        <w:jc w:val="both"/>
        <w:rPr>
          <w:rFonts w:hint="default"/>
          <w:b w:val="0"/>
          <w:bCs/>
          <w:sz w:val="24"/>
          <w:szCs w:val="24"/>
          <w:lang w:val="pl-PL"/>
        </w:rPr>
      </w:pPr>
      <w:r>
        <w:rPr>
          <w:rFonts w:hint="default"/>
          <w:b w:val="0"/>
          <w:bCs/>
          <w:sz w:val="24"/>
          <w:szCs w:val="24"/>
          <w:lang w:val="pl-PL"/>
        </w:rPr>
        <w:t>UWAGA!</w:t>
      </w:r>
    </w:p>
    <w:p>
      <w:pPr>
        <w:jc w:val="both"/>
        <w:rPr>
          <w:rFonts w:hint="default"/>
          <w:b w:val="0"/>
          <w:bCs/>
          <w:sz w:val="24"/>
          <w:szCs w:val="24"/>
          <w:lang w:val="pl-PL"/>
        </w:rPr>
      </w:pPr>
      <w:r>
        <w:rPr>
          <w:rFonts w:hint="default"/>
          <w:b w:val="0"/>
          <w:bCs/>
          <w:sz w:val="24"/>
          <w:szCs w:val="24"/>
          <w:lang w:val="pl-PL"/>
        </w:rPr>
        <w:t>Przed złożeniem oferty konieczna jest wizja lokalna na terenie kotłowni przy ul. Wojska Polskiego 1b i kotłowni przy ul. Belwederskiej 83 w Łęczycy. Wizja lokalna jest warunkiem koniecznym do złożenia ważnej oferty w postępowaniu przetargowym i Wykonawca zobowiązany jest do przedłożenia oświadczenia woli, że takową wizję lokalna odbył. Oświadczenie należy dołączyć do oferty.</w:t>
      </w:r>
    </w:p>
    <w:p>
      <w:pPr>
        <w:jc w:val="both"/>
        <w:rPr>
          <w:rFonts w:hint="default"/>
          <w:b w:val="0"/>
          <w:bCs/>
          <w:sz w:val="24"/>
          <w:szCs w:val="24"/>
          <w:lang w:val="pl-PL"/>
        </w:rPr>
      </w:pPr>
      <w:r>
        <w:rPr>
          <w:rFonts w:hint="default"/>
          <w:b w:val="0"/>
          <w:bCs/>
          <w:sz w:val="24"/>
          <w:szCs w:val="24"/>
          <w:lang w:val="pl-PL"/>
        </w:rPr>
        <w:t xml:space="preserve">Pomieszczenie obecnej kotłowni biomasowej zostanie przygotowane do prac uwzględnionych w projektach wykonawczych. Zdemontowane zostaną istniejące kotły na biomasę wraz z zasobnikiem oraz armaturą kotłowni. Nie należy uwzględniać tych prac w kosztorysie wykonawczym. </w:t>
      </w:r>
    </w:p>
    <w:p>
      <w:pPr>
        <w:ind w:firstLine="708" w:firstLineChars="0"/>
        <w:jc w:val="both"/>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Wszystkie niezbędne dokumenty potrzebne do złożenia w Urzędzie Dozoru Technicznego </w:t>
      </w:r>
      <w:r>
        <w:rPr>
          <w:rFonts w:hint="default" w:ascii="Times New Roman" w:hAnsi="Times New Roman" w:cs="Times New Roman"/>
          <w:color w:val="000000"/>
          <w:sz w:val="24"/>
          <w:szCs w:val="24"/>
          <w:lang w:val="pl-PL"/>
        </w:rPr>
        <w:t>w celu uzyskania decyzji zezwalającej na eksploatację now</w:t>
      </w:r>
      <w:r>
        <w:rPr>
          <w:rFonts w:hint="default" w:cs="Times New Roman"/>
          <w:color w:val="000000"/>
          <w:sz w:val="24"/>
          <w:szCs w:val="24"/>
          <w:lang w:val="pl-PL"/>
        </w:rPr>
        <w:t>ych</w:t>
      </w:r>
      <w:r>
        <w:rPr>
          <w:rFonts w:hint="default" w:ascii="Times New Roman" w:hAnsi="Times New Roman" w:cs="Times New Roman"/>
          <w:color w:val="000000"/>
          <w:sz w:val="24"/>
          <w:szCs w:val="24"/>
          <w:lang w:val="pl-PL"/>
        </w:rPr>
        <w:t xml:space="preserve"> kotł</w:t>
      </w:r>
      <w:r>
        <w:rPr>
          <w:rFonts w:hint="default" w:cs="Times New Roman"/>
          <w:color w:val="000000"/>
          <w:sz w:val="24"/>
          <w:szCs w:val="24"/>
          <w:lang w:val="pl-PL"/>
        </w:rPr>
        <w:t>ów są</w:t>
      </w:r>
      <w:r>
        <w:rPr>
          <w:rFonts w:hint="default" w:ascii="Times New Roman" w:hAnsi="Times New Roman" w:cs="Times New Roman"/>
          <w:color w:val="000000"/>
          <w:sz w:val="24"/>
          <w:szCs w:val="24"/>
          <w:lang w:val="pl-PL"/>
        </w:rPr>
        <w:t xml:space="preserve"> </w:t>
      </w:r>
      <w:r>
        <w:rPr>
          <w:rFonts w:hint="default" w:ascii="Times New Roman" w:hAnsi="Times New Roman" w:cs="Times New Roman"/>
          <w:sz w:val="24"/>
          <w:szCs w:val="24"/>
          <w:lang w:val="pl-PL"/>
        </w:rPr>
        <w:t>po stronie Wykonawcy.</w:t>
      </w:r>
      <w:r>
        <w:rPr>
          <w:rFonts w:hint="default" w:cs="Times New Roman"/>
          <w:sz w:val="24"/>
          <w:szCs w:val="24"/>
          <w:lang w:val="pl-PL"/>
        </w:rPr>
        <w:t xml:space="preserve"> Dokumenty należy dostarczyć najpóźniej do dnia 03.06.2022r. do siedziby Zamawiającego wraz z protokołem odbioru częściowego wykonanych prac.</w:t>
      </w:r>
    </w:p>
    <w:p>
      <w:pPr>
        <w:ind w:firstLine="708"/>
        <w:contextualSpacing/>
        <w:jc w:val="both"/>
        <w:rPr>
          <w:rFonts w:hint="default" w:ascii="Times New Roman" w:hAnsi="Times New Roman"/>
          <w:sz w:val="24"/>
          <w:szCs w:val="24"/>
          <w:lang w:val="pl-PL" w:eastAsia="en-US"/>
        </w:rPr>
      </w:pPr>
      <w:r>
        <w:rPr>
          <w:rFonts w:hint="default" w:ascii="Times New Roman" w:hAnsi="Times New Roman"/>
          <w:sz w:val="24"/>
          <w:szCs w:val="24"/>
          <w:lang w:val="pl-PL"/>
        </w:rPr>
        <w:t xml:space="preserve">Wykonawca winien posiadać dokumenty uprawniające do montażu i uruchomienia ww. </w:t>
      </w:r>
      <w:r>
        <w:rPr>
          <w:rFonts w:hint="default"/>
          <w:sz w:val="24"/>
          <w:szCs w:val="24"/>
          <w:lang w:val="pl-PL"/>
        </w:rPr>
        <w:t>u</w:t>
      </w:r>
      <w:r>
        <w:rPr>
          <w:rFonts w:hint="default" w:ascii="Times New Roman" w:hAnsi="Times New Roman"/>
          <w:sz w:val="24"/>
          <w:szCs w:val="24"/>
          <w:lang w:val="pl-PL"/>
        </w:rPr>
        <w:t xml:space="preserve">rządzeń oraz poświadczające autoryzację firmy Viessmann oraz Weishaupt, które należy </w:t>
      </w:r>
      <w:r>
        <w:rPr>
          <w:rFonts w:hint="default"/>
          <w:sz w:val="24"/>
          <w:szCs w:val="24"/>
          <w:lang w:val="pl-PL"/>
        </w:rPr>
        <w:t>dołączyć do</w:t>
      </w:r>
      <w:r>
        <w:rPr>
          <w:rFonts w:hint="default" w:ascii="Times New Roman" w:hAnsi="Times New Roman"/>
          <w:sz w:val="24"/>
          <w:szCs w:val="24"/>
          <w:lang w:val="pl-PL"/>
        </w:rPr>
        <w:t xml:space="preserve"> ofert</w:t>
      </w:r>
      <w:r>
        <w:rPr>
          <w:rFonts w:hint="default"/>
          <w:sz w:val="24"/>
          <w:szCs w:val="24"/>
          <w:lang w:val="pl-PL"/>
        </w:rPr>
        <w:t>y</w:t>
      </w:r>
      <w:r>
        <w:rPr>
          <w:rFonts w:hint="default" w:ascii="Times New Roman" w:hAnsi="Times New Roman"/>
          <w:sz w:val="24"/>
          <w:szCs w:val="24"/>
          <w:lang w:val="pl-PL"/>
        </w:rPr>
        <w:t>.</w:t>
      </w:r>
    </w:p>
    <w:p>
      <w:pPr>
        <w:jc w:val="both"/>
        <w:rPr>
          <w:rFonts w:hint="default"/>
          <w:b w:val="0"/>
          <w:bCs/>
          <w:sz w:val="24"/>
          <w:szCs w:val="24"/>
          <w:lang w:val="pl-PL"/>
        </w:rPr>
      </w:pPr>
    </w:p>
    <w:p>
      <w:pPr>
        <w:jc w:val="both"/>
        <w:rPr>
          <w:rFonts w:hint="default"/>
          <w:b w:val="0"/>
          <w:bCs/>
          <w:sz w:val="24"/>
          <w:szCs w:val="24"/>
          <w:lang w:val="pl-PL"/>
        </w:rPr>
      </w:pPr>
      <w:r>
        <w:rPr>
          <w:rFonts w:hint="default"/>
          <w:b w:val="0"/>
          <w:bCs/>
          <w:sz w:val="24"/>
          <w:szCs w:val="24"/>
          <w:lang w:val="pl-PL"/>
        </w:rPr>
        <w:t>Montaż  i odbiór protokołem odbioru prac związanych zakresem z projektem wykonawczym z branży elektrycznej i sanitarnej musi nastąpić najpóźniej do 03.06.2022r. - warunek konieczny.</w:t>
      </w:r>
    </w:p>
    <w:p>
      <w:pPr>
        <w:jc w:val="both"/>
        <w:rPr>
          <w:rFonts w:hint="default"/>
          <w:b w:val="0"/>
          <w:bCs/>
          <w:sz w:val="24"/>
          <w:szCs w:val="24"/>
          <w:lang w:val="pl-PL"/>
        </w:rPr>
      </w:pPr>
      <w:r>
        <w:rPr>
          <w:rFonts w:hint="default"/>
          <w:b w:val="0"/>
          <w:bCs/>
          <w:sz w:val="24"/>
          <w:szCs w:val="24"/>
          <w:lang w:val="pl-PL"/>
        </w:rPr>
        <w:t>Pozostałe prace  objęte zakresem projektu wykonawcze z branży architektonicznej muszą zostać zakończone nie później niż do dnia 15.07.2022r.</w:t>
      </w:r>
    </w:p>
    <w:p>
      <w:pPr>
        <w:jc w:val="both"/>
        <w:rPr>
          <w:rFonts w:hint="default"/>
          <w:b w:val="0"/>
          <w:bCs/>
          <w:sz w:val="24"/>
          <w:szCs w:val="24"/>
          <w:lang w:val="pl-PL"/>
        </w:rPr>
      </w:pPr>
      <w:r>
        <w:rPr>
          <w:rFonts w:hint="default"/>
          <w:b w:val="0"/>
          <w:bCs/>
          <w:sz w:val="24"/>
          <w:szCs w:val="24"/>
          <w:lang w:val="pl-PL"/>
        </w:rPr>
        <w:t>Wyłączenie kotłowni wymuszone połączeniem(wykonaniem spawów) istniejącego układu Tichelman’a z nowo budowaną instalacją łączącą kotły nie może przekroczyć jednorazowo trzech dni roboczych łącznie.</w:t>
      </w:r>
    </w:p>
    <w:p>
      <w:pPr>
        <w:jc w:val="both"/>
        <w:rPr>
          <w:rFonts w:hint="default"/>
          <w:b w:val="0"/>
          <w:bCs/>
          <w:sz w:val="24"/>
          <w:szCs w:val="24"/>
          <w:lang w:val="pl-PL"/>
        </w:rPr>
      </w:pPr>
      <w:r>
        <w:rPr>
          <w:rFonts w:hint="default"/>
          <w:b w:val="0"/>
          <w:bCs/>
          <w:sz w:val="24"/>
          <w:szCs w:val="24"/>
          <w:lang w:val="pl-PL"/>
        </w:rPr>
        <w:t>Wykonanie wszystkich prac związanych z zamówieniem znajduje się w projektach wykonawczych branż: elektrycznej, sanitarnej i architektonicznej dołączonych do SWZ w formie PDF i należy zgodnie z projektami wykonać wszelkie prace i ponadto:</w:t>
      </w:r>
    </w:p>
    <w:p>
      <w:pPr>
        <w:pStyle w:val="78"/>
        <w:numPr>
          <w:ilvl w:val="2"/>
          <w:numId w:val="54"/>
        </w:numPr>
        <w:spacing w:line="360" w:lineRule="auto"/>
        <w:jc w:val="both"/>
        <w:rPr>
          <w:color w:val="000000" w:themeColor="text1"/>
          <w14:textFill>
            <w14:solidFill>
              <w14:schemeClr w14:val="tx1"/>
            </w14:solidFill>
          </w14:textFill>
        </w:rPr>
      </w:pPr>
      <w:r>
        <w:t xml:space="preserve">Wykonawca zobowiązuje się  do usunięcia zbędnych odpadów powstałych w trakcie realizacji zamówienia poza teren robót zgodnie z zasadami utylizacji i składowania materiałów odpadowych określonych ustawą o odpadach. </w:t>
      </w:r>
    </w:p>
    <w:p>
      <w:pPr>
        <w:pStyle w:val="78"/>
        <w:numPr>
          <w:ilvl w:val="2"/>
          <w:numId w:val="54"/>
        </w:numPr>
        <w:jc w:val="both"/>
        <w:rPr>
          <w:color w:val="000000" w:themeColor="text1"/>
          <w14:textFill>
            <w14:solidFill>
              <w14:schemeClr w14:val="tx1"/>
            </w14:solidFill>
          </w14:textFill>
        </w:rPr>
      </w:pPr>
      <w:r>
        <w:rPr>
          <w:color w:val="000000" w:themeColor="text1"/>
          <w14:textFill>
            <w14:solidFill>
              <w14:schemeClr w14:val="tx1"/>
            </w14:solidFill>
          </w14:textFill>
        </w:rPr>
        <w:t>Wykonanie prac budowlanych polegających na:</w:t>
      </w:r>
      <w:r>
        <w:rPr>
          <w:color w:val="000000" w:themeColor="text1"/>
          <w:lang w:val="pl-PL"/>
          <w14:textFill>
            <w14:solidFill>
              <w14:schemeClr w14:val="tx1"/>
            </w14:solidFill>
          </w14:textFill>
        </w:rPr>
        <w:t xml:space="preserve"> </w:t>
      </w:r>
      <w:r>
        <w:rPr>
          <w:color w:val="000000" w:themeColor="text1"/>
          <w14:textFill>
            <w14:solidFill>
              <w14:schemeClr w14:val="tx1"/>
            </w14:solidFill>
          </w14:textFill>
        </w:rPr>
        <w:t>pomalowaniu ścian i sufitów</w:t>
      </w:r>
      <w:r>
        <w:rPr>
          <w:rFonts w:hint="default"/>
          <w:color w:val="000000" w:themeColor="text1"/>
          <w:lang w:val="pl-PL"/>
          <w14:textFill>
            <w14:solidFill>
              <w14:schemeClr w14:val="tx1"/>
            </w14:solidFill>
          </w14:textFill>
        </w:rPr>
        <w:t>.</w:t>
      </w:r>
    </w:p>
    <w:p>
      <w:pPr>
        <w:pStyle w:val="78"/>
        <w:numPr>
          <w:ilvl w:val="2"/>
          <w:numId w:val="54"/>
        </w:numPr>
        <w:jc w:val="both"/>
        <w:rPr>
          <w:color w:val="000000" w:themeColor="text1"/>
          <w14:textFill>
            <w14:solidFill>
              <w14:schemeClr w14:val="tx1"/>
            </w14:solidFill>
          </w14:textFill>
        </w:rPr>
      </w:pPr>
      <w:r>
        <w:rPr>
          <w:color w:val="000000" w:themeColor="text1"/>
          <w14:textFill>
            <w14:solidFill>
              <w14:schemeClr w14:val="tx1"/>
            </w14:solidFill>
          </w14:textFill>
        </w:rPr>
        <w:t>Zainstalowanie nowego oświetlenia w technologii led.</w:t>
      </w:r>
    </w:p>
    <w:p>
      <w:pPr>
        <w:pStyle w:val="78"/>
        <w:numPr>
          <w:ilvl w:val="2"/>
          <w:numId w:val="54"/>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Naprawa ewentualnych uszkodzeń </w:t>
      </w:r>
      <w:r>
        <w:rPr>
          <w:color w:val="000000" w:themeColor="text1"/>
          <w:lang w:val="pl-PL"/>
          <w14:textFill>
            <w14:solidFill>
              <w14:schemeClr w14:val="tx1"/>
            </w14:solidFill>
          </w14:textFill>
        </w:rPr>
        <w:t>powstałych w wyniku prac związanych z realizacją zadania</w:t>
      </w:r>
      <w:r>
        <w:rPr>
          <w:color w:val="000000" w:themeColor="text1"/>
          <w14:textFill>
            <w14:solidFill>
              <w14:schemeClr w14:val="tx1"/>
            </w14:solidFill>
          </w14:textFill>
        </w:rPr>
        <w:t>.</w:t>
      </w:r>
    </w:p>
    <w:p>
      <w:pPr>
        <w:pStyle w:val="2"/>
        <w:spacing w:line="360" w:lineRule="auto"/>
        <w:jc w:val="right"/>
        <w:rPr>
          <w:sz w:val="22"/>
          <w:szCs w:val="22"/>
        </w:rPr>
      </w:pPr>
    </w:p>
    <w:p>
      <w:pPr>
        <w:pStyle w:val="78"/>
        <w:ind w:left="0"/>
        <w:jc w:val="both"/>
      </w:pPr>
      <w:r>
        <w:rPr>
          <w:color w:val="000000" w:themeColor="text1"/>
          <w14:textFill>
            <w14:solidFill>
              <w14:schemeClr w14:val="tx1"/>
            </w14:solidFill>
          </w14:textFill>
        </w:rPr>
        <w:t xml:space="preserve">Założenia dotyczące </w:t>
      </w:r>
      <w:r>
        <w:rPr>
          <w:rFonts w:hint="default"/>
          <w:lang w:val="pl-PL"/>
        </w:rPr>
        <w:t>praz związanych z zamówieniem</w:t>
      </w:r>
      <w:r>
        <w:t xml:space="preserve"> :</w:t>
      </w:r>
    </w:p>
    <w:p>
      <w:pPr>
        <w:ind w:right="53"/>
        <w:jc w:val="both"/>
      </w:pPr>
      <w:r>
        <w:t>1.</w:t>
      </w:r>
      <w:r>
        <w:tab/>
      </w:r>
      <w:r>
        <w:t xml:space="preserve">prawidłowa organizacja terenu budowy, zachowanie ładu i porządku, prowadzenia robót zgodnie z obowiązującymi przepisami, w tym również zgodnie z przepisami bezpieczeństwa i higieny pracy, przeciwpożarowymi oraz zasadami ochrony środowiska, </w:t>
      </w:r>
    </w:p>
    <w:p>
      <w:pPr>
        <w:ind w:right="53"/>
        <w:jc w:val="both"/>
      </w:pPr>
      <w:r>
        <w:t>2.</w:t>
      </w:r>
      <w:r>
        <w:tab/>
      </w:r>
      <w:r>
        <w:t xml:space="preserve">zapewnienie nadzoru na budowie przez kierowników robót posiadających uprawnienia budowlane do pełnienia samodzielnych funkcji w budownictwie zgodnie z Prawem budowlanym, </w:t>
      </w:r>
    </w:p>
    <w:p>
      <w:pPr>
        <w:ind w:right="53"/>
        <w:jc w:val="both"/>
      </w:pPr>
      <w:r>
        <w:t>3.</w:t>
      </w:r>
      <w:r>
        <w:tab/>
      </w:r>
      <w:r>
        <w:t>zapewnienie właściwych warunków bezpieczeństwa i higieny pracy oraz ochrony środowiska w miejscu robót i jego otoczeniu,</w:t>
      </w:r>
    </w:p>
    <w:p>
      <w:pPr>
        <w:ind w:right="53"/>
        <w:jc w:val="both"/>
      </w:pPr>
      <w:r>
        <w:rPr>
          <w:rFonts w:hint="default"/>
          <w:lang w:val="pl-PL"/>
        </w:rPr>
        <w:t>4</w:t>
      </w:r>
      <w:r>
        <w:t>.</w:t>
      </w:r>
      <w:r>
        <w:tab/>
      </w:r>
      <w:r>
        <w:t xml:space="preserve">zapewnienie stałego utrzymania porządku i czystości wewnątrz i bezpośrednio na zewnątrz terenu robót, </w:t>
      </w:r>
    </w:p>
    <w:p>
      <w:pPr>
        <w:ind w:right="53"/>
        <w:jc w:val="both"/>
      </w:pPr>
      <w:r>
        <w:rPr>
          <w:rFonts w:hint="default"/>
          <w:lang w:val="pl-PL"/>
        </w:rPr>
        <w:t>5</w:t>
      </w:r>
      <w:r>
        <w:t>.</w:t>
      </w:r>
      <w:r>
        <w:tab/>
      </w:r>
      <w:r>
        <w:t>utrzymywanie porządku na terenie budowy oraz za natychmiastowe usuwanie odpadów i niewykorzystanych materiałów, a także za usunięcie wszelkiego typu baraków i innych budowli tymczasowych</w:t>
      </w:r>
      <w:r>
        <w:rPr>
          <w:rFonts w:hint="default"/>
          <w:lang w:val="pl-PL"/>
        </w:rPr>
        <w:t>,</w:t>
      </w:r>
      <w:r>
        <w:t xml:space="preserve"> </w:t>
      </w:r>
    </w:p>
    <w:p>
      <w:pPr>
        <w:ind w:right="53"/>
        <w:jc w:val="both"/>
      </w:pPr>
      <w:r>
        <w:rPr>
          <w:rFonts w:hint="default"/>
          <w:lang w:val="pl-PL"/>
        </w:rPr>
        <w:t>6</w:t>
      </w:r>
      <w:r>
        <w:t>.</w:t>
      </w:r>
      <w:r>
        <w:tab/>
      </w:r>
      <w:r>
        <w:t xml:space="preserve">w przypadku nienależytego utrzymywania porządku na terenie budowy lub też w jego otoczeniu (w tym dróg dojazdowych) Zamawiający zastrzega sobie prawo jego uporządkowania lub otoczenia własnym staraniem i obciążenia jego kosztami Wykonawcę, po wcześniejszym jednorazowym wezwaniu Wykonawcy do utrzymywania porządku i nie zastosowaniu się przez Wykonawcę do wezwania w ciągu 2 dni roboczych, </w:t>
      </w:r>
    </w:p>
    <w:p>
      <w:pPr>
        <w:ind w:right="53"/>
        <w:jc w:val="both"/>
      </w:pPr>
      <w:r>
        <w:rPr>
          <w:rFonts w:hint="default"/>
          <w:lang w:val="pl-PL"/>
        </w:rPr>
        <w:t>7</w:t>
      </w:r>
      <w:r>
        <w:t>.</w:t>
      </w:r>
      <w:r>
        <w:tab/>
      </w:r>
      <w:r>
        <w:t xml:space="preserve">zabezpieczanie i chronienie swojego mienia na własny koszt, </w:t>
      </w:r>
    </w:p>
    <w:p>
      <w:pPr>
        <w:ind w:right="53"/>
        <w:jc w:val="both"/>
      </w:pPr>
      <w:r>
        <w:rPr>
          <w:rFonts w:hint="default"/>
          <w:lang w:val="pl-PL"/>
        </w:rPr>
        <w:t>8</w:t>
      </w:r>
      <w:r>
        <w:t>.</w:t>
      </w:r>
      <w:r>
        <w:tab/>
      </w:r>
      <w:r>
        <w:t xml:space="preserve">wykonywanie wszelkich czynności dodatkowych wynikających z przyjętej technologii wykonania robót oraz wynikających z dostępu do miejsca robót, </w:t>
      </w:r>
    </w:p>
    <w:p>
      <w:pPr>
        <w:ind w:right="53"/>
        <w:jc w:val="both"/>
      </w:pPr>
      <w:r>
        <w:rPr>
          <w:rFonts w:hint="default"/>
          <w:lang w:val="pl-PL"/>
        </w:rPr>
        <w:t>9</w:t>
      </w:r>
      <w:r>
        <w:t>.</w:t>
      </w:r>
      <w:r>
        <w:tab/>
      </w:r>
      <w:r>
        <w:t xml:space="preserve">pokrycie wszelkich kosztów prac projektowych związanych z wprowadzaniem na jego wniosek zamiennych rozwiązań projektowych w stosunku do dokumentacji projektowej i innych, </w:t>
      </w:r>
    </w:p>
    <w:p>
      <w:pPr>
        <w:ind w:right="53"/>
        <w:jc w:val="both"/>
      </w:pPr>
      <w:r>
        <w:t>1</w:t>
      </w:r>
      <w:r>
        <w:rPr>
          <w:rFonts w:hint="default"/>
          <w:lang w:val="pl-PL"/>
        </w:rPr>
        <w:t>0</w:t>
      </w:r>
      <w:r>
        <w:t>.</w:t>
      </w:r>
      <w:r>
        <w:tab/>
      </w:r>
      <w:r>
        <w:t>przyjęcie na siebie obowiązków wytwórcy odpadów i prowadzenie gospodarki odpadami zgodnie z ustawa z dnia 14 grudnia 2012r. o odpadach (Dz. U. z 2013 poz. 21), a w szczególności prowadzenie kart ewidencji odpadu oraz przekazania odpadu do uprawnionego odbiorcy i dostarczenie ich kopii do Zamawiającego. Wykonawca zobowiązuje się ponadto do usunięcia zbędnych odpadów powstałych w trakcie realizacji zamówienia poza teren robót zgodnie z zasadami utylizacji i składowania materiałów odpadowych określonych ustawą o odpadach,</w:t>
      </w:r>
    </w:p>
    <w:p>
      <w:pPr>
        <w:ind w:right="53"/>
        <w:jc w:val="both"/>
        <w:rPr>
          <w:rFonts w:hint="default"/>
          <w:lang w:val="pl-PL"/>
        </w:rPr>
      </w:pPr>
      <w:r>
        <w:t>19.</w:t>
      </w:r>
      <w:r>
        <w:tab/>
      </w:r>
      <w:r>
        <w:t>zapewnienie wysypiska i tymczasowego składowiska odpadów, w tym zapewnienie miejsca wywiezienia gruzu betonowego i innego pochodzącego z rozbiórki, pochodzące z demontażu materiały, Wykonawca usunie z terenu budowy na własny koszt (w tym koszt ewentualnej utylizacji).</w:t>
      </w:r>
      <w:r>
        <w:rPr>
          <w:rFonts w:hint="default"/>
          <w:lang w:val="pl-PL"/>
        </w:rPr>
        <w:t xml:space="preserve"> Zamawiający zastrzega sobie prawo do zabrania na własny koszt części materiałów lub urządzeń z demontowanej armatury.</w:t>
      </w:r>
    </w:p>
    <w:p>
      <w:pPr>
        <w:ind w:right="53"/>
        <w:jc w:val="both"/>
      </w:pPr>
      <w:r>
        <w:t>20.</w:t>
      </w:r>
      <w:r>
        <w:tab/>
      </w:r>
      <w:r>
        <w:t xml:space="preserve">zapewnienie odpowiednio wykwalifikowanych osób do wykonania zamówienia zgodnie z wymogami ustawy Prawo budowlane, </w:t>
      </w:r>
    </w:p>
    <w:p>
      <w:pPr>
        <w:ind w:right="53"/>
        <w:jc w:val="both"/>
      </w:pPr>
      <w:r>
        <w:t>21.</w:t>
      </w:r>
      <w:r>
        <w:tab/>
      </w:r>
      <w:r>
        <w:t xml:space="preserve">utrzymanie w czasie realizacji zadania terenu robót w stanie wolnym od przeszkód komunikacyjnych oraz zapewnienia usunięcia i składowania wszelkich urządzeń pomocniczych i zbędnych materiałów, odpadów i śmieci oraz niepotrzebnych urządzeń prowizorycznych, </w:t>
      </w:r>
    </w:p>
    <w:p>
      <w:pPr>
        <w:ind w:right="53"/>
        <w:jc w:val="both"/>
      </w:pPr>
      <w:r>
        <w:t>22.</w:t>
      </w:r>
      <w:r>
        <w:tab/>
      </w:r>
      <w:r>
        <w:t>umożliwienie wstępu na teren robót pracownikom organów państwowego nadzoru budowlanego, do których należy wykonywanie zadań określonych ustawą - Prawo budowlane oraz do udostępniania im danych i informacji wymaganych ustawą,</w:t>
      </w:r>
    </w:p>
    <w:p>
      <w:pPr>
        <w:ind w:right="53"/>
        <w:jc w:val="both"/>
      </w:pPr>
      <w:r>
        <w:t>23.</w:t>
      </w:r>
      <w:r>
        <w:tab/>
      </w:r>
      <w:r>
        <w:t>uporządkowania terenu i przekazania go Zamawiającemu w dniu zgłoszenia przez Wykonawcę gotowości do odbioru,</w:t>
      </w:r>
    </w:p>
    <w:p>
      <w:pPr>
        <w:ind w:right="53"/>
        <w:jc w:val="both"/>
      </w:pPr>
      <w:r>
        <w:t>24.</w:t>
      </w:r>
      <w:r>
        <w:tab/>
      </w:r>
      <w:r>
        <w:t xml:space="preserve">zapewnienie uczestnictwa Kierownika Budowy Wykonawcy w spotkaniach koordynacyjnych, prowadzonych z Zamawiającym, </w:t>
      </w:r>
    </w:p>
    <w:p>
      <w:pPr>
        <w:ind w:right="53"/>
        <w:jc w:val="both"/>
      </w:pPr>
      <w:r>
        <w:t>25.</w:t>
      </w:r>
      <w:r>
        <w:tab/>
      </w:r>
      <w:r>
        <w:t xml:space="preserve">zawiadamianie Zamawiającego o wszelkich informacjach dotyczących inwestycji, </w:t>
      </w:r>
    </w:p>
    <w:p>
      <w:pPr>
        <w:ind w:right="53"/>
        <w:jc w:val="both"/>
      </w:pPr>
      <w:r>
        <w:t>26.</w:t>
      </w:r>
      <w:r>
        <w:tab/>
      </w:r>
      <w:r>
        <w:t xml:space="preserve">naprawienie na swój koszt wszelkich spowodowanych przez siebie szkód oraz ponoszenia wszelkich związanych z tym kosztów i opłat, </w:t>
      </w:r>
    </w:p>
    <w:p>
      <w:pPr>
        <w:ind w:right="53"/>
        <w:jc w:val="both"/>
      </w:pPr>
      <w:r>
        <w:t>27.</w:t>
      </w:r>
      <w:r>
        <w:tab/>
      </w:r>
      <w:r>
        <w:t xml:space="preserve">wbudowywania materiałów odpowiadających, co do jakości wymaganiom określonym ustawą z dnia 16 kwietnia 2004 r. o wyrobach budowlanych (Dz.U. Nr 92, poz. 881 ze zm.) oraz wymaganiom określonym w dokumentacji projektowej oraz Specyfikacjach technicznych wykonania i odbioru robót budowlanych. Na potwierdzenie powyższego Kierownik budowy zobowiązany jest przechowywać na budowie dokumenty potwierdzające zgodność wbudowanych materiałów z ustawą, dokumentacją projektową i specyfikacją techniczną wykonania i odbioru robót budowlanych. Wszystkie główne materiały niezbędne do wykonani przedmiotu umowy przed ich dostarczeniem na teren budowy, muszą uzyskać akceptację inspektora nadzoru. Dostarczenie na teren budowy materiałów nie zatwierdzonych stanowi ryzyko Wykonawcy; </w:t>
      </w:r>
    </w:p>
    <w:p>
      <w:pPr>
        <w:ind w:right="53"/>
        <w:jc w:val="both"/>
      </w:pPr>
      <w:r>
        <w:t>28.</w:t>
      </w:r>
      <w:r>
        <w:tab/>
      </w:r>
      <w:r>
        <w:t xml:space="preserve">uczestniczenie w odbiorze robót wraz z Zamawiającym; </w:t>
      </w:r>
    </w:p>
    <w:p>
      <w:pPr>
        <w:ind w:right="53"/>
        <w:jc w:val="both"/>
        <w:rPr>
          <w:color w:val="000000" w:themeColor="text1"/>
          <w14:textFill>
            <w14:solidFill>
              <w14:schemeClr w14:val="tx1"/>
            </w14:solidFill>
          </w14:textFill>
        </w:rPr>
      </w:pPr>
      <w:r>
        <w:t>29.</w:t>
      </w:r>
      <w:r>
        <w:tab/>
      </w:r>
      <w:r>
        <w:t>przeprowadzanie wszelkich wymaganych testów, sprawdzeń i prób, niezbędnych odbiorów urządzeń i instalacji oraz do przedstawiania protokołów odbiorczych Zamawiającemu</w:t>
      </w:r>
      <w:r>
        <w:rPr>
          <w:rFonts w:hint="default"/>
          <w:lang w:val="pl-PL"/>
        </w:rPr>
        <w:t>.</w:t>
      </w:r>
      <w:r>
        <w:t xml:space="preserve">  </w:t>
      </w:r>
    </w:p>
    <w:p>
      <w:pPr>
        <w:pStyle w:val="2"/>
        <w:tabs>
          <w:tab w:val="left" w:pos="2629"/>
        </w:tabs>
        <w:spacing w:after="120"/>
        <w:jc w:val="center"/>
      </w:pPr>
      <w:r>
        <w:rPr>
          <w:color w:val="000000" w:themeColor="text1"/>
          <w:szCs w:val="28"/>
          <w14:textFill>
            <w14:solidFill>
              <w14:schemeClr w14:val="tx1"/>
            </w14:solidFill>
          </w14:textFill>
        </w:rPr>
        <w:t>Parametry techniczne</w:t>
      </w:r>
    </w:p>
    <w:p>
      <w:pPr>
        <w:pStyle w:val="78"/>
        <w:tabs>
          <w:tab w:val="left" w:pos="502"/>
          <w:tab w:val="left" w:pos="2340"/>
        </w:tabs>
        <w:ind w:left="0"/>
        <w:rPr>
          <w:color w:val="000000"/>
        </w:rPr>
      </w:pPr>
      <w:r>
        <w:rPr>
          <w:color w:val="000000" w:themeColor="text1"/>
          <w14:textFill>
            <w14:solidFill>
              <w14:schemeClr w14:val="tx1"/>
            </w14:solidFill>
          </w14:textFill>
        </w:rPr>
        <w:t>Parametry techniczne materiałów i urządzeń określa</w:t>
      </w:r>
      <w:r>
        <w:rPr>
          <w:color w:val="000000" w:themeColor="text1"/>
          <w:lang w:val="pl-PL"/>
          <w14:textFill>
            <w14:solidFill>
              <w14:schemeClr w14:val="tx1"/>
            </w14:solidFill>
          </w14:textFill>
        </w:rPr>
        <w:t>ją projekty</w:t>
      </w:r>
      <w:r>
        <w:rPr>
          <w:color w:val="000000" w:themeColor="text1"/>
          <w14:textFill>
            <w14:solidFill>
              <w14:schemeClr w14:val="tx1"/>
            </w14:solidFill>
          </w14:textFill>
        </w:rPr>
        <w:t xml:space="preserve"> </w:t>
      </w:r>
      <w:r>
        <w:rPr>
          <w:rFonts w:hint="default"/>
          <w:color w:val="000000" w:themeColor="text1"/>
          <w:lang w:val="pl-PL"/>
          <w14:textFill>
            <w14:solidFill>
              <w14:schemeClr w14:val="tx1"/>
            </w14:solidFill>
          </w14:textFill>
        </w:rPr>
        <w:t>wykonawcze</w:t>
      </w:r>
      <w:r>
        <w:rPr>
          <w:color w:val="000000" w:themeColor="text1"/>
          <w14:textFill>
            <w14:solidFill>
              <w14:schemeClr w14:val="tx1"/>
            </w14:solidFill>
          </w14:textFill>
        </w:rPr>
        <w:t>.</w:t>
      </w:r>
      <w:bookmarkStart w:id="3" w:name="_Toc392496099"/>
    </w:p>
    <w:bookmarkEnd w:id="3"/>
    <w:p>
      <w:pPr>
        <w:pStyle w:val="2"/>
        <w:tabs>
          <w:tab w:val="left" w:pos="2629"/>
        </w:tabs>
        <w:spacing w:after="120"/>
        <w:jc w:val="center"/>
        <w:rPr>
          <w:szCs w:val="28"/>
        </w:rPr>
      </w:pPr>
      <w:r>
        <w:rPr>
          <w:szCs w:val="28"/>
        </w:rPr>
        <w:t>Wytyczne wykonania inwestycji</w:t>
      </w:r>
    </w:p>
    <w:p>
      <w:pPr>
        <w:rPr>
          <w:sz w:val="22"/>
          <w:szCs w:val="22"/>
        </w:rPr>
      </w:pPr>
      <w:r>
        <w:rPr>
          <w:szCs w:val="28"/>
          <w:lang w:val="pl-PL"/>
        </w:rPr>
        <w:t>Zgodnie z projektami budowlanymi</w:t>
      </w:r>
      <w:r>
        <w:rPr>
          <w:rFonts w:hint="default"/>
          <w:szCs w:val="28"/>
          <w:lang w:val="pl-PL"/>
        </w:rPr>
        <w:t xml:space="preserve"> - do pobrania.</w:t>
      </w:r>
    </w:p>
    <w:p>
      <w:pPr>
        <w:pStyle w:val="46"/>
        <w:spacing w:line="360" w:lineRule="auto"/>
        <w:jc w:val="both"/>
      </w:pPr>
    </w:p>
    <w:sectPr>
      <w:headerReference r:id="rId6" w:type="first"/>
      <w:footerReference r:id="rId9" w:type="first"/>
      <w:headerReference r:id="rId5" w:type="default"/>
      <w:footerReference r:id="rId7" w:type="default"/>
      <w:footerReference r:id="rId8" w:type="even"/>
      <w:pgSz w:w="11906" w:h="16838"/>
      <w:pgMar w:top="1110" w:right="1417" w:bottom="1417" w:left="1417"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EE"/>
    <w:family w:val="swiss"/>
    <w:pitch w:val="default"/>
    <w:sig w:usb0="E1002EFF" w:usb1="C000605B" w:usb2="00000029" w:usb3="00000000" w:csb0="200101FF" w:csb1="20280000"/>
  </w:font>
  <w:font w:name="Cambria">
    <w:panose1 w:val="02040503050406030204"/>
    <w:charset w:val="EE"/>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Segoe UI">
    <w:panose1 w:val="020B0502040204020203"/>
    <w:charset w:val="EE"/>
    <w:family w:val="swiss"/>
    <w:pitch w:val="default"/>
    <w:sig w:usb0="E4002EFF" w:usb1="C000E47F" w:usb2="00000009" w:usb3="00000000" w:csb0="200001FF" w:csb1="00000000"/>
  </w:font>
  <w:font w:name="OpenSymbol">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EE"/>
    <w:family w:val="swiss"/>
    <w:pitch w:val="default"/>
    <w:sig w:usb0="A00006FF" w:usb1="4000205B" w:usb2="00000010" w:usb3="00000000" w:csb0="2000019F" w:csb1="00000000"/>
  </w:font>
  <w:font w:name="Times">
    <w:altName w:val="Times New Roman"/>
    <w:panose1 w:val="02020603050405020304"/>
    <w:charset w:val="EE"/>
    <w:family w:val="roman"/>
    <w:pitch w:val="default"/>
    <w:sig w:usb0="00000000" w:usb1="00000000" w:usb2="00000009" w:usb3="00000000" w:csb0="000001FF" w:csb1="00000000"/>
  </w:font>
  <w:font w:name="Open Sans">
    <w:altName w:val="Times New Roman"/>
    <w:panose1 w:val="00000000000000000000"/>
    <w:charset w:val="00"/>
    <w:family w:val="auto"/>
    <w:pitch w:val="default"/>
    <w:sig w:usb0="00000000" w:usb1="00000000" w:usb2="00000000" w:usb3="00000000" w:csb0="00000000" w:csb1="00000000"/>
  </w:font>
  <w:font w:name="TimesNewRoman">
    <w:altName w:val="Segoe Print"/>
    <w:panose1 w:val="00000000000000000000"/>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5435" cy="290830"/>
              <wp:effectExtent l="0" t="0" r="0" b="0"/>
              <wp:wrapNone/>
              <wp:docPr id="2"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305435" cy="290830"/>
                      </a:xfrm>
                      <a:prstGeom prst="rect">
                        <a:avLst/>
                      </a:prstGeom>
                      <a:noFill/>
                      <a:ln>
                        <a:noFill/>
                      </a:ln>
                    </wps:spPr>
                    <wps:txbx>
                      <w:txbxContent>
                        <w:p>
                          <w:pPr>
                            <w:pStyle w:val="27"/>
                            <w:ind w:right="360"/>
                            <w:jc w:val="center"/>
                          </w:pPr>
                          <w:r>
                            <w:rPr>
                              <w:rStyle w:val="33"/>
                            </w:rPr>
                            <w:fldChar w:fldCharType="begin"/>
                          </w:r>
                          <w:r>
                            <w:rPr>
                              <w:rStyle w:val="33"/>
                            </w:rPr>
                            <w:instrText xml:space="preserve"> PAGE </w:instrText>
                          </w:r>
                          <w:r>
                            <w:rPr>
                              <w:rStyle w:val="33"/>
                            </w:rPr>
                            <w:fldChar w:fldCharType="separate"/>
                          </w:r>
                          <w:r>
                            <w:rPr>
                              <w:rStyle w:val="33"/>
                            </w:rPr>
                            <w:t>56</w:t>
                          </w:r>
                          <w:r>
                            <w:rPr>
                              <w:rStyle w:val="33"/>
                            </w:rP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22.9pt;width:24.05pt;mso-position-horizontal:center;mso-position-horizontal-relative:margin;mso-wrap-style:none;z-index:251659264;mso-width-relative:page;mso-height-relative:page;" filled="f" stroked="f" coordsize="21600,21600" o:gfxdata="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EdP+PQAAAAAwEAAA8AAAAAAAAAAQAgAAAAIgAAAGRycy9kb3ducmV2LnhtbFBL&#10;AQIUABQAAAAIAIdO4kDLXTXl/gEAAAQEAAAOAAAAAAAAAAEAIAAAAB8BAABkcnMvZTJvRG9jLnht&#10;bFBLBQYAAAAABgAGAFkBAACPBQAAAAA=&#10;">
              <v:fill on="f" focussize="0,0"/>
              <v:stroke on="f"/>
              <v:imagedata o:title=""/>
              <o:lock v:ext="edit" aspectratio="f"/>
              <v:textbox inset="0mm,0mm,0mm,0mm" style="mso-fit-shape-to-text:t;">
                <w:txbxContent>
                  <w:p>
                    <w:pPr>
                      <w:pStyle w:val="27"/>
                      <w:ind w:right="360"/>
                      <w:jc w:val="center"/>
                    </w:pPr>
                    <w:r>
                      <w:rPr>
                        <w:rStyle w:val="33"/>
                      </w:rPr>
                      <w:fldChar w:fldCharType="begin"/>
                    </w:r>
                    <w:r>
                      <w:rPr>
                        <w:rStyle w:val="33"/>
                      </w:rPr>
                      <w:instrText xml:space="preserve"> PAGE </w:instrText>
                    </w:r>
                    <w:r>
                      <w:rPr>
                        <w:rStyle w:val="33"/>
                      </w:rPr>
                      <w:fldChar w:fldCharType="separate"/>
                    </w:r>
                    <w:r>
                      <w:rPr>
                        <w:rStyle w:val="33"/>
                      </w:rPr>
                      <w:t>56</w:t>
                    </w:r>
                    <w:r>
                      <w:rPr>
                        <w:rStyle w:val="33"/>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3"/>
      </w:rPr>
    </w:pPr>
    <w:r>
      <w:rPr>
        <w:rStyle w:val="33"/>
      </w:rPr>
      <w:fldChar w:fldCharType="begin"/>
    </w:r>
    <w:r>
      <w:rPr>
        <w:rStyle w:val="33"/>
      </w:rPr>
      <w:instrText xml:space="preserve">PAGE  </w:instrText>
    </w:r>
    <w:r>
      <w:rPr>
        <w:rStyle w:val="33"/>
      </w:rPr>
      <w:fldChar w:fldCharType="separate"/>
    </w:r>
    <w:r>
      <w:rPr>
        <w:rStyle w:val="33"/>
      </w:rPr>
      <w:t>15</w:t>
    </w:r>
    <w:r>
      <w:rPr>
        <w:rStyle w:val="33"/>
      </w:rP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835" cy="29083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76835" cy="29083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2.9pt;width:6.05pt;mso-position-horizontal:center;mso-position-horizontal-relative:margin;mso-wrap-style:none;z-index:251660288;mso-width-relative:page;mso-height-relative:page;" filled="f" stroked="f" coordsize="21600,21600" o:gfxdata="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rSS2dEAAAADAQAADwAAAAAAAAABACAAAAAiAAAAZHJzL2Rvd25yZXYueG1sUEsB&#10;AhQAFAAAAAgAh07iQMgYWR38AQAAAwQAAA4AAAAAAAAAAQAgAAAAIAEAAGRycy9lMm9Eb2MueG1s&#10;UEsFBgAAAAAGAAYAWQEAAI4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b/>
      </w:rPr>
    </w:pPr>
    <w:r>
      <w:t>Oznaczenie sprawy PN/</w:t>
    </w:r>
    <w:r>
      <w:rPr>
        <w:rFonts w:hint="default"/>
        <w:lang w:val="pl-PL"/>
      </w:rPr>
      <w:t>1</w:t>
    </w:r>
    <w:r>
      <w:t>/20</w:t>
    </w:r>
    <w:r>
      <w:rPr>
        <w:rFonts w:hint="default"/>
        <w:lang w:val="pl-PL"/>
      </w:rPr>
      <w:t>22</w:t>
    </w:r>
    <w:r>
      <w:t xml:space="preserve">/Ł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t>Oznaczenie sprawy PN/</w:t>
    </w:r>
    <w:r>
      <w:rPr>
        <w:rFonts w:hint="default"/>
        <w:lang w:val="pl-PL"/>
      </w:rPr>
      <w:t>1</w:t>
    </w:r>
    <w:r>
      <w:t>/20</w:t>
    </w:r>
    <w:r>
      <w:rPr>
        <w:rFonts w:hint="default"/>
        <w:lang w:val="pl-PL"/>
      </w:rPr>
      <w:t>22</w:t>
    </w:r>
    <w:r>
      <w:t>/Ł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0FCFA8"/>
    <w:multiLevelType w:val="singleLevel"/>
    <w:tmpl w:val="E30FCFA8"/>
    <w:lvl w:ilvl="0" w:tentative="0">
      <w:start w:val="1"/>
      <w:numFmt w:val="lowerLetter"/>
      <w:suff w:val="space"/>
      <w:lvlText w:val="%1)"/>
      <w:lvlJc w:val="left"/>
    </w:lvl>
  </w:abstractNum>
  <w:abstractNum w:abstractNumId="1">
    <w:nsid w:val="0081752A"/>
    <w:multiLevelType w:val="singleLevel"/>
    <w:tmpl w:val="0081752A"/>
    <w:lvl w:ilvl="0" w:tentative="0">
      <w:start w:val="1"/>
      <w:numFmt w:val="decimal"/>
      <w:lvlText w:val="%1."/>
      <w:lvlJc w:val="left"/>
      <w:pPr>
        <w:tabs>
          <w:tab w:val="left" w:pos="360"/>
        </w:tabs>
        <w:ind w:left="360" w:hanging="360"/>
      </w:pPr>
      <w:rPr>
        <w:color w:val="auto"/>
      </w:rPr>
    </w:lvl>
  </w:abstractNum>
  <w:abstractNum w:abstractNumId="2">
    <w:nsid w:val="04823094"/>
    <w:multiLevelType w:val="multilevel"/>
    <w:tmpl w:val="04823094"/>
    <w:lvl w:ilvl="0" w:tentative="0">
      <w:start w:val="1"/>
      <w:numFmt w:val="decimal"/>
      <w:lvlText w:val="%1)"/>
      <w:lvlJc w:val="left"/>
      <w:pPr>
        <w:ind w:left="115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5E130F4"/>
    <w:multiLevelType w:val="multilevel"/>
    <w:tmpl w:val="05E130F4"/>
    <w:lvl w:ilvl="0" w:tentative="0">
      <w:start w:val="1"/>
      <w:numFmt w:val="none"/>
      <w:pStyle w:val="136"/>
      <w:suff w:val="space"/>
      <w:lvlText w:val="§ %1"/>
      <w:lvlJc w:val="left"/>
      <w:pPr>
        <w:ind w:left="227" w:hanging="227"/>
      </w:pPr>
      <w:rPr>
        <w:b w:val="0"/>
        <w:bCs w:val="0"/>
        <w:sz w:val="22"/>
        <w:szCs w:val="22"/>
      </w:rPr>
    </w:lvl>
    <w:lvl w:ilvl="1" w:tentative="0">
      <w:start w:val="1"/>
      <w:numFmt w:val="decimal"/>
      <w:suff w:val="space"/>
      <w:lvlText w:val=" %2."/>
      <w:lvlJc w:val="left"/>
      <w:pPr>
        <w:ind w:left="283" w:hanging="283"/>
      </w:pPr>
      <w:rPr>
        <w:b w:val="0"/>
        <w:bCs w:val="0"/>
        <w:sz w:val="22"/>
        <w:szCs w:val="22"/>
      </w:rPr>
    </w:lvl>
    <w:lvl w:ilvl="2" w:tentative="0">
      <w:start w:val="1"/>
      <w:numFmt w:val="decimal"/>
      <w:suff w:val="space"/>
      <w:lvlText w:val="%3)"/>
      <w:lvlJc w:val="left"/>
      <w:pPr>
        <w:ind w:left="510" w:hanging="227"/>
      </w:pPr>
      <w:rPr>
        <w:b w:val="0"/>
        <w:bCs w:val="0"/>
        <w:sz w:val="22"/>
        <w:szCs w:val="22"/>
      </w:rPr>
    </w:lvl>
    <w:lvl w:ilvl="3" w:tentative="0">
      <w:start w:val="1"/>
      <w:numFmt w:val="lowerLetter"/>
      <w:suff w:val="space"/>
      <w:lvlText w:val="%4)"/>
      <w:lvlJc w:val="left"/>
      <w:pPr>
        <w:ind w:left="737" w:hanging="227"/>
      </w:pPr>
      <w:rPr>
        <w:b w:val="0"/>
        <w:bCs w:val="0"/>
        <w:sz w:val="22"/>
        <w:szCs w:val="22"/>
      </w:rPr>
    </w:lvl>
    <w:lvl w:ilvl="4" w:tentative="0">
      <w:start w:val="0"/>
      <w:numFmt w:val="bullet"/>
      <w:lvlText w:val="­"/>
      <w:lvlJc w:val="left"/>
      <w:pPr>
        <w:ind w:left="884" w:hanging="147"/>
      </w:pPr>
      <w:rPr>
        <w:rFonts w:ascii="Segoe UI" w:hAnsi="Segoe UI" w:eastAsia="OpenSymbol" w:cs="OpenSymbol"/>
      </w:rPr>
    </w:lvl>
    <w:lvl w:ilvl="5" w:tentative="0">
      <w:start w:val="1"/>
      <w:numFmt w:val="decimal"/>
      <w:lvlText w:val="§ %6"/>
      <w:lvlJc w:val="left"/>
      <w:pPr>
        <w:ind w:left="7200" w:hanging="2520"/>
      </w:pPr>
    </w:lvl>
    <w:lvl w:ilvl="6" w:tentative="0">
      <w:start w:val="1"/>
      <w:numFmt w:val="decimal"/>
      <w:lvlText w:val="§ %7"/>
      <w:lvlJc w:val="center"/>
      <w:pPr>
        <w:ind w:left="7560" w:hanging="2880"/>
      </w:pPr>
    </w:lvl>
    <w:lvl w:ilvl="7" w:tentative="0">
      <w:start w:val="1"/>
      <w:numFmt w:val="decimal"/>
      <w:lvlText w:val="§ %8"/>
      <w:lvlJc w:val="center"/>
      <w:pPr>
        <w:ind w:left="7920" w:hanging="3240"/>
      </w:pPr>
    </w:lvl>
    <w:lvl w:ilvl="8" w:tentative="0">
      <w:start w:val="1"/>
      <w:numFmt w:val="decimal"/>
      <w:lvlText w:val="§ %9"/>
      <w:lvlJc w:val="center"/>
      <w:pPr>
        <w:ind w:left="8280" w:hanging="3600"/>
      </w:pPr>
    </w:lvl>
  </w:abstractNum>
  <w:abstractNum w:abstractNumId="4">
    <w:nsid w:val="080307C9"/>
    <w:multiLevelType w:val="multilevel"/>
    <w:tmpl w:val="080307C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96B09BD"/>
    <w:multiLevelType w:val="multilevel"/>
    <w:tmpl w:val="096B09BD"/>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B270945"/>
    <w:multiLevelType w:val="multilevel"/>
    <w:tmpl w:val="0B270945"/>
    <w:lvl w:ilvl="0" w:tentative="0">
      <w:start w:val="1"/>
      <w:numFmt w:val="bullet"/>
      <w:lvlText w:val=""/>
      <w:lvlJc w:val="left"/>
      <w:pPr>
        <w:tabs>
          <w:tab w:val="left" w:pos="403"/>
        </w:tabs>
        <w:ind w:left="403" w:hanging="403"/>
      </w:pPr>
      <w:rPr>
        <w:rFonts w:hint="default" w:ascii="Symbol" w:hAnsi="Symbol"/>
        <w:b w:val="0"/>
        <w:i w:val="0"/>
        <w:sz w:val="22"/>
      </w:rPr>
    </w:lvl>
    <w:lvl w:ilvl="1" w:tentative="0">
      <w:start w:val="13"/>
      <w:numFmt w:val="decimal"/>
      <w:pStyle w:val="7"/>
      <w:lvlText w:val="%2"/>
      <w:lvlJc w:val="left"/>
      <w:pPr>
        <w:tabs>
          <w:tab w:val="left" w:pos="1440"/>
        </w:tabs>
        <w:ind w:left="1440" w:hanging="360"/>
      </w:pPr>
      <w:rPr>
        <w:rFonts w:hint="default" w:cs="Times New Roman"/>
      </w:rPr>
    </w:lvl>
    <w:lvl w:ilvl="2" w:tentative="0">
      <w:start w:val="3"/>
      <w:numFmt w:val="decimal"/>
      <w:lvlText w:val="%3)"/>
      <w:lvlJc w:val="left"/>
      <w:pPr>
        <w:tabs>
          <w:tab w:val="left" w:pos="2160"/>
        </w:tabs>
        <w:ind w:left="2160" w:hanging="360"/>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0B271764"/>
    <w:multiLevelType w:val="singleLevel"/>
    <w:tmpl w:val="0B271764"/>
    <w:lvl w:ilvl="0" w:tentative="0">
      <w:start w:val="1"/>
      <w:numFmt w:val="decimal"/>
      <w:lvlText w:val="%1)"/>
      <w:lvlJc w:val="left"/>
      <w:pPr>
        <w:ind w:left="720" w:hanging="360"/>
      </w:pPr>
    </w:lvl>
  </w:abstractNum>
  <w:abstractNum w:abstractNumId="8">
    <w:nsid w:val="0D564256"/>
    <w:multiLevelType w:val="multilevel"/>
    <w:tmpl w:val="0D564256"/>
    <w:lvl w:ilvl="0" w:tentative="0">
      <w:start w:val="3"/>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12946C2C"/>
    <w:multiLevelType w:val="singleLevel"/>
    <w:tmpl w:val="12946C2C"/>
    <w:lvl w:ilvl="0" w:tentative="0">
      <w:start w:val="1"/>
      <w:numFmt w:val="decimal"/>
      <w:lvlText w:val="%1)"/>
      <w:lvlJc w:val="left"/>
      <w:pPr>
        <w:tabs>
          <w:tab w:val="left" w:pos="360"/>
        </w:tabs>
        <w:ind w:left="360" w:hanging="360"/>
      </w:pPr>
    </w:lvl>
  </w:abstractNum>
  <w:abstractNum w:abstractNumId="10">
    <w:nsid w:val="150A462F"/>
    <w:multiLevelType w:val="multilevel"/>
    <w:tmpl w:val="150A462F"/>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8116FB4"/>
    <w:multiLevelType w:val="multilevel"/>
    <w:tmpl w:val="18116FB4"/>
    <w:lvl w:ilvl="0" w:tentative="0">
      <w:start w:val="1"/>
      <w:numFmt w:val="decimal"/>
      <w:lvlText w:val="%1."/>
      <w:lvlJc w:val="left"/>
      <w:pPr>
        <w:ind w:left="360" w:hanging="360"/>
      </w:pPr>
      <w:rPr>
        <w:rFonts w:hint="default"/>
      </w:rPr>
    </w:lvl>
    <w:lvl w:ilvl="1" w:tentative="0">
      <w:start w:val="1"/>
      <w:numFmt w:val="decimal"/>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18EE179A"/>
    <w:multiLevelType w:val="multilevel"/>
    <w:tmpl w:val="18EE179A"/>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19230547"/>
    <w:multiLevelType w:val="multilevel"/>
    <w:tmpl w:val="19230547"/>
    <w:lvl w:ilvl="0" w:tentative="0">
      <w:start w:val="1"/>
      <w:numFmt w:val="bullet"/>
      <w:lvlText w:val=""/>
      <w:lvlJc w:val="left"/>
      <w:pPr>
        <w:ind w:left="2291" w:hanging="360"/>
      </w:pPr>
      <w:rPr>
        <w:rFonts w:hint="default" w:ascii="Symbol" w:hAnsi="Symbol"/>
      </w:rPr>
    </w:lvl>
    <w:lvl w:ilvl="1" w:tentative="0">
      <w:start w:val="1"/>
      <w:numFmt w:val="decimal"/>
      <w:lvlText w:val="b%2)"/>
      <w:lvlJc w:val="left"/>
      <w:pPr>
        <w:ind w:left="3011" w:hanging="360"/>
      </w:pPr>
      <w:rPr>
        <w:rFonts w:hint="default" w:ascii="Times New Roman" w:hAnsi="Times New Roman" w:cs="Times New Roman"/>
      </w:rPr>
    </w:lvl>
    <w:lvl w:ilvl="2" w:tentative="0">
      <w:start w:val="1"/>
      <w:numFmt w:val="lowerRoman"/>
      <w:lvlText w:val="%3."/>
      <w:lvlJc w:val="right"/>
      <w:pPr>
        <w:ind w:left="3731" w:hanging="180"/>
      </w:pPr>
    </w:lvl>
    <w:lvl w:ilvl="3" w:tentative="0">
      <w:start w:val="1"/>
      <w:numFmt w:val="decimal"/>
      <w:lvlText w:val="%4."/>
      <w:lvlJc w:val="left"/>
      <w:pPr>
        <w:ind w:left="4451" w:hanging="360"/>
      </w:pPr>
    </w:lvl>
    <w:lvl w:ilvl="4" w:tentative="0">
      <w:start w:val="1"/>
      <w:numFmt w:val="lowerLetter"/>
      <w:lvlText w:val="%5."/>
      <w:lvlJc w:val="left"/>
      <w:pPr>
        <w:ind w:left="5171" w:hanging="360"/>
      </w:pPr>
    </w:lvl>
    <w:lvl w:ilvl="5" w:tentative="0">
      <w:start w:val="1"/>
      <w:numFmt w:val="lowerRoman"/>
      <w:lvlText w:val="%6."/>
      <w:lvlJc w:val="right"/>
      <w:pPr>
        <w:ind w:left="5891" w:hanging="180"/>
      </w:pPr>
    </w:lvl>
    <w:lvl w:ilvl="6" w:tentative="0">
      <w:start w:val="1"/>
      <w:numFmt w:val="decimal"/>
      <w:lvlText w:val="%7."/>
      <w:lvlJc w:val="left"/>
      <w:pPr>
        <w:ind w:left="6611" w:hanging="360"/>
      </w:pPr>
    </w:lvl>
    <w:lvl w:ilvl="7" w:tentative="0">
      <w:start w:val="1"/>
      <w:numFmt w:val="lowerLetter"/>
      <w:lvlText w:val="%8."/>
      <w:lvlJc w:val="left"/>
      <w:pPr>
        <w:ind w:left="7331" w:hanging="360"/>
      </w:pPr>
    </w:lvl>
    <w:lvl w:ilvl="8" w:tentative="0">
      <w:start w:val="1"/>
      <w:numFmt w:val="lowerRoman"/>
      <w:lvlText w:val="%9."/>
      <w:lvlJc w:val="right"/>
      <w:pPr>
        <w:ind w:left="8051" w:hanging="180"/>
      </w:pPr>
    </w:lvl>
  </w:abstractNum>
  <w:abstractNum w:abstractNumId="14">
    <w:nsid w:val="19DB1AF7"/>
    <w:multiLevelType w:val="multilevel"/>
    <w:tmpl w:val="19DB1AF7"/>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00E7D7C"/>
    <w:multiLevelType w:val="multilevel"/>
    <w:tmpl w:val="200E7D7C"/>
    <w:lvl w:ilvl="0" w:tentative="0">
      <w:start w:val="1"/>
      <w:numFmt w:val="lowerLetter"/>
      <w:lvlText w:val="%1)"/>
      <w:lvlJc w:val="left"/>
      <w:pPr>
        <w:ind w:left="735"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3BA5F30"/>
    <w:multiLevelType w:val="multilevel"/>
    <w:tmpl w:val="23BA5F30"/>
    <w:lvl w:ilvl="0" w:tentative="0">
      <w:start w:val="1"/>
      <w:numFmt w:val="lowerLetter"/>
      <w:lvlText w:val="%1)"/>
      <w:lvlJc w:val="left"/>
      <w:pPr>
        <w:ind w:left="1287" w:hanging="360"/>
      </w:pPr>
      <w:rPr>
        <w:color w:val="auto"/>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24C14A9F"/>
    <w:multiLevelType w:val="multilevel"/>
    <w:tmpl w:val="24C14A9F"/>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25567CF4"/>
    <w:multiLevelType w:val="multilevel"/>
    <w:tmpl w:val="25567CF4"/>
    <w:lvl w:ilvl="0" w:tentative="0">
      <w:start w:val="1"/>
      <w:numFmt w:val="decimal"/>
      <w:lvlText w:val="%1."/>
      <w:lvlJc w:val="left"/>
      <w:pPr>
        <w:ind w:left="750" w:hanging="390"/>
      </w:pPr>
      <w:rPr>
        <w:b w:val="0"/>
        <w:i w:val="0"/>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296132F2"/>
    <w:multiLevelType w:val="multilevel"/>
    <w:tmpl w:val="296132F2"/>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0">
    <w:nsid w:val="29B8418F"/>
    <w:multiLevelType w:val="multilevel"/>
    <w:tmpl w:val="29B8418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A6A5C81"/>
    <w:multiLevelType w:val="singleLevel"/>
    <w:tmpl w:val="2A6A5C81"/>
    <w:lvl w:ilvl="0" w:tentative="0">
      <w:start w:val="1"/>
      <w:numFmt w:val="decimal"/>
      <w:lvlText w:val="%1."/>
      <w:lvlJc w:val="left"/>
      <w:pPr>
        <w:tabs>
          <w:tab w:val="left" w:pos="360"/>
        </w:tabs>
        <w:ind w:left="360" w:hanging="360"/>
      </w:pPr>
    </w:lvl>
  </w:abstractNum>
  <w:abstractNum w:abstractNumId="22">
    <w:nsid w:val="2F3B35A0"/>
    <w:multiLevelType w:val="multilevel"/>
    <w:tmpl w:val="2F3B35A0"/>
    <w:lvl w:ilvl="0" w:tentative="0">
      <w:start w:val="40"/>
      <w:numFmt w:val="decimal"/>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rPr>
        <w:rFonts w:hint="default"/>
        <w:b w:val="0"/>
      </w:rPr>
    </w:lvl>
    <w:lvl w:ilvl="2" w:tentative="0">
      <w:start w:val="1"/>
      <w:numFmt w:val="decimal"/>
      <w:lvlText w:val="%3."/>
      <w:lvlJc w:val="left"/>
      <w:pPr>
        <w:tabs>
          <w:tab w:val="left" w:pos="2340"/>
        </w:tabs>
        <w:ind w:left="2340" w:hanging="360"/>
      </w:pPr>
      <w:rPr>
        <w:rFonts w:hint="default"/>
        <w:b w:val="0"/>
      </w:rPr>
    </w:lvl>
    <w:lvl w:ilvl="3" w:tentative="0">
      <w:start w:val="1"/>
      <w:numFmt w:val="lowerLetter"/>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720"/>
        </w:tabs>
        <w:ind w:left="72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23">
    <w:nsid w:val="30223B03"/>
    <w:multiLevelType w:val="multilevel"/>
    <w:tmpl w:val="30223B0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5096021"/>
    <w:multiLevelType w:val="multilevel"/>
    <w:tmpl w:val="35096021"/>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5">
    <w:nsid w:val="37D2B711"/>
    <w:multiLevelType w:val="singleLevel"/>
    <w:tmpl w:val="37D2B711"/>
    <w:lvl w:ilvl="0" w:tentative="0">
      <w:start w:val="1"/>
      <w:numFmt w:val="decimal"/>
      <w:suff w:val="space"/>
      <w:lvlText w:val="%1."/>
      <w:lvlJc w:val="left"/>
    </w:lvl>
  </w:abstractNum>
  <w:abstractNum w:abstractNumId="26">
    <w:nsid w:val="393C656B"/>
    <w:multiLevelType w:val="multilevel"/>
    <w:tmpl w:val="393C656B"/>
    <w:lvl w:ilvl="0" w:tentative="0">
      <w:start w:val="1"/>
      <w:numFmt w:val="lowerLetter"/>
      <w:lvlText w:val="%1)"/>
      <w:lvlJc w:val="left"/>
      <w:pPr>
        <w:ind w:left="1854" w:hanging="360"/>
      </w:pPr>
      <w:rPr>
        <w:b w:val="0"/>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27">
    <w:nsid w:val="3C2B092D"/>
    <w:multiLevelType w:val="multilevel"/>
    <w:tmpl w:val="3C2B092D"/>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8">
    <w:nsid w:val="401B0EBC"/>
    <w:multiLevelType w:val="singleLevel"/>
    <w:tmpl w:val="401B0EBC"/>
    <w:lvl w:ilvl="0" w:tentative="0">
      <w:start w:val="1"/>
      <w:numFmt w:val="decimal"/>
      <w:lvlText w:val="%1."/>
      <w:lvlJc w:val="left"/>
      <w:pPr>
        <w:ind w:left="720" w:hanging="360"/>
      </w:pPr>
      <w:rPr>
        <w:rFonts w:hint="default"/>
        <w:b w:val="0"/>
        <w:sz w:val="24"/>
        <w:szCs w:val="24"/>
      </w:rPr>
    </w:lvl>
  </w:abstractNum>
  <w:abstractNum w:abstractNumId="29">
    <w:nsid w:val="41E82E9A"/>
    <w:multiLevelType w:val="multilevel"/>
    <w:tmpl w:val="41E82E9A"/>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75005C7"/>
    <w:multiLevelType w:val="multilevel"/>
    <w:tmpl w:val="475005C7"/>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48F3647D"/>
    <w:multiLevelType w:val="multilevel"/>
    <w:tmpl w:val="48F3647D"/>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CD84FBF"/>
    <w:multiLevelType w:val="multilevel"/>
    <w:tmpl w:val="4CD84FBF"/>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3">
    <w:nsid w:val="4F4C69E7"/>
    <w:multiLevelType w:val="multilevel"/>
    <w:tmpl w:val="4F4C69E7"/>
    <w:lvl w:ilvl="0" w:tentative="0">
      <w:start w:val="5"/>
      <w:numFmt w:val="decimal"/>
      <w:lvlText w:val="%1)"/>
      <w:lvlJc w:val="left"/>
      <w:pPr>
        <w:tabs>
          <w:tab w:val="left" w:pos="720"/>
        </w:tabs>
        <w:ind w:left="720" w:hanging="360"/>
      </w:pPr>
      <w:rPr>
        <w:rFonts w:hint="default" w:ascii="Times New Roman" w:hAnsi="Times New Roman" w:eastAsia="Calibri" w:cs="Times New Roman"/>
        <w:b w:val="0"/>
      </w:rPr>
    </w:lvl>
    <w:lvl w:ilvl="1" w:tentative="0">
      <w:start w:val="1"/>
      <w:numFmt w:val="lowerLetter"/>
      <w:lvlText w:val="%2)"/>
      <w:lvlJc w:val="left"/>
      <w:pPr>
        <w:tabs>
          <w:tab w:val="left" w:pos="1440"/>
        </w:tabs>
        <w:ind w:left="1440" w:hanging="360"/>
      </w:pPr>
      <w:rPr>
        <w:rFonts w:hint="default" w:ascii="Arial" w:hAnsi="Arial" w:eastAsia="Times New Roman" w:cs="Arial"/>
        <w:b w:val="0"/>
      </w:rPr>
    </w:lvl>
    <w:lvl w:ilvl="2" w:tentative="0">
      <w:start w:val="1"/>
      <w:numFmt w:val="decimal"/>
      <w:lvlText w:val="%3."/>
      <w:lvlJc w:val="left"/>
      <w:pPr>
        <w:tabs>
          <w:tab w:val="left" w:pos="2340"/>
        </w:tabs>
        <w:ind w:left="2340" w:hanging="360"/>
      </w:pPr>
      <w:rPr>
        <w:rFonts w:hint="default" w:ascii="Times New Roman" w:hAnsi="Times New Roman" w:cs="Times New Roman"/>
        <w:b w:val="0"/>
      </w:rPr>
    </w:lvl>
    <w:lvl w:ilvl="3" w:tentative="0">
      <w:start w:val="1"/>
      <w:numFmt w:val="lowerLetter"/>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720"/>
        </w:tabs>
        <w:ind w:left="72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34">
    <w:nsid w:val="4F6A5D43"/>
    <w:multiLevelType w:val="multilevel"/>
    <w:tmpl w:val="4F6A5D43"/>
    <w:lvl w:ilvl="0" w:tentative="0">
      <w:start w:val="2"/>
      <w:numFmt w:val="lowerLetter"/>
      <w:lvlText w:val="%1)"/>
      <w:lvlJc w:val="left"/>
      <w:pPr>
        <w:ind w:left="1211" w:hanging="360"/>
      </w:pPr>
      <w:rPr>
        <w:rFonts w:hint="default"/>
        <w:b w:val="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4FC913DA"/>
    <w:multiLevelType w:val="multilevel"/>
    <w:tmpl w:val="4FC913DA"/>
    <w:lvl w:ilvl="0" w:tentative="0">
      <w:start w:val="1"/>
      <w:numFmt w:val="lowerLetter"/>
      <w:lvlText w:val="%1)"/>
      <w:lvlJc w:val="left"/>
      <w:pPr>
        <w:ind w:left="927" w:hanging="360"/>
      </w:pPr>
      <w:rPr>
        <w:rFonts w:hint="default"/>
        <w:b w:val="0"/>
        <w:i w:val="0"/>
        <w:color w:val="auto"/>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6">
    <w:nsid w:val="522E7E3F"/>
    <w:multiLevelType w:val="multilevel"/>
    <w:tmpl w:val="522E7E3F"/>
    <w:lvl w:ilvl="0" w:tentative="0">
      <w:start w:val="1"/>
      <w:numFmt w:val="decimal"/>
      <w:lvlText w:val="%1."/>
      <w:lvlJc w:val="left"/>
      <w:pPr>
        <w:tabs>
          <w:tab w:val="left" w:pos="720"/>
        </w:tabs>
        <w:ind w:left="720" w:hanging="360"/>
      </w:pPr>
      <w:rPr>
        <w:rFonts w:hint="default"/>
        <w:b w:val="0"/>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592F3515"/>
    <w:multiLevelType w:val="multilevel"/>
    <w:tmpl w:val="592F35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96C4785"/>
    <w:multiLevelType w:val="multilevel"/>
    <w:tmpl w:val="596C4785"/>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DD04545"/>
    <w:multiLevelType w:val="multilevel"/>
    <w:tmpl w:val="5DD045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65C449FE"/>
    <w:multiLevelType w:val="multilevel"/>
    <w:tmpl w:val="65C449FE"/>
    <w:lvl w:ilvl="0" w:tentative="0">
      <w:start w:val="3"/>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675A360F"/>
    <w:multiLevelType w:val="multilevel"/>
    <w:tmpl w:val="675A360F"/>
    <w:lvl w:ilvl="0" w:tentative="0">
      <w:start w:val="10"/>
      <w:numFmt w:val="decimal"/>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6D603E85"/>
    <w:multiLevelType w:val="singleLevel"/>
    <w:tmpl w:val="6D603E85"/>
    <w:lvl w:ilvl="0" w:tentative="0">
      <w:start w:val="1"/>
      <w:numFmt w:val="decimal"/>
      <w:lvlText w:val="%1)"/>
      <w:lvlJc w:val="left"/>
      <w:pPr>
        <w:tabs>
          <w:tab w:val="left" w:pos="360"/>
        </w:tabs>
        <w:ind w:left="360" w:hanging="360"/>
      </w:pPr>
      <w:rPr>
        <w:b w:val="0"/>
        <w:i w:val="0"/>
        <w:color w:val="auto"/>
      </w:rPr>
    </w:lvl>
  </w:abstractNum>
  <w:abstractNum w:abstractNumId="43">
    <w:nsid w:val="6E197FB0"/>
    <w:multiLevelType w:val="multilevel"/>
    <w:tmpl w:val="6E197FB0"/>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4">
    <w:nsid w:val="71896CD1"/>
    <w:multiLevelType w:val="multilevel"/>
    <w:tmpl w:val="71896CD1"/>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61C68A2"/>
    <w:multiLevelType w:val="singleLevel"/>
    <w:tmpl w:val="761C68A2"/>
    <w:lvl w:ilvl="0" w:tentative="0">
      <w:start w:val="1"/>
      <w:numFmt w:val="decimal"/>
      <w:lvlText w:val="%1."/>
      <w:lvlJc w:val="left"/>
      <w:pPr>
        <w:tabs>
          <w:tab w:val="left" w:pos="360"/>
        </w:tabs>
        <w:ind w:left="360" w:hanging="360"/>
      </w:pPr>
    </w:lvl>
  </w:abstractNum>
  <w:abstractNum w:abstractNumId="46">
    <w:nsid w:val="7A270280"/>
    <w:multiLevelType w:val="multilevel"/>
    <w:tmpl w:val="7A270280"/>
    <w:lvl w:ilvl="0" w:tentative="0">
      <w:start w:val="1"/>
      <w:numFmt w:val="decimal"/>
      <w:lvlText w:val="%1."/>
      <w:lvlJc w:val="left"/>
      <w:pPr>
        <w:ind w:left="72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7A520152"/>
    <w:multiLevelType w:val="multilevel"/>
    <w:tmpl w:val="7A520152"/>
    <w:lvl w:ilvl="0" w:tentative="0">
      <w:start w:val="10"/>
      <w:numFmt w:val="decimal"/>
      <w:lvlText w:val="%1."/>
      <w:lvlJc w:val="left"/>
      <w:pPr>
        <w:tabs>
          <w:tab w:val="left" w:pos="360"/>
        </w:tabs>
        <w:ind w:left="360" w:hanging="360"/>
      </w:pPr>
      <w:rPr>
        <w:b w:val="0"/>
      </w:rPr>
    </w:lvl>
    <w:lvl w:ilvl="1" w:tentative="0">
      <w:start w:val="1"/>
      <w:numFmt w:val="decimal"/>
      <w:lvlText w:val="%2)"/>
      <w:lvlJc w:val="left"/>
      <w:pPr>
        <w:tabs>
          <w:tab w:val="left" w:pos="928"/>
        </w:tabs>
        <w:ind w:left="928" w:hanging="360"/>
      </w:pPr>
      <w:rPr>
        <w:b w:val="0"/>
        <w:color w:val="auto"/>
      </w:rPr>
    </w:lvl>
    <w:lvl w:ilvl="2" w:tentative="0">
      <w:start w:val="1"/>
      <w:numFmt w:val="decimal"/>
      <w:lvlText w:val="%3"/>
      <w:lvlJc w:val="left"/>
      <w:pPr>
        <w:tabs>
          <w:tab w:val="left" w:pos="2700"/>
        </w:tabs>
        <w:ind w:left="2700" w:hanging="36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48">
    <w:nsid w:val="7A845A33"/>
    <w:multiLevelType w:val="multilevel"/>
    <w:tmpl w:val="7A845A33"/>
    <w:lvl w:ilvl="0" w:tentative="0">
      <w:start w:val="1"/>
      <w:numFmt w:val="ordinal"/>
      <w:suff w:val="space"/>
      <w:lvlText w:val="%1"/>
      <w:lvlJc w:val="right"/>
      <w:pPr>
        <w:ind w:left="289" w:hanging="1"/>
      </w:pPr>
      <w:rPr>
        <w:rFonts w:hint="default" w:ascii="Times New Roman" w:hAnsi="Times New Roman" w:cs="Times New Roman"/>
        <w:b w:val="0"/>
        <w:i w:val="0"/>
        <w:sz w:val="24"/>
      </w:rPr>
    </w:lvl>
    <w:lvl w:ilvl="1" w:tentative="0">
      <w:start w:val="1"/>
      <w:numFmt w:val="lowerLetter"/>
      <w:lvlText w:val="%2)"/>
      <w:lvlJc w:val="left"/>
      <w:pPr>
        <w:tabs>
          <w:tab w:val="left" w:pos="831"/>
        </w:tabs>
        <w:ind w:left="831" w:hanging="360"/>
      </w:pPr>
      <w:rPr>
        <w:rFonts w:hint="default" w:ascii="Times New Roman" w:hAnsi="Times New Roman" w:cs="Times New Roman"/>
        <w:b w:val="0"/>
        <w:i w:val="0"/>
        <w:strike w:val="0"/>
        <w:sz w:val="24"/>
      </w:rPr>
    </w:lvl>
    <w:lvl w:ilvl="2" w:tentative="0">
      <w:start w:val="1"/>
      <w:numFmt w:val="lowerLetter"/>
      <w:suff w:val="space"/>
      <w:lvlText w:val="%3)"/>
      <w:lvlJc w:val="right"/>
      <w:pPr>
        <w:ind w:left="907"/>
      </w:pPr>
      <w:rPr>
        <w:rFonts w:hint="default" w:ascii="Times New Roman" w:hAnsi="Times New Roman" w:cs="Times New Roman"/>
        <w:b w:val="0"/>
        <w:i w:val="0"/>
        <w:sz w:val="24"/>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9">
    <w:nsid w:val="7D8524FB"/>
    <w:multiLevelType w:val="singleLevel"/>
    <w:tmpl w:val="7D8524FB"/>
    <w:lvl w:ilvl="0" w:tentative="0">
      <w:start w:val="1"/>
      <w:numFmt w:val="decimal"/>
      <w:lvlText w:val="%1)"/>
      <w:lvlJc w:val="left"/>
      <w:pPr>
        <w:tabs>
          <w:tab w:val="left" w:pos="360"/>
        </w:tabs>
        <w:ind w:left="360" w:hanging="360"/>
      </w:pPr>
      <w:rPr>
        <w:color w:val="auto"/>
      </w:rPr>
    </w:lvl>
  </w:abstractNum>
  <w:abstractNum w:abstractNumId="50">
    <w:nsid w:val="7DD23675"/>
    <w:multiLevelType w:val="multilevel"/>
    <w:tmpl w:val="7DD2367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7E5F464E"/>
    <w:multiLevelType w:val="multilevel"/>
    <w:tmpl w:val="7E5F464E"/>
    <w:lvl w:ilvl="0" w:tentative="0">
      <w:start w:val="1"/>
      <w:numFmt w:val="decimal"/>
      <w:lvlText w:val="%1."/>
      <w:lvlJc w:val="left"/>
      <w:pPr>
        <w:tabs>
          <w:tab w:val="left" w:pos="360"/>
        </w:tabs>
        <w:ind w:left="360" w:hanging="360"/>
      </w:pPr>
      <w:rPr>
        <w:b w:val="0"/>
        <w:color w:val="auto"/>
      </w:rPr>
    </w:lvl>
    <w:lvl w:ilvl="1" w:tentative="0">
      <w:start w:val="1"/>
      <w:numFmt w:val="decimal"/>
      <w:lvlText w:val="%2)"/>
      <w:lvlJc w:val="left"/>
      <w:pPr>
        <w:tabs>
          <w:tab w:val="left" w:pos="786"/>
        </w:tabs>
        <w:ind w:left="786" w:hanging="360"/>
      </w:pPr>
      <w:rPr>
        <w:b w:val="0"/>
        <w:color w:val="auto"/>
      </w:rPr>
    </w:lvl>
    <w:lvl w:ilvl="2" w:tentative="0">
      <w:start w:val="1"/>
      <w:numFmt w:val="decimal"/>
      <w:lvlText w:val="%3"/>
      <w:lvlJc w:val="left"/>
      <w:pPr>
        <w:tabs>
          <w:tab w:val="left" w:pos="2700"/>
        </w:tabs>
        <w:ind w:left="2700" w:hanging="360"/>
      </w:pPr>
      <w:rPr>
        <w:rFonts w:hint="default"/>
      </w:rPr>
    </w:lvl>
    <w:lvl w:ilvl="3" w:tentative="0">
      <w:start w:val="1"/>
      <w:numFmt w:val="lowerLetter"/>
      <w:lvlText w:val="%4)"/>
      <w:lvlJc w:val="left"/>
      <w:pPr>
        <w:ind w:left="3240" w:hanging="360"/>
      </w:pPr>
      <w:rPr>
        <w:rFonts w:hint="default"/>
        <w:b w:val="0"/>
        <w:color w:val="auto"/>
      </w:r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52">
    <w:nsid w:val="7EAC5B09"/>
    <w:multiLevelType w:val="multilevel"/>
    <w:tmpl w:val="7EAC5B0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3"/>
  </w:num>
  <w:num w:numId="3">
    <w:abstractNumId w:val="25"/>
  </w:num>
  <w:num w:numId="4">
    <w:abstractNumId w:val="24"/>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0"/>
  </w:num>
  <w:num w:numId="10">
    <w:abstractNumId w:val="21"/>
  </w:num>
  <w:num w:numId="11">
    <w:abstractNumId w:val="39"/>
  </w:num>
  <w:num w:numId="12">
    <w:abstractNumId w:val="15"/>
  </w:num>
  <w:num w:numId="13">
    <w:abstractNumId w:val="51"/>
  </w:num>
  <w:num w:numId="14">
    <w:abstractNumId w:val="4"/>
  </w:num>
  <w:num w:numId="15">
    <w:abstractNumId w:val="17"/>
  </w:num>
  <w:num w:numId="16">
    <w:abstractNumId w:val="34"/>
  </w:num>
  <w:num w:numId="17">
    <w:abstractNumId w:val="13"/>
  </w:num>
  <w:num w:numId="18">
    <w:abstractNumId w:val="26"/>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num>
  <w:num w:numId="21">
    <w:abstractNumId w:val="1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27"/>
  </w:num>
  <w:num w:numId="25">
    <w:abstractNumId w:val="47"/>
  </w:num>
  <w:num w:numId="26">
    <w:abstractNumId w:val="8"/>
  </w:num>
  <w:num w:numId="27">
    <w:abstractNumId w:val="2"/>
  </w:num>
  <w:num w:numId="28">
    <w:abstractNumId w:val="7"/>
  </w:num>
  <w:num w:numId="29">
    <w:abstractNumId w:val="32"/>
  </w:num>
  <w:num w:numId="30">
    <w:abstractNumId w:val="5"/>
  </w:num>
  <w:num w:numId="31">
    <w:abstractNumId w:val="41"/>
  </w:num>
  <w:num w:numId="32">
    <w:abstractNumId w:val="45"/>
    <w:lvlOverride w:ilvl="0">
      <w:startOverride w:val="1"/>
    </w:lvlOverride>
  </w:num>
  <w:num w:numId="33">
    <w:abstractNumId w:val="28"/>
  </w:num>
  <w:num w:numId="34">
    <w:abstractNumId w:val="36"/>
  </w:num>
  <w:num w:numId="35">
    <w:abstractNumId w:val="44"/>
  </w:num>
  <w:num w:numId="36">
    <w:abstractNumId w:val="14"/>
  </w:num>
  <w:num w:numId="37">
    <w:abstractNumId w:val="52"/>
  </w:num>
  <w:num w:numId="38">
    <w:abstractNumId w:val="30"/>
  </w:num>
  <w:num w:numId="39">
    <w:abstractNumId w:val="37"/>
  </w:num>
  <w:num w:numId="40">
    <w:abstractNumId w:val="31"/>
  </w:num>
  <w:num w:numId="41">
    <w:abstractNumId w:val="50"/>
  </w:num>
  <w:num w:numId="42">
    <w:abstractNumId w:val="29"/>
  </w:num>
  <w:num w:numId="43">
    <w:abstractNumId w:val="23"/>
  </w:num>
  <w:num w:numId="44">
    <w:abstractNumId w:val="22"/>
  </w:num>
  <w:num w:numId="45">
    <w:abstractNumId w:val="42"/>
    <w:lvlOverride w:ilvl="0">
      <w:startOverride w:val="1"/>
    </w:lvlOverride>
  </w:num>
  <w:num w:numId="46">
    <w:abstractNumId w:val="33"/>
  </w:num>
  <w:num w:numId="47">
    <w:abstractNumId w:val="43"/>
  </w:num>
  <w:num w:numId="48">
    <w:abstractNumId w:val="38"/>
  </w:num>
  <w:num w:numId="49">
    <w:abstractNumId w:val="40"/>
  </w:num>
  <w:num w:numId="50">
    <w:abstractNumId w:val="11"/>
  </w:num>
  <w:num w:numId="51">
    <w:abstractNumId w:val="20"/>
  </w:num>
  <w:num w:numId="52">
    <w:abstractNumId w:val="12"/>
  </w:num>
  <w:num w:numId="53">
    <w:abstractNumId w:val="0"/>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F7"/>
    <w:rsid w:val="000006C3"/>
    <w:rsid w:val="00000E69"/>
    <w:rsid w:val="00001099"/>
    <w:rsid w:val="00006BF0"/>
    <w:rsid w:val="000105E1"/>
    <w:rsid w:val="00014ACA"/>
    <w:rsid w:val="00015ACC"/>
    <w:rsid w:val="00020C7A"/>
    <w:rsid w:val="00022BC6"/>
    <w:rsid w:val="000230C3"/>
    <w:rsid w:val="000244E3"/>
    <w:rsid w:val="00025381"/>
    <w:rsid w:val="0002548B"/>
    <w:rsid w:val="00025CC3"/>
    <w:rsid w:val="00026155"/>
    <w:rsid w:val="0003068F"/>
    <w:rsid w:val="00032207"/>
    <w:rsid w:val="000333C6"/>
    <w:rsid w:val="00033F51"/>
    <w:rsid w:val="0004350F"/>
    <w:rsid w:val="00045939"/>
    <w:rsid w:val="00045C2A"/>
    <w:rsid w:val="000465F1"/>
    <w:rsid w:val="00046B66"/>
    <w:rsid w:val="00047256"/>
    <w:rsid w:val="00050AD3"/>
    <w:rsid w:val="00052443"/>
    <w:rsid w:val="0005262B"/>
    <w:rsid w:val="00052DF6"/>
    <w:rsid w:val="00055B8D"/>
    <w:rsid w:val="00056B79"/>
    <w:rsid w:val="00060671"/>
    <w:rsid w:val="000608DB"/>
    <w:rsid w:val="000629B7"/>
    <w:rsid w:val="00062E2E"/>
    <w:rsid w:val="00063630"/>
    <w:rsid w:val="00063937"/>
    <w:rsid w:val="00064A3B"/>
    <w:rsid w:val="00064BB7"/>
    <w:rsid w:val="00065824"/>
    <w:rsid w:val="000672E5"/>
    <w:rsid w:val="00067417"/>
    <w:rsid w:val="00067E83"/>
    <w:rsid w:val="00071F77"/>
    <w:rsid w:val="00072478"/>
    <w:rsid w:val="00074462"/>
    <w:rsid w:val="000763B3"/>
    <w:rsid w:val="00076E43"/>
    <w:rsid w:val="00077F9F"/>
    <w:rsid w:val="00081AD4"/>
    <w:rsid w:val="00081DED"/>
    <w:rsid w:val="000823EF"/>
    <w:rsid w:val="0008356E"/>
    <w:rsid w:val="00084B3D"/>
    <w:rsid w:val="00085D4C"/>
    <w:rsid w:val="000872A3"/>
    <w:rsid w:val="0008742D"/>
    <w:rsid w:val="000878DD"/>
    <w:rsid w:val="00090287"/>
    <w:rsid w:val="00091282"/>
    <w:rsid w:val="00092394"/>
    <w:rsid w:val="00094551"/>
    <w:rsid w:val="0009467D"/>
    <w:rsid w:val="00094F74"/>
    <w:rsid w:val="0009631A"/>
    <w:rsid w:val="000A0466"/>
    <w:rsid w:val="000A09F2"/>
    <w:rsid w:val="000A1892"/>
    <w:rsid w:val="000A2C32"/>
    <w:rsid w:val="000A6B94"/>
    <w:rsid w:val="000B0189"/>
    <w:rsid w:val="000B097D"/>
    <w:rsid w:val="000B27E8"/>
    <w:rsid w:val="000B4422"/>
    <w:rsid w:val="000B5B62"/>
    <w:rsid w:val="000B5B8D"/>
    <w:rsid w:val="000B6816"/>
    <w:rsid w:val="000C01E5"/>
    <w:rsid w:val="000C1677"/>
    <w:rsid w:val="000C2F3E"/>
    <w:rsid w:val="000C386E"/>
    <w:rsid w:val="000C4EE5"/>
    <w:rsid w:val="000C5950"/>
    <w:rsid w:val="000C5984"/>
    <w:rsid w:val="000C5CD6"/>
    <w:rsid w:val="000C76D3"/>
    <w:rsid w:val="000D0950"/>
    <w:rsid w:val="000D2459"/>
    <w:rsid w:val="000D3A61"/>
    <w:rsid w:val="000D3C73"/>
    <w:rsid w:val="000D5EA7"/>
    <w:rsid w:val="000D6076"/>
    <w:rsid w:val="000D76C5"/>
    <w:rsid w:val="000E6851"/>
    <w:rsid w:val="000E6AAF"/>
    <w:rsid w:val="000E7308"/>
    <w:rsid w:val="000E7FA9"/>
    <w:rsid w:val="000F20F0"/>
    <w:rsid w:val="000F2178"/>
    <w:rsid w:val="000F322A"/>
    <w:rsid w:val="000F4AA9"/>
    <w:rsid w:val="000F4CE7"/>
    <w:rsid w:val="000F507B"/>
    <w:rsid w:val="000F58DC"/>
    <w:rsid w:val="000F7B64"/>
    <w:rsid w:val="001043BB"/>
    <w:rsid w:val="00105B35"/>
    <w:rsid w:val="00106BF1"/>
    <w:rsid w:val="001071DD"/>
    <w:rsid w:val="001109B3"/>
    <w:rsid w:val="0011212B"/>
    <w:rsid w:val="001138CF"/>
    <w:rsid w:val="00113C85"/>
    <w:rsid w:val="00115132"/>
    <w:rsid w:val="00120719"/>
    <w:rsid w:val="00120E20"/>
    <w:rsid w:val="00122231"/>
    <w:rsid w:val="00122BA0"/>
    <w:rsid w:val="0012443F"/>
    <w:rsid w:val="00124B92"/>
    <w:rsid w:val="001259DE"/>
    <w:rsid w:val="00125D5E"/>
    <w:rsid w:val="00125F49"/>
    <w:rsid w:val="00127D6A"/>
    <w:rsid w:val="0013212E"/>
    <w:rsid w:val="00133134"/>
    <w:rsid w:val="001337E9"/>
    <w:rsid w:val="00134326"/>
    <w:rsid w:val="00135275"/>
    <w:rsid w:val="001355BA"/>
    <w:rsid w:val="00135CB5"/>
    <w:rsid w:val="00137EAC"/>
    <w:rsid w:val="001409C3"/>
    <w:rsid w:val="00140B8E"/>
    <w:rsid w:val="00140EAF"/>
    <w:rsid w:val="00141C87"/>
    <w:rsid w:val="00141F25"/>
    <w:rsid w:val="001423A1"/>
    <w:rsid w:val="00143F0B"/>
    <w:rsid w:val="00144838"/>
    <w:rsid w:val="00144AA0"/>
    <w:rsid w:val="00145B74"/>
    <w:rsid w:val="00145D56"/>
    <w:rsid w:val="00145FBC"/>
    <w:rsid w:val="00146C4B"/>
    <w:rsid w:val="0015176A"/>
    <w:rsid w:val="00152AEB"/>
    <w:rsid w:val="00153AB3"/>
    <w:rsid w:val="00155697"/>
    <w:rsid w:val="001556B3"/>
    <w:rsid w:val="00157608"/>
    <w:rsid w:val="00164319"/>
    <w:rsid w:val="00164B21"/>
    <w:rsid w:val="00165376"/>
    <w:rsid w:val="00165F98"/>
    <w:rsid w:val="0017015E"/>
    <w:rsid w:val="001705F0"/>
    <w:rsid w:val="00171027"/>
    <w:rsid w:val="00171DE1"/>
    <w:rsid w:val="00172FBB"/>
    <w:rsid w:val="001739E0"/>
    <w:rsid w:val="001749FD"/>
    <w:rsid w:val="00175E24"/>
    <w:rsid w:val="001774F1"/>
    <w:rsid w:val="00183608"/>
    <w:rsid w:val="0018408B"/>
    <w:rsid w:val="00184E4C"/>
    <w:rsid w:val="001852F2"/>
    <w:rsid w:val="00187BE0"/>
    <w:rsid w:val="0019156D"/>
    <w:rsid w:val="0019584F"/>
    <w:rsid w:val="00195C1D"/>
    <w:rsid w:val="00195DB1"/>
    <w:rsid w:val="00195E73"/>
    <w:rsid w:val="001960C0"/>
    <w:rsid w:val="00196712"/>
    <w:rsid w:val="00196A04"/>
    <w:rsid w:val="0019709D"/>
    <w:rsid w:val="001A030F"/>
    <w:rsid w:val="001A109B"/>
    <w:rsid w:val="001A1EA2"/>
    <w:rsid w:val="001A7109"/>
    <w:rsid w:val="001B1458"/>
    <w:rsid w:val="001B23D9"/>
    <w:rsid w:val="001B27D7"/>
    <w:rsid w:val="001B4235"/>
    <w:rsid w:val="001B4CDB"/>
    <w:rsid w:val="001B763A"/>
    <w:rsid w:val="001B782C"/>
    <w:rsid w:val="001C1457"/>
    <w:rsid w:val="001C25BD"/>
    <w:rsid w:val="001C2B3B"/>
    <w:rsid w:val="001C3451"/>
    <w:rsid w:val="001C4316"/>
    <w:rsid w:val="001D276F"/>
    <w:rsid w:val="001D35ED"/>
    <w:rsid w:val="001D718D"/>
    <w:rsid w:val="001D7593"/>
    <w:rsid w:val="001D7BA7"/>
    <w:rsid w:val="001E0DF3"/>
    <w:rsid w:val="001E431C"/>
    <w:rsid w:val="001E4AC0"/>
    <w:rsid w:val="001E67E6"/>
    <w:rsid w:val="001E7329"/>
    <w:rsid w:val="001F09E6"/>
    <w:rsid w:val="001F1A47"/>
    <w:rsid w:val="001F35C7"/>
    <w:rsid w:val="001F4D64"/>
    <w:rsid w:val="001F61A0"/>
    <w:rsid w:val="001F6255"/>
    <w:rsid w:val="001F63DB"/>
    <w:rsid w:val="00201F5C"/>
    <w:rsid w:val="00203B77"/>
    <w:rsid w:val="00204751"/>
    <w:rsid w:val="00204C30"/>
    <w:rsid w:val="00205825"/>
    <w:rsid w:val="002060C0"/>
    <w:rsid w:val="00206B96"/>
    <w:rsid w:val="00206D1D"/>
    <w:rsid w:val="00206DB4"/>
    <w:rsid w:val="002114ED"/>
    <w:rsid w:val="00212C61"/>
    <w:rsid w:val="00213982"/>
    <w:rsid w:val="00213F6F"/>
    <w:rsid w:val="00217485"/>
    <w:rsid w:val="00220DC8"/>
    <w:rsid w:val="00223194"/>
    <w:rsid w:val="00223DB7"/>
    <w:rsid w:val="002266CF"/>
    <w:rsid w:val="00227B22"/>
    <w:rsid w:val="0023139E"/>
    <w:rsid w:val="002335A1"/>
    <w:rsid w:val="00235D81"/>
    <w:rsid w:val="00240E5D"/>
    <w:rsid w:val="00241953"/>
    <w:rsid w:val="0024219E"/>
    <w:rsid w:val="00242EA0"/>
    <w:rsid w:val="00244AB7"/>
    <w:rsid w:val="002460C3"/>
    <w:rsid w:val="0024634A"/>
    <w:rsid w:val="00247288"/>
    <w:rsid w:val="00250D25"/>
    <w:rsid w:val="0025146F"/>
    <w:rsid w:val="002514A7"/>
    <w:rsid w:val="002524A5"/>
    <w:rsid w:val="00254738"/>
    <w:rsid w:val="00256857"/>
    <w:rsid w:val="00260A77"/>
    <w:rsid w:val="00262BBF"/>
    <w:rsid w:val="00267767"/>
    <w:rsid w:val="00270349"/>
    <w:rsid w:val="00270720"/>
    <w:rsid w:val="00270A77"/>
    <w:rsid w:val="00272575"/>
    <w:rsid w:val="002730B4"/>
    <w:rsid w:val="00274460"/>
    <w:rsid w:val="00275C15"/>
    <w:rsid w:val="00277803"/>
    <w:rsid w:val="00280AD8"/>
    <w:rsid w:val="00282AAA"/>
    <w:rsid w:val="00284189"/>
    <w:rsid w:val="00284A41"/>
    <w:rsid w:val="002864BC"/>
    <w:rsid w:val="00287BF2"/>
    <w:rsid w:val="002900F0"/>
    <w:rsid w:val="0029110A"/>
    <w:rsid w:val="00291E25"/>
    <w:rsid w:val="0029333C"/>
    <w:rsid w:val="00294A78"/>
    <w:rsid w:val="00294CDF"/>
    <w:rsid w:val="002973D0"/>
    <w:rsid w:val="002A3300"/>
    <w:rsid w:val="002A411E"/>
    <w:rsid w:val="002A4AFE"/>
    <w:rsid w:val="002A5BDD"/>
    <w:rsid w:val="002A69E4"/>
    <w:rsid w:val="002B0637"/>
    <w:rsid w:val="002B390E"/>
    <w:rsid w:val="002B396E"/>
    <w:rsid w:val="002B68B5"/>
    <w:rsid w:val="002B6B40"/>
    <w:rsid w:val="002C059C"/>
    <w:rsid w:val="002C2B19"/>
    <w:rsid w:val="002C3588"/>
    <w:rsid w:val="002C3E52"/>
    <w:rsid w:val="002C4DFC"/>
    <w:rsid w:val="002C6201"/>
    <w:rsid w:val="002C6593"/>
    <w:rsid w:val="002D4227"/>
    <w:rsid w:val="002D46EA"/>
    <w:rsid w:val="002D63BD"/>
    <w:rsid w:val="002D6582"/>
    <w:rsid w:val="002D6C0C"/>
    <w:rsid w:val="002D765C"/>
    <w:rsid w:val="002E0274"/>
    <w:rsid w:val="002E0B15"/>
    <w:rsid w:val="002E0DE2"/>
    <w:rsid w:val="002E1109"/>
    <w:rsid w:val="002E1E8C"/>
    <w:rsid w:val="002E3A9C"/>
    <w:rsid w:val="002E46BF"/>
    <w:rsid w:val="002E6327"/>
    <w:rsid w:val="002E6C5C"/>
    <w:rsid w:val="002E7C11"/>
    <w:rsid w:val="002E7DD9"/>
    <w:rsid w:val="002F19D9"/>
    <w:rsid w:val="002F257B"/>
    <w:rsid w:val="002F5E27"/>
    <w:rsid w:val="002F6F52"/>
    <w:rsid w:val="002F7963"/>
    <w:rsid w:val="00300F10"/>
    <w:rsid w:val="00301D22"/>
    <w:rsid w:val="0030256B"/>
    <w:rsid w:val="003033F2"/>
    <w:rsid w:val="00303B38"/>
    <w:rsid w:val="00306EF2"/>
    <w:rsid w:val="0031111E"/>
    <w:rsid w:val="0032084A"/>
    <w:rsid w:val="00324B26"/>
    <w:rsid w:val="00324BF3"/>
    <w:rsid w:val="00324CB6"/>
    <w:rsid w:val="003260C9"/>
    <w:rsid w:val="0032652B"/>
    <w:rsid w:val="00326622"/>
    <w:rsid w:val="00326D45"/>
    <w:rsid w:val="003326FC"/>
    <w:rsid w:val="00334263"/>
    <w:rsid w:val="00334313"/>
    <w:rsid w:val="00336E06"/>
    <w:rsid w:val="003372EE"/>
    <w:rsid w:val="0033779E"/>
    <w:rsid w:val="0034332D"/>
    <w:rsid w:val="003434B5"/>
    <w:rsid w:val="00343B5F"/>
    <w:rsid w:val="00344D03"/>
    <w:rsid w:val="00346717"/>
    <w:rsid w:val="00347F6E"/>
    <w:rsid w:val="003502A3"/>
    <w:rsid w:val="00355365"/>
    <w:rsid w:val="003607B0"/>
    <w:rsid w:val="00364675"/>
    <w:rsid w:val="00364684"/>
    <w:rsid w:val="00365F52"/>
    <w:rsid w:val="00367545"/>
    <w:rsid w:val="003678DA"/>
    <w:rsid w:val="00372CE7"/>
    <w:rsid w:val="003730B7"/>
    <w:rsid w:val="00376A4E"/>
    <w:rsid w:val="003771B1"/>
    <w:rsid w:val="003832CE"/>
    <w:rsid w:val="0038362F"/>
    <w:rsid w:val="0038410C"/>
    <w:rsid w:val="00384E83"/>
    <w:rsid w:val="003872DB"/>
    <w:rsid w:val="0039103C"/>
    <w:rsid w:val="00393C61"/>
    <w:rsid w:val="0039782D"/>
    <w:rsid w:val="00397A1A"/>
    <w:rsid w:val="003A05D1"/>
    <w:rsid w:val="003A2B2F"/>
    <w:rsid w:val="003A46D4"/>
    <w:rsid w:val="003A5523"/>
    <w:rsid w:val="003A5745"/>
    <w:rsid w:val="003A5F3F"/>
    <w:rsid w:val="003A6CC2"/>
    <w:rsid w:val="003B2331"/>
    <w:rsid w:val="003B4658"/>
    <w:rsid w:val="003B4911"/>
    <w:rsid w:val="003B620E"/>
    <w:rsid w:val="003B6D6F"/>
    <w:rsid w:val="003B789A"/>
    <w:rsid w:val="003C04CF"/>
    <w:rsid w:val="003C2324"/>
    <w:rsid w:val="003C31BE"/>
    <w:rsid w:val="003C324E"/>
    <w:rsid w:val="003C3549"/>
    <w:rsid w:val="003C3D86"/>
    <w:rsid w:val="003C463D"/>
    <w:rsid w:val="003C5AFF"/>
    <w:rsid w:val="003C6438"/>
    <w:rsid w:val="003C6958"/>
    <w:rsid w:val="003C76E2"/>
    <w:rsid w:val="003D1AB8"/>
    <w:rsid w:val="003D1FEE"/>
    <w:rsid w:val="003D3312"/>
    <w:rsid w:val="003D3721"/>
    <w:rsid w:val="003D5B6A"/>
    <w:rsid w:val="003D7729"/>
    <w:rsid w:val="003E14BB"/>
    <w:rsid w:val="003E18F2"/>
    <w:rsid w:val="003E2244"/>
    <w:rsid w:val="003E2F8B"/>
    <w:rsid w:val="003E415C"/>
    <w:rsid w:val="003E568A"/>
    <w:rsid w:val="003F06DC"/>
    <w:rsid w:val="003F2346"/>
    <w:rsid w:val="003F5562"/>
    <w:rsid w:val="003F7149"/>
    <w:rsid w:val="003F7535"/>
    <w:rsid w:val="004003B5"/>
    <w:rsid w:val="004030C9"/>
    <w:rsid w:val="004048CF"/>
    <w:rsid w:val="00406CD2"/>
    <w:rsid w:val="0040735E"/>
    <w:rsid w:val="00411137"/>
    <w:rsid w:val="00413321"/>
    <w:rsid w:val="00415ED2"/>
    <w:rsid w:val="00417C96"/>
    <w:rsid w:val="004209CC"/>
    <w:rsid w:val="00425B45"/>
    <w:rsid w:val="00425DA9"/>
    <w:rsid w:val="00426299"/>
    <w:rsid w:val="00437BEC"/>
    <w:rsid w:val="0044074E"/>
    <w:rsid w:val="004431CC"/>
    <w:rsid w:val="00443E55"/>
    <w:rsid w:val="004446F0"/>
    <w:rsid w:val="00445557"/>
    <w:rsid w:val="00446077"/>
    <w:rsid w:val="00446214"/>
    <w:rsid w:val="004464AD"/>
    <w:rsid w:val="004475F3"/>
    <w:rsid w:val="0045068B"/>
    <w:rsid w:val="00450C7A"/>
    <w:rsid w:val="00451B98"/>
    <w:rsid w:val="0045254A"/>
    <w:rsid w:val="00453C5A"/>
    <w:rsid w:val="00453F62"/>
    <w:rsid w:val="00455C29"/>
    <w:rsid w:val="00457E7D"/>
    <w:rsid w:val="004607E8"/>
    <w:rsid w:val="004614C6"/>
    <w:rsid w:val="00461FA6"/>
    <w:rsid w:val="004630C1"/>
    <w:rsid w:val="004643C3"/>
    <w:rsid w:val="00464566"/>
    <w:rsid w:val="00466079"/>
    <w:rsid w:val="00466969"/>
    <w:rsid w:val="0046734E"/>
    <w:rsid w:val="00467884"/>
    <w:rsid w:val="00471536"/>
    <w:rsid w:val="004728CA"/>
    <w:rsid w:val="00472C33"/>
    <w:rsid w:val="00473EE0"/>
    <w:rsid w:val="004740CA"/>
    <w:rsid w:val="00474C67"/>
    <w:rsid w:val="0047531B"/>
    <w:rsid w:val="00475DB1"/>
    <w:rsid w:val="00476087"/>
    <w:rsid w:val="00482D35"/>
    <w:rsid w:val="0048392E"/>
    <w:rsid w:val="00483D04"/>
    <w:rsid w:val="00484FC7"/>
    <w:rsid w:val="0048569E"/>
    <w:rsid w:val="00485B9D"/>
    <w:rsid w:val="00485C96"/>
    <w:rsid w:val="00485E69"/>
    <w:rsid w:val="00487A1D"/>
    <w:rsid w:val="004919D5"/>
    <w:rsid w:val="00492D9D"/>
    <w:rsid w:val="00494D3C"/>
    <w:rsid w:val="00496C05"/>
    <w:rsid w:val="00496DE2"/>
    <w:rsid w:val="004A003C"/>
    <w:rsid w:val="004A0DEF"/>
    <w:rsid w:val="004A666E"/>
    <w:rsid w:val="004A7A88"/>
    <w:rsid w:val="004B07BE"/>
    <w:rsid w:val="004B0CF5"/>
    <w:rsid w:val="004B2D7B"/>
    <w:rsid w:val="004B6EF1"/>
    <w:rsid w:val="004C52B8"/>
    <w:rsid w:val="004C758B"/>
    <w:rsid w:val="004D09FA"/>
    <w:rsid w:val="004D1AC8"/>
    <w:rsid w:val="004D25DB"/>
    <w:rsid w:val="004D2E20"/>
    <w:rsid w:val="004D4CBB"/>
    <w:rsid w:val="004D581F"/>
    <w:rsid w:val="004D7971"/>
    <w:rsid w:val="004E2A89"/>
    <w:rsid w:val="004E2DAC"/>
    <w:rsid w:val="004E4C24"/>
    <w:rsid w:val="004E4EB7"/>
    <w:rsid w:val="004E5B30"/>
    <w:rsid w:val="004E7C5E"/>
    <w:rsid w:val="004E7F16"/>
    <w:rsid w:val="004F0269"/>
    <w:rsid w:val="004F12D7"/>
    <w:rsid w:val="004F1480"/>
    <w:rsid w:val="004F1844"/>
    <w:rsid w:val="004F3A1F"/>
    <w:rsid w:val="004F4F28"/>
    <w:rsid w:val="004F55C1"/>
    <w:rsid w:val="005008A4"/>
    <w:rsid w:val="00502C06"/>
    <w:rsid w:val="00505A13"/>
    <w:rsid w:val="005063AD"/>
    <w:rsid w:val="00506498"/>
    <w:rsid w:val="005101DB"/>
    <w:rsid w:val="00510682"/>
    <w:rsid w:val="00511039"/>
    <w:rsid w:val="00512020"/>
    <w:rsid w:val="00512623"/>
    <w:rsid w:val="00513330"/>
    <w:rsid w:val="00516AB1"/>
    <w:rsid w:val="00516D21"/>
    <w:rsid w:val="00517780"/>
    <w:rsid w:val="005177D1"/>
    <w:rsid w:val="005217A6"/>
    <w:rsid w:val="00522B7D"/>
    <w:rsid w:val="00523A92"/>
    <w:rsid w:val="0052587C"/>
    <w:rsid w:val="00525C36"/>
    <w:rsid w:val="00526E0C"/>
    <w:rsid w:val="00527551"/>
    <w:rsid w:val="0053049B"/>
    <w:rsid w:val="00533C9D"/>
    <w:rsid w:val="0053412B"/>
    <w:rsid w:val="00535FE5"/>
    <w:rsid w:val="005409BA"/>
    <w:rsid w:val="00540E89"/>
    <w:rsid w:val="005414CF"/>
    <w:rsid w:val="00541A49"/>
    <w:rsid w:val="00541C06"/>
    <w:rsid w:val="00541D13"/>
    <w:rsid w:val="0054264E"/>
    <w:rsid w:val="00542703"/>
    <w:rsid w:val="00542AA4"/>
    <w:rsid w:val="005457E5"/>
    <w:rsid w:val="00545998"/>
    <w:rsid w:val="00546669"/>
    <w:rsid w:val="00550D58"/>
    <w:rsid w:val="00550E2D"/>
    <w:rsid w:val="00551831"/>
    <w:rsid w:val="00552386"/>
    <w:rsid w:val="00552B8C"/>
    <w:rsid w:val="00552FAF"/>
    <w:rsid w:val="00554175"/>
    <w:rsid w:val="00556360"/>
    <w:rsid w:val="00556E6F"/>
    <w:rsid w:val="00560AC4"/>
    <w:rsid w:val="00563069"/>
    <w:rsid w:val="005644FC"/>
    <w:rsid w:val="0056507E"/>
    <w:rsid w:val="00565861"/>
    <w:rsid w:val="005676FD"/>
    <w:rsid w:val="00570022"/>
    <w:rsid w:val="0057220A"/>
    <w:rsid w:val="0057557A"/>
    <w:rsid w:val="00575AAB"/>
    <w:rsid w:val="00575F04"/>
    <w:rsid w:val="005761E9"/>
    <w:rsid w:val="00580B51"/>
    <w:rsid w:val="00581279"/>
    <w:rsid w:val="005823D0"/>
    <w:rsid w:val="00582D5C"/>
    <w:rsid w:val="00582EA5"/>
    <w:rsid w:val="005831FC"/>
    <w:rsid w:val="00584473"/>
    <w:rsid w:val="005845BC"/>
    <w:rsid w:val="00584880"/>
    <w:rsid w:val="00585420"/>
    <w:rsid w:val="00586527"/>
    <w:rsid w:val="00586CB4"/>
    <w:rsid w:val="00587343"/>
    <w:rsid w:val="00590E7E"/>
    <w:rsid w:val="00592368"/>
    <w:rsid w:val="00594B51"/>
    <w:rsid w:val="00595D71"/>
    <w:rsid w:val="00597537"/>
    <w:rsid w:val="005A0870"/>
    <w:rsid w:val="005A34C9"/>
    <w:rsid w:val="005A40C4"/>
    <w:rsid w:val="005A5816"/>
    <w:rsid w:val="005A5E06"/>
    <w:rsid w:val="005B0641"/>
    <w:rsid w:val="005B0E45"/>
    <w:rsid w:val="005B1D09"/>
    <w:rsid w:val="005B2CDD"/>
    <w:rsid w:val="005B2F66"/>
    <w:rsid w:val="005B3777"/>
    <w:rsid w:val="005B4073"/>
    <w:rsid w:val="005B6E5F"/>
    <w:rsid w:val="005C07C4"/>
    <w:rsid w:val="005C1E1A"/>
    <w:rsid w:val="005C454F"/>
    <w:rsid w:val="005C6CDC"/>
    <w:rsid w:val="005C6E5C"/>
    <w:rsid w:val="005C7238"/>
    <w:rsid w:val="005D1035"/>
    <w:rsid w:val="005D149C"/>
    <w:rsid w:val="005D4780"/>
    <w:rsid w:val="005D6501"/>
    <w:rsid w:val="005D69DE"/>
    <w:rsid w:val="005D6B16"/>
    <w:rsid w:val="005E07A1"/>
    <w:rsid w:val="005E0A84"/>
    <w:rsid w:val="005E1FE7"/>
    <w:rsid w:val="005E38EC"/>
    <w:rsid w:val="005E772F"/>
    <w:rsid w:val="005E7AD8"/>
    <w:rsid w:val="005F4CB7"/>
    <w:rsid w:val="005F7453"/>
    <w:rsid w:val="005F7EC6"/>
    <w:rsid w:val="006004D8"/>
    <w:rsid w:val="00602530"/>
    <w:rsid w:val="00602BF9"/>
    <w:rsid w:val="00603568"/>
    <w:rsid w:val="00604530"/>
    <w:rsid w:val="00614B53"/>
    <w:rsid w:val="00615426"/>
    <w:rsid w:val="00616F00"/>
    <w:rsid w:val="006171AF"/>
    <w:rsid w:val="00617DF8"/>
    <w:rsid w:val="0062024B"/>
    <w:rsid w:val="00620CCB"/>
    <w:rsid w:val="006244A4"/>
    <w:rsid w:val="00624D09"/>
    <w:rsid w:val="00625B47"/>
    <w:rsid w:val="0063047D"/>
    <w:rsid w:val="00630E39"/>
    <w:rsid w:val="00631996"/>
    <w:rsid w:val="00632E0B"/>
    <w:rsid w:val="006344BF"/>
    <w:rsid w:val="00634994"/>
    <w:rsid w:val="00635682"/>
    <w:rsid w:val="006371D9"/>
    <w:rsid w:val="00645ADA"/>
    <w:rsid w:val="00651B4A"/>
    <w:rsid w:val="00651FCA"/>
    <w:rsid w:val="00653A6E"/>
    <w:rsid w:val="00654B3B"/>
    <w:rsid w:val="00656658"/>
    <w:rsid w:val="00656CC7"/>
    <w:rsid w:val="00657DF9"/>
    <w:rsid w:val="00660950"/>
    <w:rsid w:val="0066273D"/>
    <w:rsid w:val="006651C3"/>
    <w:rsid w:val="00665BA5"/>
    <w:rsid w:val="0066697B"/>
    <w:rsid w:val="00670FCC"/>
    <w:rsid w:val="00672512"/>
    <w:rsid w:val="00672E35"/>
    <w:rsid w:val="0067541F"/>
    <w:rsid w:val="006756EB"/>
    <w:rsid w:val="00676A29"/>
    <w:rsid w:val="00680F3D"/>
    <w:rsid w:val="006819A4"/>
    <w:rsid w:val="00681E6E"/>
    <w:rsid w:val="00682BE1"/>
    <w:rsid w:val="00685054"/>
    <w:rsid w:val="00685260"/>
    <w:rsid w:val="0068587A"/>
    <w:rsid w:val="00686CFC"/>
    <w:rsid w:val="006903A2"/>
    <w:rsid w:val="0069068E"/>
    <w:rsid w:val="00691E6E"/>
    <w:rsid w:val="00692A08"/>
    <w:rsid w:val="00694FF0"/>
    <w:rsid w:val="00696A9C"/>
    <w:rsid w:val="00697734"/>
    <w:rsid w:val="006A3FC5"/>
    <w:rsid w:val="006A4988"/>
    <w:rsid w:val="006A49F4"/>
    <w:rsid w:val="006A651C"/>
    <w:rsid w:val="006A6D15"/>
    <w:rsid w:val="006A79E9"/>
    <w:rsid w:val="006B278F"/>
    <w:rsid w:val="006B27FE"/>
    <w:rsid w:val="006B2A90"/>
    <w:rsid w:val="006B53A5"/>
    <w:rsid w:val="006B71E4"/>
    <w:rsid w:val="006B7672"/>
    <w:rsid w:val="006C3CB1"/>
    <w:rsid w:val="006C4FEB"/>
    <w:rsid w:val="006C718B"/>
    <w:rsid w:val="006C7802"/>
    <w:rsid w:val="006C7E6E"/>
    <w:rsid w:val="006D0966"/>
    <w:rsid w:val="006D1601"/>
    <w:rsid w:val="006D307A"/>
    <w:rsid w:val="006D34DC"/>
    <w:rsid w:val="006D3A8C"/>
    <w:rsid w:val="006D3B04"/>
    <w:rsid w:val="006D3F11"/>
    <w:rsid w:val="006D5163"/>
    <w:rsid w:val="006D684E"/>
    <w:rsid w:val="006D7B5E"/>
    <w:rsid w:val="006E0E38"/>
    <w:rsid w:val="006E108F"/>
    <w:rsid w:val="006E10A4"/>
    <w:rsid w:val="006E268D"/>
    <w:rsid w:val="006E58C1"/>
    <w:rsid w:val="006E72A7"/>
    <w:rsid w:val="006F07D5"/>
    <w:rsid w:val="006F0D9A"/>
    <w:rsid w:val="006F1202"/>
    <w:rsid w:val="006F1456"/>
    <w:rsid w:val="006F2C4F"/>
    <w:rsid w:val="006F30CF"/>
    <w:rsid w:val="006F3185"/>
    <w:rsid w:val="006F3380"/>
    <w:rsid w:val="007039A4"/>
    <w:rsid w:val="007044BD"/>
    <w:rsid w:val="007045FA"/>
    <w:rsid w:val="00704B5F"/>
    <w:rsid w:val="00705A3F"/>
    <w:rsid w:val="00705AEA"/>
    <w:rsid w:val="00707B7F"/>
    <w:rsid w:val="007100A6"/>
    <w:rsid w:val="0071019E"/>
    <w:rsid w:val="0071066B"/>
    <w:rsid w:val="00710C35"/>
    <w:rsid w:val="00712DE1"/>
    <w:rsid w:val="00712E3F"/>
    <w:rsid w:val="00716C3C"/>
    <w:rsid w:val="0072040B"/>
    <w:rsid w:val="007208AA"/>
    <w:rsid w:val="00722498"/>
    <w:rsid w:val="00722523"/>
    <w:rsid w:val="007240D9"/>
    <w:rsid w:val="00724184"/>
    <w:rsid w:val="0072552B"/>
    <w:rsid w:val="0072749D"/>
    <w:rsid w:val="00732F88"/>
    <w:rsid w:val="0073386B"/>
    <w:rsid w:val="00737445"/>
    <w:rsid w:val="007376D2"/>
    <w:rsid w:val="007405BD"/>
    <w:rsid w:val="00742323"/>
    <w:rsid w:val="007431F7"/>
    <w:rsid w:val="00745E5B"/>
    <w:rsid w:val="00754BDF"/>
    <w:rsid w:val="0075599C"/>
    <w:rsid w:val="007574D3"/>
    <w:rsid w:val="007606F7"/>
    <w:rsid w:val="00760997"/>
    <w:rsid w:val="007613AE"/>
    <w:rsid w:val="0076307F"/>
    <w:rsid w:val="00764254"/>
    <w:rsid w:val="007643AF"/>
    <w:rsid w:val="007647BE"/>
    <w:rsid w:val="00765B25"/>
    <w:rsid w:val="007709A4"/>
    <w:rsid w:val="00771240"/>
    <w:rsid w:val="00771BC0"/>
    <w:rsid w:val="00772362"/>
    <w:rsid w:val="00774C33"/>
    <w:rsid w:val="00775CE9"/>
    <w:rsid w:val="00776256"/>
    <w:rsid w:val="0077685F"/>
    <w:rsid w:val="00776A9B"/>
    <w:rsid w:val="00777D40"/>
    <w:rsid w:val="007805E1"/>
    <w:rsid w:val="00781A04"/>
    <w:rsid w:val="00781A9F"/>
    <w:rsid w:val="007824D2"/>
    <w:rsid w:val="00782BB9"/>
    <w:rsid w:val="00783711"/>
    <w:rsid w:val="007841AC"/>
    <w:rsid w:val="007854AC"/>
    <w:rsid w:val="007857B9"/>
    <w:rsid w:val="00786CCB"/>
    <w:rsid w:val="007879D9"/>
    <w:rsid w:val="00790445"/>
    <w:rsid w:val="00790C98"/>
    <w:rsid w:val="0079102B"/>
    <w:rsid w:val="00792A03"/>
    <w:rsid w:val="0079351C"/>
    <w:rsid w:val="00793AB9"/>
    <w:rsid w:val="007941E1"/>
    <w:rsid w:val="007943BA"/>
    <w:rsid w:val="0079545B"/>
    <w:rsid w:val="007A0FB8"/>
    <w:rsid w:val="007A132B"/>
    <w:rsid w:val="007A1374"/>
    <w:rsid w:val="007A492D"/>
    <w:rsid w:val="007A6FDA"/>
    <w:rsid w:val="007A72D8"/>
    <w:rsid w:val="007B2BBB"/>
    <w:rsid w:val="007B3826"/>
    <w:rsid w:val="007B46CC"/>
    <w:rsid w:val="007B59E7"/>
    <w:rsid w:val="007B6672"/>
    <w:rsid w:val="007C2914"/>
    <w:rsid w:val="007C2978"/>
    <w:rsid w:val="007C47B5"/>
    <w:rsid w:val="007C5395"/>
    <w:rsid w:val="007D027A"/>
    <w:rsid w:val="007D0BF9"/>
    <w:rsid w:val="007D3251"/>
    <w:rsid w:val="007D330F"/>
    <w:rsid w:val="007D4321"/>
    <w:rsid w:val="007D4E99"/>
    <w:rsid w:val="007D5118"/>
    <w:rsid w:val="007D6992"/>
    <w:rsid w:val="007D7321"/>
    <w:rsid w:val="007D7387"/>
    <w:rsid w:val="007E009C"/>
    <w:rsid w:val="007E0B73"/>
    <w:rsid w:val="007E60A6"/>
    <w:rsid w:val="007E6D02"/>
    <w:rsid w:val="007F0A53"/>
    <w:rsid w:val="007F0BDA"/>
    <w:rsid w:val="007F2806"/>
    <w:rsid w:val="007F362D"/>
    <w:rsid w:val="007F3E17"/>
    <w:rsid w:val="007F473B"/>
    <w:rsid w:val="007F70E2"/>
    <w:rsid w:val="0080097C"/>
    <w:rsid w:val="00804311"/>
    <w:rsid w:val="00804BA1"/>
    <w:rsid w:val="008050FB"/>
    <w:rsid w:val="00805313"/>
    <w:rsid w:val="00805A75"/>
    <w:rsid w:val="0080609F"/>
    <w:rsid w:val="00807823"/>
    <w:rsid w:val="008079FF"/>
    <w:rsid w:val="0081041F"/>
    <w:rsid w:val="0081068A"/>
    <w:rsid w:val="00812917"/>
    <w:rsid w:val="00814058"/>
    <w:rsid w:val="00816C42"/>
    <w:rsid w:val="00816CB3"/>
    <w:rsid w:val="0082079A"/>
    <w:rsid w:val="00822084"/>
    <w:rsid w:val="00822B2F"/>
    <w:rsid w:val="0082518A"/>
    <w:rsid w:val="0082549D"/>
    <w:rsid w:val="0082552A"/>
    <w:rsid w:val="0083295E"/>
    <w:rsid w:val="00833BF2"/>
    <w:rsid w:val="00833C43"/>
    <w:rsid w:val="00834259"/>
    <w:rsid w:val="00835054"/>
    <w:rsid w:val="00835393"/>
    <w:rsid w:val="00835CFC"/>
    <w:rsid w:val="0083742E"/>
    <w:rsid w:val="0084038A"/>
    <w:rsid w:val="00840489"/>
    <w:rsid w:val="00843589"/>
    <w:rsid w:val="00843C4F"/>
    <w:rsid w:val="0084431C"/>
    <w:rsid w:val="008478E1"/>
    <w:rsid w:val="00847B7D"/>
    <w:rsid w:val="0085027F"/>
    <w:rsid w:val="00850424"/>
    <w:rsid w:val="00851392"/>
    <w:rsid w:val="0085171D"/>
    <w:rsid w:val="00851B23"/>
    <w:rsid w:val="0085217C"/>
    <w:rsid w:val="0085356F"/>
    <w:rsid w:val="00854848"/>
    <w:rsid w:val="008605DB"/>
    <w:rsid w:val="00860FD5"/>
    <w:rsid w:val="00861E18"/>
    <w:rsid w:val="0086225C"/>
    <w:rsid w:val="00862730"/>
    <w:rsid w:val="00862C09"/>
    <w:rsid w:val="00864C2A"/>
    <w:rsid w:val="00864E9A"/>
    <w:rsid w:val="00866696"/>
    <w:rsid w:val="008674C5"/>
    <w:rsid w:val="00867C8B"/>
    <w:rsid w:val="0087046E"/>
    <w:rsid w:val="008727CC"/>
    <w:rsid w:val="00873B13"/>
    <w:rsid w:val="00873F08"/>
    <w:rsid w:val="00876D9A"/>
    <w:rsid w:val="00880361"/>
    <w:rsid w:val="00880AF9"/>
    <w:rsid w:val="00881793"/>
    <w:rsid w:val="00882B09"/>
    <w:rsid w:val="00885461"/>
    <w:rsid w:val="00885CE3"/>
    <w:rsid w:val="008861A8"/>
    <w:rsid w:val="008867B8"/>
    <w:rsid w:val="00886ECF"/>
    <w:rsid w:val="0088716E"/>
    <w:rsid w:val="00887213"/>
    <w:rsid w:val="0088780B"/>
    <w:rsid w:val="00887D86"/>
    <w:rsid w:val="00892992"/>
    <w:rsid w:val="0089355E"/>
    <w:rsid w:val="00894CAE"/>
    <w:rsid w:val="00897351"/>
    <w:rsid w:val="008A01B9"/>
    <w:rsid w:val="008A22B3"/>
    <w:rsid w:val="008A384B"/>
    <w:rsid w:val="008A60ED"/>
    <w:rsid w:val="008A61B8"/>
    <w:rsid w:val="008B084C"/>
    <w:rsid w:val="008B28D7"/>
    <w:rsid w:val="008C0420"/>
    <w:rsid w:val="008C2186"/>
    <w:rsid w:val="008C21AD"/>
    <w:rsid w:val="008D05D9"/>
    <w:rsid w:val="008D32BF"/>
    <w:rsid w:val="008D4B27"/>
    <w:rsid w:val="008D574B"/>
    <w:rsid w:val="008E19A9"/>
    <w:rsid w:val="008E3DA8"/>
    <w:rsid w:val="008E5623"/>
    <w:rsid w:val="008E62D0"/>
    <w:rsid w:val="008F0F18"/>
    <w:rsid w:val="008F6833"/>
    <w:rsid w:val="008F75E8"/>
    <w:rsid w:val="00904976"/>
    <w:rsid w:val="00904ED3"/>
    <w:rsid w:val="00905780"/>
    <w:rsid w:val="00905B79"/>
    <w:rsid w:val="009064C6"/>
    <w:rsid w:val="00906E6D"/>
    <w:rsid w:val="009071DE"/>
    <w:rsid w:val="00911414"/>
    <w:rsid w:val="00912C44"/>
    <w:rsid w:val="00913DF5"/>
    <w:rsid w:val="009153F8"/>
    <w:rsid w:val="0091568E"/>
    <w:rsid w:val="00917F37"/>
    <w:rsid w:val="009217E7"/>
    <w:rsid w:val="00923E83"/>
    <w:rsid w:val="00931EDB"/>
    <w:rsid w:val="0093499E"/>
    <w:rsid w:val="00935274"/>
    <w:rsid w:val="00937913"/>
    <w:rsid w:val="009406AF"/>
    <w:rsid w:val="00942E60"/>
    <w:rsid w:val="00947BF5"/>
    <w:rsid w:val="009500B6"/>
    <w:rsid w:val="00952135"/>
    <w:rsid w:val="00953426"/>
    <w:rsid w:val="00953D99"/>
    <w:rsid w:val="00954207"/>
    <w:rsid w:val="00955C77"/>
    <w:rsid w:val="0095646F"/>
    <w:rsid w:val="00960432"/>
    <w:rsid w:val="00962387"/>
    <w:rsid w:val="00963BEF"/>
    <w:rsid w:val="00964819"/>
    <w:rsid w:val="00964B92"/>
    <w:rsid w:val="00964E46"/>
    <w:rsid w:val="00965F33"/>
    <w:rsid w:val="00966002"/>
    <w:rsid w:val="00966C60"/>
    <w:rsid w:val="00967673"/>
    <w:rsid w:val="00967B3A"/>
    <w:rsid w:val="009702AD"/>
    <w:rsid w:val="00972387"/>
    <w:rsid w:val="009728A2"/>
    <w:rsid w:val="00973B85"/>
    <w:rsid w:val="009742EB"/>
    <w:rsid w:val="00976E4E"/>
    <w:rsid w:val="00980574"/>
    <w:rsid w:val="00980EDA"/>
    <w:rsid w:val="00981449"/>
    <w:rsid w:val="00981508"/>
    <w:rsid w:val="00983562"/>
    <w:rsid w:val="00984C67"/>
    <w:rsid w:val="00987EE9"/>
    <w:rsid w:val="0099287A"/>
    <w:rsid w:val="00996123"/>
    <w:rsid w:val="0099621C"/>
    <w:rsid w:val="009A1A77"/>
    <w:rsid w:val="009A5C65"/>
    <w:rsid w:val="009A6279"/>
    <w:rsid w:val="009A6FA1"/>
    <w:rsid w:val="009B0BD2"/>
    <w:rsid w:val="009B0E0C"/>
    <w:rsid w:val="009B35D9"/>
    <w:rsid w:val="009B4D5D"/>
    <w:rsid w:val="009B5C0B"/>
    <w:rsid w:val="009C0169"/>
    <w:rsid w:val="009C0CA3"/>
    <w:rsid w:val="009C120B"/>
    <w:rsid w:val="009C1829"/>
    <w:rsid w:val="009C19B1"/>
    <w:rsid w:val="009C2D56"/>
    <w:rsid w:val="009C2E8A"/>
    <w:rsid w:val="009C5962"/>
    <w:rsid w:val="009C772B"/>
    <w:rsid w:val="009C7FB7"/>
    <w:rsid w:val="009C7FD9"/>
    <w:rsid w:val="009D1568"/>
    <w:rsid w:val="009D1C54"/>
    <w:rsid w:val="009D3430"/>
    <w:rsid w:val="009D3DDE"/>
    <w:rsid w:val="009D45B0"/>
    <w:rsid w:val="009D607A"/>
    <w:rsid w:val="009D7110"/>
    <w:rsid w:val="009E0436"/>
    <w:rsid w:val="009E146C"/>
    <w:rsid w:val="009E1635"/>
    <w:rsid w:val="009E254D"/>
    <w:rsid w:val="009E3465"/>
    <w:rsid w:val="009E4497"/>
    <w:rsid w:val="009E50F1"/>
    <w:rsid w:val="009E6A64"/>
    <w:rsid w:val="009F15A0"/>
    <w:rsid w:val="009F1872"/>
    <w:rsid w:val="009F4601"/>
    <w:rsid w:val="009F72FE"/>
    <w:rsid w:val="00A00BB8"/>
    <w:rsid w:val="00A00CEE"/>
    <w:rsid w:val="00A02695"/>
    <w:rsid w:val="00A035E5"/>
    <w:rsid w:val="00A03C7E"/>
    <w:rsid w:val="00A0514D"/>
    <w:rsid w:val="00A07398"/>
    <w:rsid w:val="00A10503"/>
    <w:rsid w:val="00A110EE"/>
    <w:rsid w:val="00A113DE"/>
    <w:rsid w:val="00A1265A"/>
    <w:rsid w:val="00A1463A"/>
    <w:rsid w:val="00A3040B"/>
    <w:rsid w:val="00A30870"/>
    <w:rsid w:val="00A30C0F"/>
    <w:rsid w:val="00A31F37"/>
    <w:rsid w:val="00A326DB"/>
    <w:rsid w:val="00A32808"/>
    <w:rsid w:val="00A333AD"/>
    <w:rsid w:val="00A349AF"/>
    <w:rsid w:val="00A354BE"/>
    <w:rsid w:val="00A35D00"/>
    <w:rsid w:val="00A3727B"/>
    <w:rsid w:val="00A40DC3"/>
    <w:rsid w:val="00A411C4"/>
    <w:rsid w:val="00A45FE2"/>
    <w:rsid w:val="00A47384"/>
    <w:rsid w:val="00A504E0"/>
    <w:rsid w:val="00A53E56"/>
    <w:rsid w:val="00A54450"/>
    <w:rsid w:val="00A54E9F"/>
    <w:rsid w:val="00A55D12"/>
    <w:rsid w:val="00A617A2"/>
    <w:rsid w:val="00A64083"/>
    <w:rsid w:val="00A64748"/>
    <w:rsid w:val="00A674BF"/>
    <w:rsid w:val="00A678F1"/>
    <w:rsid w:val="00A709FA"/>
    <w:rsid w:val="00A715A4"/>
    <w:rsid w:val="00A71FD4"/>
    <w:rsid w:val="00A76CF2"/>
    <w:rsid w:val="00A77DFD"/>
    <w:rsid w:val="00A80C2B"/>
    <w:rsid w:val="00A82750"/>
    <w:rsid w:val="00A83540"/>
    <w:rsid w:val="00A83D02"/>
    <w:rsid w:val="00A84762"/>
    <w:rsid w:val="00A910B5"/>
    <w:rsid w:val="00A91521"/>
    <w:rsid w:val="00A939B4"/>
    <w:rsid w:val="00A945E8"/>
    <w:rsid w:val="00A95121"/>
    <w:rsid w:val="00A959F2"/>
    <w:rsid w:val="00A96849"/>
    <w:rsid w:val="00A9695A"/>
    <w:rsid w:val="00A979F7"/>
    <w:rsid w:val="00AA0C2A"/>
    <w:rsid w:val="00AA1DEA"/>
    <w:rsid w:val="00AA23C6"/>
    <w:rsid w:val="00AA4977"/>
    <w:rsid w:val="00AA5CA6"/>
    <w:rsid w:val="00AA69C2"/>
    <w:rsid w:val="00AA7169"/>
    <w:rsid w:val="00AA7DBB"/>
    <w:rsid w:val="00AB053D"/>
    <w:rsid w:val="00AB18E9"/>
    <w:rsid w:val="00AB6EBE"/>
    <w:rsid w:val="00AB720F"/>
    <w:rsid w:val="00AB7540"/>
    <w:rsid w:val="00AC102C"/>
    <w:rsid w:val="00AC5AA0"/>
    <w:rsid w:val="00AC6E5B"/>
    <w:rsid w:val="00AD16EE"/>
    <w:rsid w:val="00AD1A83"/>
    <w:rsid w:val="00AD3C76"/>
    <w:rsid w:val="00AD3F3B"/>
    <w:rsid w:val="00AD56AB"/>
    <w:rsid w:val="00AD64C9"/>
    <w:rsid w:val="00AD666F"/>
    <w:rsid w:val="00AD71A8"/>
    <w:rsid w:val="00AD734B"/>
    <w:rsid w:val="00AD7B80"/>
    <w:rsid w:val="00AE4666"/>
    <w:rsid w:val="00AE46D3"/>
    <w:rsid w:val="00AE47BC"/>
    <w:rsid w:val="00AE613F"/>
    <w:rsid w:val="00AE6DFE"/>
    <w:rsid w:val="00AE75E1"/>
    <w:rsid w:val="00AF0FD9"/>
    <w:rsid w:val="00AF3267"/>
    <w:rsid w:val="00AF6504"/>
    <w:rsid w:val="00AF7BAE"/>
    <w:rsid w:val="00B04713"/>
    <w:rsid w:val="00B04E3E"/>
    <w:rsid w:val="00B05CBE"/>
    <w:rsid w:val="00B110AC"/>
    <w:rsid w:val="00B12962"/>
    <w:rsid w:val="00B142C1"/>
    <w:rsid w:val="00B1546D"/>
    <w:rsid w:val="00B1550B"/>
    <w:rsid w:val="00B15CBD"/>
    <w:rsid w:val="00B16A3E"/>
    <w:rsid w:val="00B16A6E"/>
    <w:rsid w:val="00B17A1E"/>
    <w:rsid w:val="00B207D3"/>
    <w:rsid w:val="00B21D23"/>
    <w:rsid w:val="00B2270D"/>
    <w:rsid w:val="00B23A51"/>
    <w:rsid w:val="00B31CB8"/>
    <w:rsid w:val="00B31CCD"/>
    <w:rsid w:val="00B32562"/>
    <w:rsid w:val="00B35A96"/>
    <w:rsid w:val="00B35C04"/>
    <w:rsid w:val="00B412C8"/>
    <w:rsid w:val="00B43A29"/>
    <w:rsid w:val="00B452C1"/>
    <w:rsid w:val="00B45C52"/>
    <w:rsid w:val="00B46883"/>
    <w:rsid w:val="00B475BB"/>
    <w:rsid w:val="00B47768"/>
    <w:rsid w:val="00B50616"/>
    <w:rsid w:val="00B516D4"/>
    <w:rsid w:val="00B519ED"/>
    <w:rsid w:val="00B5396E"/>
    <w:rsid w:val="00B5683E"/>
    <w:rsid w:val="00B56A96"/>
    <w:rsid w:val="00B572F5"/>
    <w:rsid w:val="00B6026F"/>
    <w:rsid w:val="00B61471"/>
    <w:rsid w:val="00B6217E"/>
    <w:rsid w:val="00B62345"/>
    <w:rsid w:val="00B62E1D"/>
    <w:rsid w:val="00B63156"/>
    <w:rsid w:val="00B64188"/>
    <w:rsid w:val="00B641EA"/>
    <w:rsid w:val="00B64E27"/>
    <w:rsid w:val="00B6613B"/>
    <w:rsid w:val="00B6757A"/>
    <w:rsid w:val="00B67D06"/>
    <w:rsid w:val="00B70612"/>
    <w:rsid w:val="00B73810"/>
    <w:rsid w:val="00B74466"/>
    <w:rsid w:val="00B7515F"/>
    <w:rsid w:val="00B7658D"/>
    <w:rsid w:val="00B767B6"/>
    <w:rsid w:val="00B812AC"/>
    <w:rsid w:val="00B83F1B"/>
    <w:rsid w:val="00B84703"/>
    <w:rsid w:val="00B9128C"/>
    <w:rsid w:val="00B9536E"/>
    <w:rsid w:val="00B95954"/>
    <w:rsid w:val="00B964B2"/>
    <w:rsid w:val="00B96B77"/>
    <w:rsid w:val="00B96E54"/>
    <w:rsid w:val="00BA05A1"/>
    <w:rsid w:val="00BA0BF3"/>
    <w:rsid w:val="00BA1B0C"/>
    <w:rsid w:val="00BA3526"/>
    <w:rsid w:val="00BA506D"/>
    <w:rsid w:val="00BA59FC"/>
    <w:rsid w:val="00BA6115"/>
    <w:rsid w:val="00BB1536"/>
    <w:rsid w:val="00BB4C6D"/>
    <w:rsid w:val="00BC065C"/>
    <w:rsid w:val="00BC0BE5"/>
    <w:rsid w:val="00BC0F51"/>
    <w:rsid w:val="00BC205F"/>
    <w:rsid w:val="00BC3055"/>
    <w:rsid w:val="00BC7D28"/>
    <w:rsid w:val="00BD09AD"/>
    <w:rsid w:val="00BD1285"/>
    <w:rsid w:val="00BD2A55"/>
    <w:rsid w:val="00BD2DAE"/>
    <w:rsid w:val="00BD4108"/>
    <w:rsid w:val="00BD4E18"/>
    <w:rsid w:val="00BD579C"/>
    <w:rsid w:val="00BD5C9C"/>
    <w:rsid w:val="00BD6005"/>
    <w:rsid w:val="00BD7360"/>
    <w:rsid w:val="00BD7802"/>
    <w:rsid w:val="00BD789C"/>
    <w:rsid w:val="00BD7BAB"/>
    <w:rsid w:val="00BE3947"/>
    <w:rsid w:val="00BE52F7"/>
    <w:rsid w:val="00BE7E12"/>
    <w:rsid w:val="00BF1139"/>
    <w:rsid w:val="00BF3F52"/>
    <w:rsid w:val="00BF426B"/>
    <w:rsid w:val="00BF457B"/>
    <w:rsid w:val="00BF5274"/>
    <w:rsid w:val="00BF5936"/>
    <w:rsid w:val="00BF6AB2"/>
    <w:rsid w:val="00BF74A1"/>
    <w:rsid w:val="00BF7C55"/>
    <w:rsid w:val="00C0270A"/>
    <w:rsid w:val="00C049BC"/>
    <w:rsid w:val="00C0575C"/>
    <w:rsid w:val="00C10C04"/>
    <w:rsid w:val="00C112FE"/>
    <w:rsid w:val="00C11D06"/>
    <w:rsid w:val="00C1279D"/>
    <w:rsid w:val="00C1366E"/>
    <w:rsid w:val="00C151CF"/>
    <w:rsid w:val="00C15332"/>
    <w:rsid w:val="00C1628B"/>
    <w:rsid w:val="00C20819"/>
    <w:rsid w:val="00C21652"/>
    <w:rsid w:val="00C23AF1"/>
    <w:rsid w:val="00C2787E"/>
    <w:rsid w:val="00C30251"/>
    <w:rsid w:val="00C316E3"/>
    <w:rsid w:val="00C31BFF"/>
    <w:rsid w:val="00C3268F"/>
    <w:rsid w:val="00C33210"/>
    <w:rsid w:val="00C36573"/>
    <w:rsid w:val="00C36B2D"/>
    <w:rsid w:val="00C36B88"/>
    <w:rsid w:val="00C401E8"/>
    <w:rsid w:val="00C40A3C"/>
    <w:rsid w:val="00C42D8A"/>
    <w:rsid w:val="00C47D5E"/>
    <w:rsid w:val="00C510E9"/>
    <w:rsid w:val="00C51421"/>
    <w:rsid w:val="00C520F3"/>
    <w:rsid w:val="00C522FD"/>
    <w:rsid w:val="00C5265F"/>
    <w:rsid w:val="00C53532"/>
    <w:rsid w:val="00C53766"/>
    <w:rsid w:val="00C53A47"/>
    <w:rsid w:val="00C55031"/>
    <w:rsid w:val="00C575E1"/>
    <w:rsid w:val="00C60568"/>
    <w:rsid w:val="00C62DAB"/>
    <w:rsid w:val="00C64211"/>
    <w:rsid w:val="00C657E2"/>
    <w:rsid w:val="00C66A65"/>
    <w:rsid w:val="00C76746"/>
    <w:rsid w:val="00C85317"/>
    <w:rsid w:val="00C8735F"/>
    <w:rsid w:val="00C914B5"/>
    <w:rsid w:val="00C937C4"/>
    <w:rsid w:val="00C94075"/>
    <w:rsid w:val="00C9450A"/>
    <w:rsid w:val="00C9484C"/>
    <w:rsid w:val="00C950B2"/>
    <w:rsid w:val="00C95BC0"/>
    <w:rsid w:val="00C9684E"/>
    <w:rsid w:val="00C97727"/>
    <w:rsid w:val="00C97F49"/>
    <w:rsid w:val="00CA0A55"/>
    <w:rsid w:val="00CA20D5"/>
    <w:rsid w:val="00CA364D"/>
    <w:rsid w:val="00CA4892"/>
    <w:rsid w:val="00CA6841"/>
    <w:rsid w:val="00CB1700"/>
    <w:rsid w:val="00CB1833"/>
    <w:rsid w:val="00CB1FA0"/>
    <w:rsid w:val="00CB3D7D"/>
    <w:rsid w:val="00CB3EC7"/>
    <w:rsid w:val="00CB4DB1"/>
    <w:rsid w:val="00CB51BA"/>
    <w:rsid w:val="00CB556B"/>
    <w:rsid w:val="00CB5807"/>
    <w:rsid w:val="00CB64DC"/>
    <w:rsid w:val="00CC4F8C"/>
    <w:rsid w:val="00CC7566"/>
    <w:rsid w:val="00CC7860"/>
    <w:rsid w:val="00CD0C11"/>
    <w:rsid w:val="00CD2093"/>
    <w:rsid w:val="00CD3374"/>
    <w:rsid w:val="00CD3BA7"/>
    <w:rsid w:val="00CD4813"/>
    <w:rsid w:val="00CD48E4"/>
    <w:rsid w:val="00CD4ABA"/>
    <w:rsid w:val="00CD5C97"/>
    <w:rsid w:val="00CD6118"/>
    <w:rsid w:val="00CD6D04"/>
    <w:rsid w:val="00CE1A5A"/>
    <w:rsid w:val="00CE43CC"/>
    <w:rsid w:val="00CF113F"/>
    <w:rsid w:val="00CF1EBF"/>
    <w:rsid w:val="00CF3111"/>
    <w:rsid w:val="00CF7728"/>
    <w:rsid w:val="00CF79E9"/>
    <w:rsid w:val="00CF7CD0"/>
    <w:rsid w:val="00D01A40"/>
    <w:rsid w:val="00D02FF5"/>
    <w:rsid w:val="00D034C0"/>
    <w:rsid w:val="00D034C2"/>
    <w:rsid w:val="00D05148"/>
    <w:rsid w:val="00D06DFF"/>
    <w:rsid w:val="00D0766E"/>
    <w:rsid w:val="00D10DF9"/>
    <w:rsid w:val="00D15656"/>
    <w:rsid w:val="00D169E3"/>
    <w:rsid w:val="00D22DE6"/>
    <w:rsid w:val="00D232B4"/>
    <w:rsid w:val="00D235A6"/>
    <w:rsid w:val="00D25409"/>
    <w:rsid w:val="00D25919"/>
    <w:rsid w:val="00D301EB"/>
    <w:rsid w:val="00D30A19"/>
    <w:rsid w:val="00D35E79"/>
    <w:rsid w:val="00D35FB6"/>
    <w:rsid w:val="00D37555"/>
    <w:rsid w:val="00D37BAF"/>
    <w:rsid w:val="00D40478"/>
    <w:rsid w:val="00D4131F"/>
    <w:rsid w:val="00D42700"/>
    <w:rsid w:val="00D43B6A"/>
    <w:rsid w:val="00D441E6"/>
    <w:rsid w:val="00D45431"/>
    <w:rsid w:val="00D47028"/>
    <w:rsid w:val="00D506F5"/>
    <w:rsid w:val="00D51D70"/>
    <w:rsid w:val="00D521B0"/>
    <w:rsid w:val="00D546C7"/>
    <w:rsid w:val="00D5612C"/>
    <w:rsid w:val="00D5759F"/>
    <w:rsid w:val="00D60295"/>
    <w:rsid w:val="00D61F97"/>
    <w:rsid w:val="00D633D4"/>
    <w:rsid w:val="00D63DC5"/>
    <w:rsid w:val="00D63DFB"/>
    <w:rsid w:val="00D64A8B"/>
    <w:rsid w:val="00D660A5"/>
    <w:rsid w:val="00D677CF"/>
    <w:rsid w:val="00D73849"/>
    <w:rsid w:val="00D8052B"/>
    <w:rsid w:val="00D82849"/>
    <w:rsid w:val="00D83676"/>
    <w:rsid w:val="00D8497C"/>
    <w:rsid w:val="00D84B7F"/>
    <w:rsid w:val="00D8749F"/>
    <w:rsid w:val="00D9103F"/>
    <w:rsid w:val="00D9298C"/>
    <w:rsid w:val="00D93139"/>
    <w:rsid w:val="00D955EE"/>
    <w:rsid w:val="00D95A33"/>
    <w:rsid w:val="00DA0007"/>
    <w:rsid w:val="00DA20C5"/>
    <w:rsid w:val="00DA4201"/>
    <w:rsid w:val="00DA5BA3"/>
    <w:rsid w:val="00DA685C"/>
    <w:rsid w:val="00DB1167"/>
    <w:rsid w:val="00DB5282"/>
    <w:rsid w:val="00DB6588"/>
    <w:rsid w:val="00DB6EB5"/>
    <w:rsid w:val="00DB7E78"/>
    <w:rsid w:val="00DC01F8"/>
    <w:rsid w:val="00DC1911"/>
    <w:rsid w:val="00DC332C"/>
    <w:rsid w:val="00DC54A8"/>
    <w:rsid w:val="00DC570E"/>
    <w:rsid w:val="00DC6E50"/>
    <w:rsid w:val="00DD1F12"/>
    <w:rsid w:val="00DD2678"/>
    <w:rsid w:val="00DD3F53"/>
    <w:rsid w:val="00DD7244"/>
    <w:rsid w:val="00DE255F"/>
    <w:rsid w:val="00DE2722"/>
    <w:rsid w:val="00DE3E64"/>
    <w:rsid w:val="00DE591E"/>
    <w:rsid w:val="00DE6914"/>
    <w:rsid w:val="00DE7AD2"/>
    <w:rsid w:val="00DF2BD5"/>
    <w:rsid w:val="00DF41BE"/>
    <w:rsid w:val="00DF59DC"/>
    <w:rsid w:val="00DF6A58"/>
    <w:rsid w:val="00DF7ED5"/>
    <w:rsid w:val="00E0091A"/>
    <w:rsid w:val="00E00FC8"/>
    <w:rsid w:val="00E01789"/>
    <w:rsid w:val="00E03022"/>
    <w:rsid w:val="00E03CE8"/>
    <w:rsid w:val="00E041CE"/>
    <w:rsid w:val="00E059CD"/>
    <w:rsid w:val="00E069E0"/>
    <w:rsid w:val="00E06E80"/>
    <w:rsid w:val="00E104D2"/>
    <w:rsid w:val="00E11E26"/>
    <w:rsid w:val="00E13E7C"/>
    <w:rsid w:val="00E143DD"/>
    <w:rsid w:val="00E151F2"/>
    <w:rsid w:val="00E15361"/>
    <w:rsid w:val="00E2001E"/>
    <w:rsid w:val="00E22616"/>
    <w:rsid w:val="00E23AAB"/>
    <w:rsid w:val="00E2603E"/>
    <w:rsid w:val="00E26922"/>
    <w:rsid w:val="00E2763D"/>
    <w:rsid w:val="00E30B34"/>
    <w:rsid w:val="00E33618"/>
    <w:rsid w:val="00E33853"/>
    <w:rsid w:val="00E34608"/>
    <w:rsid w:val="00E37485"/>
    <w:rsid w:val="00E4066C"/>
    <w:rsid w:val="00E42660"/>
    <w:rsid w:val="00E42864"/>
    <w:rsid w:val="00E42E49"/>
    <w:rsid w:val="00E44503"/>
    <w:rsid w:val="00E44B0B"/>
    <w:rsid w:val="00E46FFE"/>
    <w:rsid w:val="00E475FD"/>
    <w:rsid w:val="00E53000"/>
    <w:rsid w:val="00E54B2C"/>
    <w:rsid w:val="00E54E16"/>
    <w:rsid w:val="00E628B7"/>
    <w:rsid w:val="00E63802"/>
    <w:rsid w:val="00E6459F"/>
    <w:rsid w:val="00E64719"/>
    <w:rsid w:val="00E65A50"/>
    <w:rsid w:val="00E678FE"/>
    <w:rsid w:val="00E70D2E"/>
    <w:rsid w:val="00E71617"/>
    <w:rsid w:val="00E727E2"/>
    <w:rsid w:val="00E72BEE"/>
    <w:rsid w:val="00E74A9F"/>
    <w:rsid w:val="00E75BD9"/>
    <w:rsid w:val="00E7736A"/>
    <w:rsid w:val="00E778AE"/>
    <w:rsid w:val="00E829B1"/>
    <w:rsid w:val="00E84858"/>
    <w:rsid w:val="00E850B3"/>
    <w:rsid w:val="00E85544"/>
    <w:rsid w:val="00E85756"/>
    <w:rsid w:val="00E9083C"/>
    <w:rsid w:val="00E931E3"/>
    <w:rsid w:val="00E956C0"/>
    <w:rsid w:val="00E973C0"/>
    <w:rsid w:val="00E978CF"/>
    <w:rsid w:val="00EA0C06"/>
    <w:rsid w:val="00EA1682"/>
    <w:rsid w:val="00EA1C06"/>
    <w:rsid w:val="00EA4647"/>
    <w:rsid w:val="00EA66EF"/>
    <w:rsid w:val="00EA6E2E"/>
    <w:rsid w:val="00EA72A8"/>
    <w:rsid w:val="00EA7325"/>
    <w:rsid w:val="00EA7779"/>
    <w:rsid w:val="00EB0117"/>
    <w:rsid w:val="00EB0816"/>
    <w:rsid w:val="00EB1E88"/>
    <w:rsid w:val="00EB4C21"/>
    <w:rsid w:val="00EB6868"/>
    <w:rsid w:val="00EB7A2A"/>
    <w:rsid w:val="00EB7CCF"/>
    <w:rsid w:val="00EC0EF3"/>
    <w:rsid w:val="00EC2724"/>
    <w:rsid w:val="00EC4E92"/>
    <w:rsid w:val="00ED0996"/>
    <w:rsid w:val="00ED3828"/>
    <w:rsid w:val="00ED4BF4"/>
    <w:rsid w:val="00EE2475"/>
    <w:rsid w:val="00EE275F"/>
    <w:rsid w:val="00EE2F39"/>
    <w:rsid w:val="00EE4025"/>
    <w:rsid w:val="00EE446C"/>
    <w:rsid w:val="00EE6CD2"/>
    <w:rsid w:val="00EF05AE"/>
    <w:rsid w:val="00EF2520"/>
    <w:rsid w:val="00EF47EB"/>
    <w:rsid w:val="00F0028C"/>
    <w:rsid w:val="00F012C7"/>
    <w:rsid w:val="00F03A69"/>
    <w:rsid w:val="00F04653"/>
    <w:rsid w:val="00F06BF0"/>
    <w:rsid w:val="00F06F6C"/>
    <w:rsid w:val="00F07632"/>
    <w:rsid w:val="00F10F7E"/>
    <w:rsid w:val="00F140E3"/>
    <w:rsid w:val="00F140E6"/>
    <w:rsid w:val="00F24AC7"/>
    <w:rsid w:val="00F277A1"/>
    <w:rsid w:val="00F27E4D"/>
    <w:rsid w:val="00F303AC"/>
    <w:rsid w:val="00F31017"/>
    <w:rsid w:val="00F3270D"/>
    <w:rsid w:val="00F32C0B"/>
    <w:rsid w:val="00F33692"/>
    <w:rsid w:val="00F339C8"/>
    <w:rsid w:val="00F34731"/>
    <w:rsid w:val="00F41B19"/>
    <w:rsid w:val="00F42118"/>
    <w:rsid w:val="00F43B22"/>
    <w:rsid w:val="00F441CC"/>
    <w:rsid w:val="00F45B76"/>
    <w:rsid w:val="00F4684D"/>
    <w:rsid w:val="00F50647"/>
    <w:rsid w:val="00F5072E"/>
    <w:rsid w:val="00F5275F"/>
    <w:rsid w:val="00F52E1F"/>
    <w:rsid w:val="00F5442C"/>
    <w:rsid w:val="00F557C3"/>
    <w:rsid w:val="00F57549"/>
    <w:rsid w:val="00F577E7"/>
    <w:rsid w:val="00F60EC3"/>
    <w:rsid w:val="00F62504"/>
    <w:rsid w:val="00F6297E"/>
    <w:rsid w:val="00F65987"/>
    <w:rsid w:val="00F665AE"/>
    <w:rsid w:val="00F66EEA"/>
    <w:rsid w:val="00F67BFE"/>
    <w:rsid w:val="00F67CF3"/>
    <w:rsid w:val="00F82B7D"/>
    <w:rsid w:val="00F8307D"/>
    <w:rsid w:val="00F83DCF"/>
    <w:rsid w:val="00F846F9"/>
    <w:rsid w:val="00F84ECE"/>
    <w:rsid w:val="00F927DF"/>
    <w:rsid w:val="00F93962"/>
    <w:rsid w:val="00F9470A"/>
    <w:rsid w:val="00F95507"/>
    <w:rsid w:val="00F96880"/>
    <w:rsid w:val="00FA033A"/>
    <w:rsid w:val="00FA2FFE"/>
    <w:rsid w:val="00FA3449"/>
    <w:rsid w:val="00FA3C19"/>
    <w:rsid w:val="00FA4ACF"/>
    <w:rsid w:val="00FA57A5"/>
    <w:rsid w:val="00FA5C58"/>
    <w:rsid w:val="00FA5F97"/>
    <w:rsid w:val="00FA6319"/>
    <w:rsid w:val="00FB1B99"/>
    <w:rsid w:val="00FB3AAC"/>
    <w:rsid w:val="00FB5465"/>
    <w:rsid w:val="00FB6420"/>
    <w:rsid w:val="00FB711B"/>
    <w:rsid w:val="00FB7571"/>
    <w:rsid w:val="00FB7A0E"/>
    <w:rsid w:val="00FC1B2B"/>
    <w:rsid w:val="00FC1EA0"/>
    <w:rsid w:val="00FC3E53"/>
    <w:rsid w:val="00FC4D76"/>
    <w:rsid w:val="00FC5F72"/>
    <w:rsid w:val="00FD24A4"/>
    <w:rsid w:val="00FD5FE2"/>
    <w:rsid w:val="00FD68C3"/>
    <w:rsid w:val="00FE35B0"/>
    <w:rsid w:val="00FE693E"/>
    <w:rsid w:val="00FE707B"/>
    <w:rsid w:val="00FF0B14"/>
    <w:rsid w:val="00FF1911"/>
    <w:rsid w:val="00FF3AEB"/>
    <w:rsid w:val="00FF40E7"/>
    <w:rsid w:val="00FF7932"/>
    <w:rsid w:val="01E252FD"/>
    <w:rsid w:val="02436FED"/>
    <w:rsid w:val="024758AF"/>
    <w:rsid w:val="0321249F"/>
    <w:rsid w:val="036D73A8"/>
    <w:rsid w:val="03F30958"/>
    <w:rsid w:val="078F7937"/>
    <w:rsid w:val="0CA4368D"/>
    <w:rsid w:val="0F1E0AA6"/>
    <w:rsid w:val="1041147B"/>
    <w:rsid w:val="113E5252"/>
    <w:rsid w:val="14971CBD"/>
    <w:rsid w:val="15A019EA"/>
    <w:rsid w:val="1D606917"/>
    <w:rsid w:val="1DCB4E07"/>
    <w:rsid w:val="20F965F1"/>
    <w:rsid w:val="21524791"/>
    <w:rsid w:val="242B4034"/>
    <w:rsid w:val="248567CA"/>
    <w:rsid w:val="25B9137E"/>
    <w:rsid w:val="2932589B"/>
    <w:rsid w:val="2A015C17"/>
    <w:rsid w:val="2A7B115B"/>
    <w:rsid w:val="2A9A3582"/>
    <w:rsid w:val="2F436FD7"/>
    <w:rsid w:val="304A2EBA"/>
    <w:rsid w:val="36923E20"/>
    <w:rsid w:val="36F6490C"/>
    <w:rsid w:val="39A25741"/>
    <w:rsid w:val="3A195CC4"/>
    <w:rsid w:val="3AD76567"/>
    <w:rsid w:val="3B39114C"/>
    <w:rsid w:val="42FA6D7D"/>
    <w:rsid w:val="48651BF4"/>
    <w:rsid w:val="4C3223B7"/>
    <w:rsid w:val="4CE40354"/>
    <w:rsid w:val="51426D9C"/>
    <w:rsid w:val="52537AE1"/>
    <w:rsid w:val="57D936FB"/>
    <w:rsid w:val="582616E8"/>
    <w:rsid w:val="5994243F"/>
    <w:rsid w:val="5A6409DA"/>
    <w:rsid w:val="5D052717"/>
    <w:rsid w:val="5EF83F89"/>
    <w:rsid w:val="60815257"/>
    <w:rsid w:val="6C433EF6"/>
    <w:rsid w:val="6D557E6E"/>
    <w:rsid w:val="6FB56576"/>
    <w:rsid w:val="6FB705FD"/>
    <w:rsid w:val="70191A0F"/>
    <w:rsid w:val="71E65116"/>
    <w:rsid w:val="727152AC"/>
    <w:rsid w:val="72856E7C"/>
    <w:rsid w:val="74C515A0"/>
    <w:rsid w:val="75B43199"/>
    <w:rsid w:val="75DA0ADA"/>
    <w:rsid w:val="75EC08B1"/>
    <w:rsid w:val="793C5F6B"/>
    <w:rsid w:val="7B1C7816"/>
    <w:rsid w:val="7BC74D41"/>
    <w:rsid w:val="7E937E52"/>
    <w:rsid w:val="7EA71F5D"/>
    <w:rsid w:val="7EFC112A"/>
  </w:rsids>
  <m:mathPr>
    <m:mathFont m:val="Cambria Math"/>
    <m:brkBin m:val="before"/>
    <m:brkBinSub m:val="--"/>
    <m:smallFrac m:val="1"/>
    <m:dispDef/>
    <m:lMargin m:val="0"/>
    <m:rMargin m:val="0"/>
    <m:defJc m:val="centerGroup"/>
    <m:wrapIndent m:val="1440"/>
    <m:intLim m:val="subSup"/>
    <m:naryLim m:val="undOvr"/>
  </m:mathPr>
  <w:doNotAutoCompressPictures/>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semiHidden="0" w:name="annotation reference"/>
    <w:lsdException w:uiPriority="99" w:name="line number"/>
    <w:lsdException w:qFormat="1" w:unhideWhenUsed="0" w:uiPriority="99"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pl-PL" w:eastAsia="pl-PL" w:bidi="ar-SA"/>
    </w:rPr>
  </w:style>
  <w:style w:type="paragraph" w:styleId="2">
    <w:name w:val="heading 1"/>
    <w:basedOn w:val="1"/>
    <w:next w:val="1"/>
    <w:link w:val="37"/>
    <w:qFormat/>
    <w:uiPriority w:val="99"/>
    <w:pPr>
      <w:keepNext/>
      <w:outlineLvl w:val="0"/>
    </w:pPr>
    <w:rPr>
      <w:b/>
      <w:bCs/>
      <w:sz w:val="28"/>
    </w:rPr>
  </w:style>
  <w:style w:type="paragraph" w:styleId="3">
    <w:name w:val="heading 2"/>
    <w:basedOn w:val="1"/>
    <w:next w:val="1"/>
    <w:link w:val="38"/>
    <w:qFormat/>
    <w:uiPriority w:val="99"/>
    <w:pPr>
      <w:keepNext/>
      <w:jc w:val="center"/>
      <w:outlineLvl w:val="1"/>
    </w:pPr>
    <w:rPr>
      <w:b/>
      <w:i/>
      <w:sz w:val="28"/>
    </w:rPr>
  </w:style>
  <w:style w:type="paragraph" w:styleId="4">
    <w:name w:val="heading 3"/>
    <w:basedOn w:val="1"/>
    <w:next w:val="1"/>
    <w:link w:val="39"/>
    <w:qFormat/>
    <w:uiPriority w:val="99"/>
    <w:pPr>
      <w:keepNext/>
      <w:jc w:val="both"/>
      <w:outlineLvl w:val="2"/>
    </w:pPr>
    <w:rPr>
      <w:b/>
      <w:iCs/>
    </w:rPr>
  </w:style>
  <w:style w:type="paragraph" w:styleId="5">
    <w:name w:val="heading 4"/>
    <w:basedOn w:val="1"/>
    <w:next w:val="1"/>
    <w:link w:val="40"/>
    <w:qFormat/>
    <w:uiPriority w:val="99"/>
    <w:pPr>
      <w:keepNext/>
      <w:tabs>
        <w:tab w:val="left" w:pos="8931"/>
      </w:tabs>
      <w:spacing w:line="360" w:lineRule="auto"/>
      <w:ind w:left="1620" w:right="1512"/>
      <w:jc w:val="center"/>
      <w:outlineLvl w:val="3"/>
    </w:pPr>
    <w:rPr>
      <w:b/>
      <w:sz w:val="28"/>
    </w:rPr>
  </w:style>
  <w:style w:type="paragraph" w:styleId="6">
    <w:name w:val="heading 5"/>
    <w:basedOn w:val="1"/>
    <w:next w:val="1"/>
    <w:link w:val="41"/>
    <w:qFormat/>
    <w:uiPriority w:val="99"/>
    <w:pPr>
      <w:keepNext/>
      <w:spacing w:line="360" w:lineRule="auto"/>
      <w:jc w:val="both"/>
      <w:outlineLvl w:val="4"/>
    </w:pPr>
    <w:rPr>
      <w:b/>
      <w:i/>
      <w:iCs/>
    </w:rPr>
  </w:style>
  <w:style w:type="paragraph" w:styleId="7">
    <w:name w:val="heading 6"/>
    <w:basedOn w:val="1"/>
    <w:next w:val="1"/>
    <w:link w:val="42"/>
    <w:qFormat/>
    <w:uiPriority w:val="99"/>
    <w:pPr>
      <w:keepNext/>
      <w:numPr>
        <w:ilvl w:val="1"/>
        <w:numId w:val="1"/>
      </w:numPr>
      <w:tabs>
        <w:tab w:val="left" w:pos="426"/>
        <w:tab w:val="clear" w:pos="1440"/>
      </w:tabs>
      <w:spacing w:line="360" w:lineRule="auto"/>
      <w:ind w:hanging="1440"/>
      <w:jc w:val="both"/>
      <w:outlineLvl w:val="5"/>
    </w:pPr>
    <w:rPr>
      <w:b/>
    </w:rPr>
  </w:style>
  <w:style w:type="paragraph" w:styleId="8">
    <w:name w:val="heading 7"/>
    <w:basedOn w:val="1"/>
    <w:next w:val="1"/>
    <w:link w:val="43"/>
    <w:qFormat/>
    <w:uiPriority w:val="99"/>
    <w:pPr>
      <w:keepNext/>
      <w:spacing w:line="360" w:lineRule="auto"/>
      <w:ind w:left="5562"/>
      <w:outlineLvl w:val="6"/>
    </w:pPr>
    <w:rPr>
      <w:b/>
      <w:bCs/>
    </w:rPr>
  </w:style>
  <w:style w:type="paragraph" w:styleId="9">
    <w:name w:val="heading 8"/>
    <w:basedOn w:val="1"/>
    <w:next w:val="1"/>
    <w:link w:val="44"/>
    <w:qFormat/>
    <w:uiPriority w:val="99"/>
    <w:pPr>
      <w:keepNext/>
      <w:spacing w:before="170"/>
      <w:outlineLvl w:val="7"/>
    </w:pPr>
    <w:rPr>
      <w:b/>
      <w:bCs/>
    </w:rPr>
  </w:style>
  <w:style w:type="paragraph" w:styleId="10">
    <w:name w:val="heading 9"/>
    <w:basedOn w:val="1"/>
    <w:next w:val="1"/>
    <w:link w:val="45"/>
    <w:qFormat/>
    <w:uiPriority w:val="99"/>
    <w:pPr>
      <w:keepNext/>
      <w:spacing w:before="100" w:beforeAutospacing="1" w:after="119"/>
      <w:jc w:val="center"/>
      <w:outlineLvl w:val="8"/>
    </w:pPr>
    <w:rPr>
      <w:b/>
      <w:b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84"/>
    <w:semiHidden/>
    <w:qFormat/>
    <w:uiPriority w:val="99"/>
    <w:rPr>
      <w:rFonts w:ascii="Tahoma" w:hAnsi="Tahoma" w:cs="Tahoma"/>
      <w:sz w:val="16"/>
      <w:szCs w:val="16"/>
    </w:rPr>
  </w:style>
  <w:style w:type="paragraph" w:styleId="14">
    <w:name w:val="Block Text"/>
    <w:basedOn w:val="1"/>
    <w:qFormat/>
    <w:uiPriority w:val="99"/>
    <w:pPr>
      <w:widowControl w:val="0"/>
      <w:ind w:left="5523" w:right="601"/>
      <w:jc w:val="center"/>
    </w:pPr>
    <w:rPr>
      <w:rFonts w:ascii="Arial" w:hAnsi="Arial"/>
      <w:sz w:val="20"/>
      <w:szCs w:val="20"/>
    </w:rPr>
  </w:style>
  <w:style w:type="paragraph" w:styleId="15">
    <w:name w:val="Body Text"/>
    <w:basedOn w:val="1"/>
    <w:link w:val="48"/>
    <w:qFormat/>
    <w:uiPriority w:val="99"/>
    <w:pPr>
      <w:spacing w:line="360" w:lineRule="auto"/>
      <w:jc w:val="both"/>
    </w:pPr>
    <w:rPr>
      <w:bCs/>
    </w:rPr>
  </w:style>
  <w:style w:type="paragraph" w:styleId="16">
    <w:name w:val="Body Text 2"/>
    <w:basedOn w:val="1"/>
    <w:link w:val="50"/>
    <w:qFormat/>
    <w:uiPriority w:val="99"/>
    <w:pPr>
      <w:spacing w:line="360" w:lineRule="auto"/>
      <w:jc w:val="both"/>
    </w:pPr>
    <w:rPr>
      <w:b/>
    </w:rPr>
  </w:style>
  <w:style w:type="paragraph" w:styleId="17">
    <w:name w:val="Body Text 3"/>
    <w:basedOn w:val="1"/>
    <w:link w:val="52"/>
    <w:qFormat/>
    <w:uiPriority w:val="99"/>
    <w:pPr>
      <w:jc w:val="center"/>
    </w:pPr>
  </w:style>
  <w:style w:type="paragraph" w:styleId="18">
    <w:name w:val="Body Text Indent"/>
    <w:basedOn w:val="1"/>
    <w:link w:val="49"/>
    <w:qFormat/>
    <w:uiPriority w:val="0"/>
    <w:pPr>
      <w:spacing w:line="360" w:lineRule="auto"/>
      <w:ind w:left="360" w:hanging="360"/>
    </w:pPr>
  </w:style>
  <w:style w:type="paragraph" w:styleId="19">
    <w:name w:val="Body Text Indent 2"/>
    <w:basedOn w:val="1"/>
    <w:link w:val="51"/>
    <w:qFormat/>
    <w:uiPriority w:val="99"/>
    <w:pPr>
      <w:spacing w:line="360" w:lineRule="auto"/>
      <w:ind w:left="540" w:hanging="517"/>
      <w:jc w:val="both"/>
    </w:pPr>
  </w:style>
  <w:style w:type="paragraph" w:styleId="20">
    <w:name w:val="Body Text Indent 3"/>
    <w:basedOn w:val="1"/>
    <w:link w:val="55"/>
    <w:qFormat/>
    <w:uiPriority w:val="99"/>
    <w:pPr>
      <w:shd w:val="clear" w:color="auto" w:fill="E6E6E6"/>
      <w:spacing w:line="360" w:lineRule="auto"/>
      <w:ind w:left="360" w:hanging="360"/>
      <w:jc w:val="both"/>
    </w:pPr>
    <w:rPr>
      <w:bCs/>
    </w:rPr>
  </w:style>
  <w:style w:type="character" w:styleId="21">
    <w:name w:val="annotation reference"/>
    <w:basedOn w:val="11"/>
    <w:qFormat/>
    <w:uiPriority w:val="99"/>
    <w:rPr>
      <w:rFonts w:cs="Times New Roman"/>
      <w:sz w:val="16"/>
    </w:rPr>
  </w:style>
  <w:style w:type="paragraph" w:styleId="22">
    <w:name w:val="annotation text"/>
    <w:basedOn w:val="1"/>
    <w:link w:val="82"/>
    <w:qFormat/>
    <w:uiPriority w:val="99"/>
    <w:rPr>
      <w:sz w:val="20"/>
      <w:szCs w:val="20"/>
    </w:rPr>
  </w:style>
  <w:style w:type="paragraph" w:styleId="23">
    <w:name w:val="annotation subject"/>
    <w:basedOn w:val="22"/>
    <w:next w:val="22"/>
    <w:link w:val="132"/>
    <w:semiHidden/>
    <w:qFormat/>
    <w:uiPriority w:val="99"/>
    <w:rPr>
      <w:b/>
      <w:bCs/>
    </w:rPr>
  </w:style>
  <w:style w:type="character" w:styleId="24">
    <w:name w:val="endnote reference"/>
    <w:basedOn w:val="11"/>
    <w:semiHidden/>
    <w:unhideWhenUsed/>
    <w:qFormat/>
    <w:uiPriority w:val="99"/>
    <w:rPr>
      <w:vertAlign w:val="superscript"/>
    </w:rPr>
  </w:style>
  <w:style w:type="paragraph" w:styleId="25">
    <w:name w:val="endnote text"/>
    <w:basedOn w:val="1"/>
    <w:link w:val="134"/>
    <w:semiHidden/>
    <w:unhideWhenUsed/>
    <w:qFormat/>
    <w:uiPriority w:val="99"/>
    <w:rPr>
      <w:sz w:val="20"/>
      <w:szCs w:val="20"/>
    </w:rPr>
  </w:style>
  <w:style w:type="character" w:styleId="26">
    <w:name w:val="FollowedHyperlink"/>
    <w:basedOn w:val="11"/>
    <w:qFormat/>
    <w:uiPriority w:val="99"/>
    <w:rPr>
      <w:rFonts w:cs="Times New Roman"/>
      <w:color w:val="800080"/>
      <w:u w:val="single"/>
    </w:rPr>
  </w:style>
  <w:style w:type="paragraph" w:styleId="27">
    <w:name w:val="footer"/>
    <w:basedOn w:val="1"/>
    <w:link w:val="47"/>
    <w:qFormat/>
    <w:uiPriority w:val="99"/>
    <w:pPr>
      <w:tabs>
        <w:tab w:val="center" w:pos="4536"/>
        <w:tab w:val="right" w:pos="9072"/>
      </w:tabs>
    </w:pPr>
  </w:style>
  <w:style w:type="character" w:styleId="28">
    <w:name w:val="footnote reference"/>
    <w:basedOn w:val="11"/>
    <w:semiHidden/>
    <w:qFormat/>
    <w:uiPriority w:val="99"/>
    <w:rPr>
      <w:rFonts w:cs="Times New Roman"/>
      <w:vertAlign w:val="superscript"/>
    </w:rPr>
  </w:style>
  <w:style w:type="paragraph" w:styleId="29">
    <w:name w:val="footnote text"/>
    <w:basedOn w:val="1"/>
    <w:link w:val="63"/>
    <w:semiHidden/>
    <w:qFormat/>
    <w:uiPriority w:val="99"/>
    <w:rPr>
      <w:sz w:val="20"/>
      <w:szCs w:val="20"/>
    </w:rPr>
  </w:style>
  <w:style w:type="paragraph" w:styleId="30">
    <w:name w:val="header"/>
    <w:basedOn w:val="1"/>
    <w:link w:val="56"/>
    <w:qFormat/>
    <w:uiPriority w:val="99"/>
    <w:pPr>
      <w:tabs>
        <w:tab w:val="center" w:pos="4536"/>
        <w:tab w:val="right" w:pos="9072"/>
      </w:tabs>
    </w:pPr>
  </w:style>
  <w:style w:type="character" w:styleId="31">
    <w:name w:val="Hyperlink"/>
    <w:basedOn w:val="11"/>
    <w:qFormat/>
    <w:uiPriority w:val="99"/>
    <w:rPr>
      <w:rFonts w:cs="Times New Roman"/>
      <w:color w:val="0000FF"/>
      <w:u w:val="single"/>
    </w:rPr>
  </w:style>
  <w:style w:type="paragraph" w:styleId="32">
    <w:name w:val="Normal (Web)"/>
    <w:basedOn w:val="1"/>
    <w:qFormat/>
    <w:uiPriority w:val="0"/>
    <w:pPr>
      <w:spacing w:before="100" w:beforeAutospacing="1" w:after="100" w:afterAutospacing="1"/>
    </w:pPr>
  </w:style>
  <w:style w:type="character" w:styleId="33">
    <w:name w:val="page number"/>
    <w:basedOn w:val="11"/>
    <w:qFormat/>
    <w:uiPriority w:val="99"/>
    <w:rPr>
      <w:rFonts w:cs="Times New Roman"/>
    </w:rPr>
  </w:style>
  <w:style w:type="character" w:styleId="34">
    <w:name w:val="Strong"/>
    <w:basedOn w:val="11"/>
    <w:qFormat/>
    <w:locked/>
    <w:uiPriority w:val="0"/>
    <w:rPr>
      <w:b/>
      <w:bCs/>
    </w:rPr>
  </w:style>
  <w:style w:type="table" w:styleId="35">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Title"/>
    <w:basedOn w:val="1"/>
    <w:link w:val="60"/>
    <w:qFormat/>
    <w:uiPriority w:val="99"/>
    <w:pPr>
      <w:jc w:val="center"/>
    </w:pPr>
    <w:rPr>
      <w:b/>
      <w:bCs/>
      <w:sz w:val="28"/>
    </w:rPr>
  </w:style>
  <w:style w:type="character" w:customStyle="1" w:styleId="37">
    <w:name w:val="Nagłówek 1 Znak"/>
    <w:basedOn w:val="11"/>
    <w:link w:val="2"/>
    <w:qFormat/>
    <w:locked/>
    <w:uiPriority w:val="99"/>
    <w:rPr>
      <w:rFonts w:cs="Times New Roman"/>
      <w:b/>
      <w:bCs/>
      <w:sz w:val="24"/>
      <w:szCs w:val="24"/>
    </w:rPr>
  </w:style>
  <w:style w:type="character" w:customStyle="1" w:styleId="38">
    <w:name w:val="Nagłówek 2 Znak"/>
    <w:basedOn w:val="11"/>
    <w:link w:val="3"/>
    <w:semiHidden/>
    <w:qFormat/>
    <w:uiPriority w:val="9"/>
    <w:rPr>
      <w:rFonts w:ascii="Cambria" w:hAnsi="Cambria" w:eastAsia="Times New Roman" w:cs="Times New Roman"/>
      <w:b/>
      <w:bCs/>
      <w:i/>
      <w:iCs/>
      <w:sz w:val="28"/>
      <w:szCs w:val="28"/>
    </w:rPr>
  </w:style>
  <w:style w:type="character" w:customStyle="1" w:styleId="39">
    <w:name w:val="Nagłówek 3 Znak"/>
    <w:basedOn w:val="11"/>
    <w:link w:val="4"/>
    <w:semiHidden/>
    <w:qFormat/>
    <w:uiPriority w:val="9"/>
    <w:rPr>
      <w:rFonts w:ascii="Cambria" w:hAnsi="Cambria" w:eastAsia="Times New Roman" w:cs="Times New Roman"/>
      <w:b/>
      <w:bCs/>
      <w:sz w:val="26"/>
      <w:szCs w:val="26"/>
    </w:rPr>
  </w:style>
  <w:style w:type="character" w:customStyle="1" w:styleId="40">
    <w:name w:val="Nagłówek 4 Znak"/>
    <w:basedOn w:val="11"/>
    <w:link w:val="5"/>
    <w:semiHidden/>
    <w:qFormat/>
    <w:uiPriority w:val="9"/>
    <w:rPr>
      <w:rFonts w:ascii="Calibri" w:hAnsi="Calibri" w:eastAsia="Times New Roman" w:cs="Times New Roman"/>
      <w:b/>
      <w:bCs/>
      <w:sz w:val="28"/>
      <w:szCs w:val="28"/>
    </w:rPr>
  </w:style>
  <w:style w:type="character" w:customStyle="1" w:styleId="41">
    <w:name w:val="Nagłówek 5 Znak"/>
    <w:basedOn w:val="11"/>
    <w:link w:val="6"/>
    <w:semiHidden/>
    <w:qFormat/>
    <w:uiPriority w:val="9"/>
    <w:rPr>
      <w:rFonts w:ascii="Calibri" w:hAnsi="Calibri" w:eastAsia="Times New Roman" w:cs="Times New Roman"/>
      <w:b/>
      <w:bCs/>
      <w:i/>
      <w:iCs/>
      <w:sz w:val="26"/>
      <w:szCs w:val="26"/>
    </w:rPr>
  </w:style>
  <w:style w:type="character" w:customStyle="1" w:styleId="42">
    <w:name w:val="Nagłówek 6 Znak"/>
    <w:basedOn w:val="11"/>
    <w:link w:val="7"/>
    <w:qFormat/>
    <w:uiPriority w:val="99"/>
    <w:rPr>
      <w:b/>
      <w:sz w:val="24"/>
      <w:szCs w:val="24"/>
    </w:rPr>
  </w:style>
  <w:style w:type="character" w:customStyle="1" w:styleId="43">
    <w:name w:val="Nagłówek 7 Znak"/>
    <w:basedOn w:val="11"/>
    <w:link w:val="8"/>
    <w:semiHidden/>
    <w:qFormat/>
    <w:uiPriority w:val="9"/>
    <w:rPr>
      <w:rFonts w:ascii="Calibri" w:hAnsi="Calibri" w:eastAsia="Times New Roman" w:cs="Times New Roman"/>
      <w:sz w:val="24"/>
      <w:szCs w:val="24"/>
    </w:rPr>
  </w:style>
  <w:style w:type="character" w:customStyle="1" w:styleId="44">
    <w:name w:val="Nagłówek 8 Znak"/>
    <w:basedOn w:val="11"/>
    <w:link w:val="9"/>
    <w:semiHidden/>
    <w:qFormat/>
    <w:uiPriority w:val="9"/>
    <w:rPr>
      <w:rFonts w:ascii="Calibri" w:hAnsi="Calibri" w:eastAsia="Times New Roman" w:cs="Times New Roman"/>
      <w:i/>
      <w:iCs/>
      <w:sz w:val="24"/>
      <w:szCs w:val="24"/>
    </w:rPr>
  </w:style>
  <w:style w:type="character" w:customStyle="1" w:styleId="45">
    <w:name w:val="Nagłówek 9 Znak"/>
    <w:basedOn w:val="11"/>
    <w:link w:val="10"/>
    <w:semiHidden/>
    <w:qFormat/>
    <w:uiPriority w:val="9"/>
    <w:rPr>
      <w:rFonts w:ascii="Cambria" w:hAnsi="Cambria" w:eastAsia="Times New Roman" w:cs="Times New Roman"/>
    </w:rPr>
  </w:style>
  <w:style w:type="paragraph" w:customStyle="1" w:styleId="46">
    <w:name w:val="Standard"/>
    <w:qFormat/>
    <w:uiPriority w:val="99"/>
    <w:pPr>
      <w:widowControl w:val="0"/>
      <w:spacing w:after="160" w:line="259" w:lineRule="auto"/>
    </w:pPr>
    <w:rPr>
      <w:rFonts w:ascii="Times New Roman" w:hAnsi="Times New Roman" w:eastAsia="Times New Roman" w:cs="Times New Roman"/>
      <w:sz w:val="24"/>
      <w:lang w:val="pl-PL" w:eastAsia="pl-PL" w:bidi="ar-SA"/>
    </w:rPr>
  </w:style>
  <w:style w:type="character" w:customStyle="1" w:styleId="47">
    <w:name w:val="Stopka Znak"/>
    <w:basedOn w:val="11"/>
    <w:link w:val="27"/>
    <w:qFormat/>
    <w:locked/>
    <w:uiPriority w:val="99"/>
    <w:rPr>
      <w:sz w:val="24"/>
      <w:lang w:val="pl-PL" w:eastAsia="pl-PL"/>
    </w:rPr>
  </w:style>
  <w:style w:type="character" w:customStyle="1" w:styleId="48">
    <w:name w:val="Tekst podstawowy Znak"/>
    <w:basedOn w:val="11"/>
    <w:link w:val="15"/>
    <w:qFormat/>
    <w:locked/>
    <w:uiPriority w:val="99"/>
    <w:rPr>
      <w:sz w:val="24"/>
      <w:lang w:val="pl-PL" w:eastAsia="pl-PL"/>
    </w:rPr>
  </w:style>
  <w:style w:type="character" w:customStyle="1" w:styleId="49">
    <w:name w:val="Tekst podstawowy wcięty Znak"/>
    <w:basedOn w:val="11"/>
    <w:link w:val="18"/>
    <w:qFormat/>
    <w:locked/>
    <w:uiPriority w:val="0"/>
    <w:rPr>
      <w:sz w:val="24"/>
      <w:lang w:val="pl-PL" w:eastAsia="pl-PL"/>
    </w:rPr>
  </w:style>
  <w:style w:type="character" w:customStyle="1" w:styleId="50">
    <w:name w:val="Tekst podstawowy 2 Znak"/>
    <w:basedOn w:val="11"/>
    <w:link w:val="16"/>
    <w:semiHidden/>
    <w:qFormat/>
    <w:uiPriority w:val="99"/>
    <w:rPr>
      <w:sz w:val="24"/>
      <w:szCs w:val="24"/>
    </w:rPr>
  </w:style>
  <w:style w:type="character" w:customStyle="1" w:styleId="51">
    <w:name w:val="Tekst podstawowy wcięty 2 Znak"/>
    <w:basedOn w:val="11"/>
    <w:link w:val="19"/>
    <w:semiHidden/>
    <w:qFormat/>
    <w:uiPriority w:val="99"/>
    <w:rPr>
      <w:sz w:val="24"/>
      <w:szCs w:val="24"/>
    </w:rPr>
  </w:style>
  <w:style w:type="character" w:customStyle="1" w:styleId="52">
    <w:name w:val="Tekst podstawowy 3 Znak"/>
    <w:basedOn w:val="11"/>
    <w:link w:val="17"/>
    <w:qFormat/>
    <w:locked/>
    <w:uiPriority w:val="99"/>
    <w:rPr>
      <w:sz w:val="24"/>
      <w:lang w:val="pl-PL" w:eastAsia="pl-PL"/>
    </w:rPr>
  </w:style>
  <w:style w:type="paragraph" w:customStyle="1" w:styleId="53">
    <w:name w:val="Zawartość tabeli"/>
    <w:basedOn w:val="1"/>
    <w:qFormat/>
    <w:uiPriority w:val="99"/>
    <w:pPr>
      <w:widowControl w:val="0"/>
      <w:autoSpaceDE w:val="0"/>
      <w:autoSpaceDN w:val="0"/>
      <w:adjustRightInd w:val="0"/>
      <w:spacing w:after="120"/>
    </w:pPr>
    <w:rPr>
      <w:sz w:val="20"/>
    </w:rPr>
  </w:style>
  <w:style w:type="paragraph" w:customStyle="1" w:styleId="54">
    <w:name w:val="Tytuł tabeli"/>
    <w:basedOn w:val="53"/>
    <w:qFormat/>
    <w:uiPriority w:val="99"/>
    <w:pPr>
      <w:jc w:val="center"/>
    </w:pPr>
    <w:rPr>
      <w:b/>
      <w:bCs/>
      <w:i/>
      <w:iCs/>
    </w:rPr>
  </w:style>
  <w:style w:type="character" w:customStyle="1" w:styleId="55">
    <w:name w:val="Tekst podstawowy wcięty 3 Znak"/>
    <w:basedOn w:val="11"/>
    <w:link w:val="20"/>
    <w:semiHidden/>
    <w:qFormat/>
    <w:uiPriority w:val="99"/>
    <w:rPr>
      <w:sz w:val="16"/>
      <w:szCs w:val="16"/>
    </w:rPr>
  </w:style>
  <w:style w:type="character" w:customStyle="1" w:styleId="56">
    <w:name w:val="Nagłówek Znak"/>
    <w:basedOn w:val="11"/>
    <w:link w:val="30"/>
    <w:semiHidden/>
    <w:qFormat/>
    <w:uiPriority w:val="99"/>
    <w:rPr>
      <w:sz w:val="24"/>
      <w:szCs w:val="24"/>
    </w:rPr>
  </w:style>
  <w:style w:type="paragraph" w:customStyle="1" w:styleId="57">
    <w:name w:val="Normalny (Web)1"/>
    <w:basedOn w:val="1"/>
    <w:qFormat/>
    <w:uiPriority w:val="99"/>
    <w:pPr>
      <w:spacing w:before="100" w:beforeAutospacing="1" w:after="119"/>
    </w:pPr>
  </w:style>
  <w:style w:type="paragraph" w:customStyle="1" w:styleId="58">
    <w:name w:val="western1"/>
    <w:basedOn w:val="1"/>
    <w:qFormat/>
    <w:uiPriority w:val="99"/>
    <w:pPr>
      <w:spacing w:before="100" w:beforeAutospacing="1" w:after="119"/>
      <w:jc w:val="center"/>
    </w:pPr>
    <w:rPr>
      <w:b/>
      <w:bCs/>
      <w:i/>
      <w:iCs/>
    </w:rPr>
  </w:style>
  <w:style w:type="paragraph" w:customStyle="1" w:styleId="59">
    <w:name w:val="FR1"/>
    <w:qFormat/>
    <w:uiPriority w:val="99"/>
    <w:pPr>
      <w:widowControl w:val="0"/>
      <w:autoSpaceDE w:val="0"/>
      <w:autoSpaceDN w:val="0"/>
      <w:adjustRightInd w:val="0"/>
      <w:spacing w:before="160" w:after="160" w:line="259" w:lineRule="auto"/>
    </w:pPr>
    <w:rPr>
      <w:rFonts w:ascii="Arial" w:hAnsi="Arial" w:eastAsia="Times New Roman" w:cs="Arial"/>
      <w:i/>
      <w:iCs/>
      <w:lang w:val="pl-PL" w:eastAsia="pl-PL" w:bidi="ar-SA"/>
    </w:rPr>
  </w:style>
  <w:style w:type="character" w:customStyle="1" w:styleId="60">
    <w:name w:val="Tytuł Znak"/>
    <w:basedOn w:val="11"/>
    <w:link w:val="36"/>
    <w:qFormat/>
    <w:uiPriority w:val="10"/>
    <w:rPr>
      <w:rFonts w:ascii="Cambria" w:hAnsi="Cambria" w:eastAsia="Times New Roman" w:cs="Times New Roman"/>
      <w:b/>
      <w:bCs/>
      <w:kern w:val="28"/>
      <w:sz w:val="32"/>
      <w:szCs w:val="32"/>
    </w:rPr>
  </w:style>
  <w:style w:type="paragraph" w:customStyle="1" w:styleId="61">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Arial Unicode MS" w:cs="Arial Unicode MS"/>
      <w:sz w:val="18"/>
      <w:szCs w:val="18"/>
    </w:rPr>
  </w:style>
  <w:style w:type="paragraph" w:customStyle="1" w:styleId="62">
    <w:name w:val="xl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Arial Unicode MS" w:cs="Arial Unicode MS"/>
      <w:sz w:val="18"/>
      <w:szCs w:val="18"/>
    </w:rPr>
  </w:style>
  <w:style w:type="character" w:customStyle="1" w:styleId="63">
    <w:name w:val="Tekst przypisu dolnego Znak"/>
    <w:basedOn w:val="11"/>
    <w:link w:val="29"/>
    <w:semiHidden/>
    <w:qFormat/>
    <w:uiPriority w:val="99"/>
    <w:rPr>
      <w:sz w:val="20"/>
      <w:szCs w:val="20"/>
    </w:rPr>
  </w:style>
  <w:style w:type="paragraph" w:customStyle="1" w:styleId="64">
    <w:name w:val="standard"/>
    <w:basedOn w:val="1"/>
    <w:qFormat/>
    <w:uiPriority w:val="99"/>
  </w:style>
  <w:style w:type="paragraph" w:customStyle="1" w:styleId="65">
    <w:name w:val="Boldowanie"/>
    <w:basedOn w:val="1"/>
    <w:qFormat/>
    <w:uiPriority w:val="99"/>
    <w:pPr>
      <w:tabs>
        <w:tab w:val="left" w:pos="1353"/>
      </w:tabs>
      <w:ind w:left="1353" w:hanging="360"/>
    </w:pPr>
  </w:style>
  <w:style w:type="paragraph" w:customStyle="1" w:styleId="66">
    <w:name w:val="Normalny + Wyjustowany"/>
    <w:basedOn w:val="1"/>
    <w:qFormat/>
    <w:uiPriority w:val="99"/>
    <w:pPr>
      <w:tabs>
        <w:tab w:val="left" w:pos="1211"/>
      </w:tabs>
      <w:spacing w:line="360" w:lineRule="auto"/>
      <w:ind w:left="1211" w:hanging="360"/>
      <w:jc w:val="both"/>
    </w:pPr>
    <w:rPr>
      <w:sz w:val="22"/>
      <w:szCs w:val="22"/>
    </w:rPr>
  </w:style>
  <w:style w:type="paragraph" w:customStyle="1" w:styleId="67">
    <w:name w:val="Obszar tekstu"/>
    <w:basedOn w:val="46"/>
    <w:qFormat/>
    <w:uiPriority w:val="99"/>
    <w:pPr>
      <w:autoSpaceDE w:val="0"/>
      <w:autoSpaceDN w:val="0"/>
      <w:adjustRightInd w:val="0"/>
      <w:spacing w:after="120"/>
    </w:pPr>
    <w:rPr>
      <w:sz w:val="20"/>
      <w:szCs w:val="24"/>
    </w:rPr>
  </w:style>
  <w:style w:type="paragraph" w:customStyle="1" w:styleId="68">
    <w:name w:val="xl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69">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eastAsia="Arial Unicode MS"/>
    </w:rPr>
  </w:style>
  <w:style w:type="paragraph" w:customStyle="1" w:styleId="70">
    <w:name w:val="xl28"/>
    <w:basedOn w:val="1"/>
    <w:qFormat/>
    <w:uiPriority w:val="99"/>
    <w:pPr>
      <w:pBdr>
        <w:top w:val="single" w:color="auto" w:sz="4" w:space="0"/>
        <w:left w:val="single" w:color="auto" w:sz="4" w:space="0"/>
        <w:bottom w:val="single" w:color="auto" w:sz="4" w:space="0"/>
      </w:pBdr>
      <w:spacing w:before="100" w:beforeAutospacing="1" w:after="100" w:afterAutospacing="1"/>
      <w:jc w:val="center"/>
    </w:pPr>
    <w:rPr>
      <w:rFonts w:ascii="Arial" w:hAnsi="Arial"/>
      <w:b/>
      <w:bCs/>
    </w:rPr>
  </w:style>
  <w:style w:type="paragraph" w:customStyle="1" w:styleId="71">
    <w:name w:val="xl29"/>
    <w:basedOn w:val="1"/>
    <w:qFormat/>
    <w:uiPriority w:val="99"/>
    <w:pPr>
      <w:pBdr>
        <w:top w:val="single" w:color="auto" w:sz="4" w:space="0"/>
        <w:bottom w:val="single" w:color="auto" w:sz="4" w:space="0"/>
      </w:pBdr>
      <w:spacing w:before="100" w:beforeAutospacing="1" w:after="100" w:afterAutospacing="1"/>
      <w:jc w:val="center"/>
    </w:pPr>
    <w:rPr>
      <w:rFonts w:ascii="Arial" w:hAnsi="Arial"/>
      <w:b/>
      <w:bCs/>
    </w:rPr>
  </w:style>
  <w:style w:type="paragraph" w:customStyle="1" w:styleId="72">
    <w:name w:val="xl30"/>
    <w:basedOn w:val="1"/>
    <w:qFormat/>
    <w:uiPriority w:val="99"/>
    <w:pPr>
      <w:pBdr>
        <w:top w:val="single" w:color="auto" w:sz="4" w:space="0"/>
        <w:left w:val="single" w:color="auto" w:sz="4" w:space="0"/>
        <w:bottom w:val="single" w:color="auto" w:sz="4" w:space="0"/>
      </w:pBdr>
      <w:spacing w:before="100" w:beforeAutospacing="1" w:after="100" w:afterAutospacing="1"/>
      <w:jc w:val="center"/>
    </w:pPr>
    <w:rPr>
      <w:rFonts w:ascii="Arial" w:hAnsi="Arial"/>
      <w:b/>
      <w:bCs/>
    </w:rPr>
  </w:style>
  <w:style w:type="paragraph" w:customStyle="1" w:styleId="73">
    <w:name w:val="xl31"/>
    <w:basedOn w:val="1"/>
    <w:qFormat/>
    <w:uiPriority w:val="99"/>
    <w:pPr>
      <w:pBdr>
        <w:top w:val="single" w:color="auto" w:sz="4" w:space="0"/>
        <w:bottom w:val="single" w:color="auto" w:sz="4" w:space="0"/>
      </w:pBdr>
      <w:spacing w:before="100" w:beforeAutospacing="1" w:after="100" w:afterAutospacing="1"/>
      <w:jc w:val="center"/>
    </w:pPr>
    <w:rPr>
      <w:rFonts w:ascii="Arial" w:hAnsi="Arial"/>
      <w:b/>
      <w:bCs/>
    </w:rPr>
  </w:style>
  <w:style w:type="paragraph" w:customStyle="1" w:styleId="74">
    <w:name w:val="font5"/>
    <w:basedOn w:val="1"/>
    <w:qFormat/>
    <w:uiPriority w:val="99"/>
    <w:pPr>
      <w:spacing w:before="100" w:beforeAutospacing="1" w:after="100" w:afterAutospacing="1"/>
    </w:pPr>
    <w:rPr>
      <w:rFonts w:eastAsia="Arial Unicode MS"/>
      <w:sz w:val="22"/>
      <w:szCs w:val="22"/>
    </w:rPr>
  </w:style>
  <w:style w:type="paragraph" w:customStyle="1" w:styleId="75">
    <w:name w:val="xl32"/>
    <w:basedOn w:val="1"/>
    <w:qFormat/>
    <w:uiPriority w:val="99"/>
    <w:pPr>
      <w:pBdr>
        <w:top w:val="single" w:color="auto" w:sz="4" w:space="0"/>
      </w:pBdr>
      <w:spacing w:before="100" w:beforeAutospacing="1" w:after="100" w:afterAutospacing="1"/>
    </w:pPr>
    <w:rPr>
      <w:rFonts w:eastAsia="Arial Unicode MS"/>
      <w:sz w:val="22"/>
      <w:szCs w:val="22"/>
    </w:rPr>
  </w:style>
  <w:style w:type="paragraph" w:customStyle="1" w:styleId="76">
    <w:name w:val="xl33"/>
    <w:basedOn w:val="1"/>
    <w:qFormat/>
    <w:uiPriority w:val="99"/>
    <w:pPr>
      <w:pBdr>
        <w:bottom w:val="single" w:color="auto" w:sz="4" w:space="0"/>
      </w:pBdr>
      <w:spacing w:before="100" w:beforeAutospacing="1" w:after="100" w:afterAutospacing="1"/>
      <w:jc w:val="center"/>
    </w:pPr>
    <w:rPr>
      <w:rFonts w:eastAsia="Arial Unicode MS"/>
      <w:sz w:val="22"/>
      <w:szCs w:val="22"/>
    </w:rPr>
  </w:style>
  <w:style w:type="paragraph" w:customStyle="1" w:styleId="77">
    <w:name w:val="xl34"/>
    <w:basedOn w:val="1"/>
    <w:qFormat/>
    <w:uiPriority w:val="99"/>
    <w:pPr>
      <w:pBdr>
        <w:bottom w:val="single" w:color="auto" w:sz="4" w:space="0"/>
      </w:pBdr>
      <w:spacing w:before="100" w:beforeAutospacing="1" w:after="100" w:afterAutospacing="1"/>
    </w:pPr>
    <w:rPr>
      <w:rFonts w:eastAsia="Arial Unicode MS"/>
      <w:sz w:val="22"/>
      <w:szCs w:val="22"/>
    </w:rPr>
  </w:style>
  <w:style w:type="paragraph" w:styleId="78">
    <w:name w:val="List Paragraph"/>
    <w:basedOn w:val="1"/>
    <w:qFormat/>
    <w:uiPriority w:val="34"/>
    <w:pPr>
      <w:ind w:left="708"/>
    </w:pPr>
  </w:style>
  <w:style w:type="paragraph" w:customStyle="1" w:styleId="79">
    <w:name w:val="Tekst podstawowy wcięty 31"/>
    <w:basedOn w:val="1"/>
    <w:qFormat/>
    <w:uiPriority w:val="99"/>
    <w:pPr>
      <w:overflowPunct w:val="0"/>
      <w:autoSpaceDE w:val="0"/>
      <w:autoSpaceDN w:val="0"/>
      <w:adjustRightInd w:val="0"/>
      <w:ind w:left="720" w:hanging="360"/>
      <w:jc w:val="both"/>
    </w:pPr>
    <w:rPr>
      <w:szCs w:val="20"/>
    </w:rPr>
  </w:style>
  <w:style w:type="character" w:customStyle="1" w:styleId="80">
    <w:name w:val="akapitdomyslny1"/>
    <w:basedOn w:val="11"/>
    <w:qFormat/>
    <w:uiPriority w:val="99"/>
    <w:rPr>
      <w:rFonts w:cs="Times New Roman"/>
    </w:rPr>
  </w:style>
  <w:style w:type="paragraph" w:customStyle="1" w:styleId="81">
    <w:name w:val="WW-Tekst podstawowy 2"/>
    <w:basedOn w:val="1"/>
    <w:qFormat/>
    <w:uiPriority w:val="99"/>
    <w:pPr>
      <w:suppressAutoHyphens/>
      <w:jc w:val="both"/>
    </w:pPr>
    <w:rPr>
      <w:rFonts w:ascii="Arial" w:hAnsi="Arial" w:cs="Arial"/>
      <w:lang w:eastAsia="ar-SA"/>
    </w:rPr>
  </w:style>
  <w:style w:type="character" w:customStyle="1" w:styleId="82">
    <w:name w:val="Tekst komentarza Znak"/>
    <w:basedOn w:val="11"/>
    <w:link w:val="22"/>
    <w:qFormat/>
    <w:locked/>
    <w:uiPriority w:val="99"/>
    <w:rPr>
      <w:lang w:val="pl-PL" w:eastAsia="pl-PL"/>
    </w:rPr>
  </w:style>
  <w:style w:type="character" w:customStyle="1" w:styleId="83">
    <w:name w:val="Znak Znak9"/>
    <w:qFormat/>
    <w:uiPriority w:val="99"/>
    <w:rPr>
      <w:sz w:val="24"/>
      <w:lang w:val="pl-PL" w:eastAsia="pl-PL"/>
    </w:rPr>
  </w:style>
  <w:style w:type="character" w:customStyle="1" w:styleId="84">
    <w:name w:val="Tekst dymka Znak"/>
    <w:basedOn w:val="11"/>
    <w:link w:val="13"/>
    <w:semiHidden/>
    <w:qFormat/>
    <w:uiPriority w:val="99"/>
    <w:rPr>
      <w:sz w:val="0"/>
      <w:szCs w:val="0"/>
    </w:rPr>
  </w:style>
  <w:style w:type="character" w:customStyle="1" w:styleId="85">
    <w:name w:val="Znak Znak91"/>
    <w:qFormat/>
    <w:locked/>
    <w:uiPriority w:val="99"/>
    <w:rPr>
      <w:sz w:val="24"/>
      <w:lang w:val="pl-PL" w:eastAsia="pl-PL"/>
    </w:rPr>
  </w:style>
  <w:style w:type="paragraph" w:customStyle="1" w:styleId="86">
    <w:name w:val="font6"/>
    <w:basedOn w:val="1"/>
    <w:qFormat/>
    <w:uiPriority w:val="99"/>
    <w:pPr>
      <w:spacing w:before="100" w:beforeAutospacing="1" w:after="100" w:afterAutospacing="1"/>
    </w:pPr>
    <w:rPr>
      <w:sz w:val="14"/>
      <w:szCs w:val="14"/>
    </w:rPr>
  </w:style>
  <w:style w:type="paragraph" w:customStyle="1" w:styleId="87">
    <w:name w:val="xl6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88">
    <w:name w:val="xl66"/>
    <w:basedOn w:val="1"/>
    <w:qFormat/>
    <w:uiPriority w:val="99"/>
    <w:pPr>
      <w:spacing w:before="100" w:beforeAutospacing="1" w:after="100" w:afterAutospacing="1"/>
      <w:textAlignment w:val="center"/>
    </w:pPr>
  </w:style>
  <w:style w:type="paragraph" w:customStyle="1" w:styleId="89">
    <w:name w:val="xl6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0">
    <w:name w:val="xl6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91">
    <w:name w:val="xl6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2">
    <w:name w:val="xl7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3">
    <w:name w:val="xl7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4">
    <w:name w:val="xl7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95">
    <w:name w:val="xl73"/>
    <w:basedOn w:val="1"/>
    <w:qFormat/>
    <w:uiPriority w:val="99"/>
    <w:pPr>
      <w:spacing w:before="100" w:beforeAutospacing="1" w:after="100" w:afterAutospacing="1"/>
      <w:textAlignment w:val="center"/>
    </w:pPr>
  </w:style>
  <w:style w:type="paragraph" w:customStyle="1" w:styleId="96">
    <w:name w:val="xl74"/>
    <w:basedOn w:val="1"/>
    <w:qFormat/>
    <w:uiPriority w:val="99"/>
    <w:pPr>
      <w:spacing w:before="100" w:beforeAutospacing="1" w:after="100" w:afterAutospacing="1"/>
      <w:jc w:val="center"/>
      <w:textAlignment w:val="center"/>
    </w:pPr>
    <w:rPr>
      <w:b/>
      <w:bCs/>
    </w:rPr>
  </w:style>
  <w:style w:type="paragraph" w:customStyle="1" w:styleId="97">
    <w:name w:val="xl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98">
    <w:name w:val="xl7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99">
    <w:name w:val="xl7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00">
    <w:name w:val="xl78"/>
    <w:basedOn w:val="1"/>
    <w:qFormat/>
    <w:uiPriority w:val="99"/>
    <w:pPr>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101">
    <w:name w:val="xl79"/>
    <w:basedOn w:val="1"/>
    <w:qFormat/>
    <w:uiPriority w:val="99"/>
    <w:pPr>
      <w:pBdr>
        <w:top w:val="single" w:color="auto" w:sz="4" w:space="0"/>
        <w:bottom w:val="single" w:color="auto" w:sz="4" w:space="0"/>
      </w:pBdr>
      <w:spacing w:before="100" w:beforeAutospacing="1" w:after="100" w:afterAutospacing="1"/>
      <w:jc w:val="center"/>
      <w:textAlignment w:val="center"/>
    </w:pPr>
    <w:rPr>
      <w:b/>
      <w:bCs/>
    </w:rPr>
  </w:style>
  <w:style w:type="paragraph" w:customStyle="1" w:styleId="102">
    <w:name w:val="xl80"/>
    <w:basedOn w:val="1"/>
    <w:qFormat/>
    <w:uiPriority w:val="99"/>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103">
    <w:name w:val="xl81"/>
    <w:basedOn w:val="1"/>
    <w:qFormat/>
    <w:uiPriority w:val="99"/>
    <w:pPr>
      <w:pBdr>
        <w:bottom w:val="single" w:color="auto" w:sz="4" w:space="0"/>
      </w:pBdr>
      <w:spacing w:before="100" w:beforeAutospacing="1" w:after="100" w:afterAutospacing="1"/>
      <w:jc w:val="right"/>
      <w:textAlignment w:val="center"/>
    </w:pPr>
    <w:rPr>
      <w:b/>
      <w:bCs/>
    </w:rPr>
  </w:style>
  <w:style w:type="paragraph" w:customStyle="1" w:styleId="104">
    <w:name w:val="xl8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rPr>
  </w:style>
  <w:style w:type="paragraph" w:customStyle="1" w:styleId="105">
    <w:name w:val="xl8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06">
    <w:name w:val="xl84"/>
    <w:basedOn w:val="1"/>
    <w:qFormat/>
    <w:uiPriority w:val="99"/>
    <w:pPr>
      <w:spacing w:before="100" w:beforeAutospacing="1" w:after="100" w:afterAutospacing="1"/>
      <w:textAlignment w:val="center"/>
    </w:pPr>
  </w:style>
  <w:style w:type="paragraph" w:customStyle="1" w:styleId="107">
    <w:name w:val="xl85"/>
    <w:basedOn w:val="1"/>
    <w:qFormat/>
    <w:uiPriority w:val="99"/>
    <w:pPr>
      <w:pBdr>
        <w:top w:val="single" w:color="auto" w:sz="4" w:space="0"/>
        <w:left w:val="single" w:color="auto" w:sz="4" w:space="0"/>
        <w:bottom w:val="single" w:color="auto" w:sz="4" w:space="0"/>
      </w:pBdr>
      <w:spacing w:before="100" w:beforeAutospacing="1" w:after="100" w:afterAutospacing="1"/>
      <w:jc w:val="right"/>
      <w:textAlignment w:val="center"/>
    </w:pPr>
    <w:rPr>
      <w:b/>
      <w:bCs/>
    </w:rPr>
  </w:style>
  <w:style w:type="paragraph" w:customStyle="1" w:styleId="108">
    <w:name w:val="xl86"/>
    <w:basedOn w:val="1"/>
    <w:qFormat/>
    <w:uiPriority w:val="99"/>
    <w:pPr>
      <w:pBdr>
        <w:top w:val="single" w:color="auto" w:sz="4" w:space="0"/>
        <w:bottom w:val="single" w:color="auto" w:sz="4" w:space="0"/>
      </w:pBdr>
      <w:spacing w:before="100" w:beforeAutospacing="1" w:after="100" w:afterAutospacing="1"/>
      <w:jc w:val="right"/>
      <w:textAlignment w:val="center"/>
    </w:pPr>
    <w:rPr>
      <w:b/>
      <w:bCs/>
    </w:rPr>
  </w:style>
  <w:style w:type="paragraph" w:customStyle="1" w:styleId="109">
    <w:name w:val="xl87"/>
    <w:basedOn w:val="1"/>
    <w:qFormat/>
    <w:uiPriority w:val="99"/>
    <w:pPr>
      <w:pBdr>
        <w:top w:val="single" w:color="auto" w:sz="4" w:space="0"/>
        <w:bottom w:val="single" w:color="auto" w:sz="4" w:space="0"/>
        <w:right w:val="single" w:color="auto" w:sz="4" w:space="0"/>
      </w:pBdr>
      <w:spacing w:before="100" w:beforeAutospacing="1" w:after="100" w:afterAutospacing="1"/>
      <w:jc w:val="right"/>
      <w:textAlignment w:val="center"/>
    </w:pPr>
    <w:rPr>
      <w:b/>
      <w:bCs/>
    </w:rPr>
  </w:style>
  <w:style w:type="paragraph" w:customStyle="1" w:styleId="110">
    <w:name w:val="xl88"/>
    <w:basedOn w:val="1"/>
    <w:qFormat/>
    <w:uiPriority w:val="99"/>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111">
    <w:name w:val="xl89"/>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112">
    <w:name w:val="xl90"/>
    <w:basedOn w:val="1"/>
    <w:qFormat/>
    <w:uiPriority w:val="99"/>
    <w:pPr>
      <w:pBdr>
        <w:top w:val="single" w:color="auto" w:sz="4" w:space="0"/>
        <w:left w:val="single" w:color="auto" w:sz="4" w:space="0"/>
        <w:right w:val="single" w:color="auto" w:sz="4" w:space="0"/>
      </w:pBdr>
      <w:spacing w:before="100" w:beforeAutospacing="1" w:after="100" w:afterAutospacing="1"/>
      <w:textAlignment w:val="center"/>
    </w:pPr>
  </w:style>
  <w:style w:type="paragraph" w:customStyle="1" w:styleId="113">
    <w:name w:val="xl91"/>
    <w:basedOn w:val="1"/>
    <w:qFormat/>
    <w:uiPriority w:val="99"/>
    <w:pPr>
      <w:pBdr>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4">
    <w:name w:val="xl92"/>
    <w:basedOn w:val="1"/>
    <w:qFormat/>
    <w:uiPriority w:val="99"/>
    <w:pPr>
      <w:pBdr>
        <w:top w:val="single" w:color="auto" w:sz="4" w:space="0"/>
        <w:left w:val="single" w:color="auto" w:sz="4" w:space="0"/>
        <w:right w:val="single" w:color="auto" w:sz="4" w:space="0"/>
      </w:pBdr>
      <w:spacing w:before="100" w:beforeAutospacing="1" w:after="100" w:afterAutospacing="1"/>
      <w:textAlignment w:val="center"/>
    </w:pPr>
  </w:style>
  <w:style w:type="paragraph" w:customStyle="1" w:styleId="115">
    <w:name w:val="xl93"/>
    <w:basedOn w:val="1"/>
    <w:qFormat/>
    <w:uiPriority w:val="99"/>
    <w:pPr>
      <w:pBdr>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6">
    <w:name w:val="xl94"/>
    <w:basedOn w:val="1"/>
    <w:qFormat/>
    <w:uiPriority w:val="99"/>
    <w:pPr>
      <w:pBdr>
        <w:top w:val="single" w:color="auto" w:sz="4" w:space="0"/>
        <w:left w:val="single" w:color="auto" w:sz="4" w:space="0"/>
        <w:right w:val="single" w:color="auto" w:sz="4" w:space="0"/>
      </w:pBdr>
      <w:spacing w:before="100" w:beforeAutospacing="1" w:after="100" w:afterAutospacing="1"/>
      <w:textAlignment w:val="center"/>
    </w:pPr>
  </w:style>
  <w:style w:type="paragraph" w:customStyle="1" w:styleId="117">
    <w:name w:val="xl95"/>
    <w:basedOn w:val="1"/>
    <w:qFormat/>
    <w:uiPriority w:val="99"/>
    <w:pPr>
      <w:pBdr>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8">
    <w:name w:val="xl96"/>
    <w:basedOn w:val="1"/>
    <w:qFormat/>
    <w:uiPriority w:val="99"/>
    <w:pPr>
      <w:spacing w:before="100" w:beforeAutospacing="1" w:after="100" w:afterAutospacing="1"/>
      <w:jc w:val="both"/>
    </w:pPr>
    <w:rPr>
      <w:b/>
      <w:bCs/>
    </w:rPr>
  </w:style>
  <w:style w:type="paragraph" w:customStyle="1" w:styleId="119">
    <w:name w:val="xl97"/>
    <w:basedOn w:val="1"/>
    <w:qFormat/>
    <w:uiPriority w:val="99"/>
    <w:pPr>
      <w:spacing w:before="100" w:beforeAutospacing="1" w:after="100" w:afterAutospacing="1"/>
    </w:pPr>
  </w:style>
  <w:style w:type="paragraph" w:customStyle="1" w:styleId="120">
    <w:name w:val="xl98"/>
    <w:basedOn w:val="1"/>
    <w:qFormat/>
    <w:uiPriority w:val="99"/>
    <w:pPr>
      <w:spacing w:before="100" w:beforeAutospacing="1" w:after="100" w:afterAutospacing="1"/>
      <w:jc w:val="both"/>
    </w:pPr>
  </w:style>
  <w:style w:type="paragraph" w:customStyle="1" w:styleId="121">
    <w:name w:val="xl99"/>
    <w:basedOn w:val="1"/>
    <w:qFormat/>
    <w:uiPriority w:val="99"/>
    <w:pPr>
      <w:spacing w:before="100" w:beforeAutospacing="1" w:after="100" w:afterAutospacing="1"/>
    </w:pPr>
  </w:style>
  <w:style w:type="paragraph" w:customStyle="1" w:styleId="122">
    <w:name w:val="xl100"/>
    <w:basedOn w:val="1"/>
    <w:qFormat/>
    <w:uiPriority w:val="99"/>
    <w:pPr>
      <w:spacing w:before="100" w:beforeAutospacing="1" w:after="100" w:afterAutospacing="1"/>
      <w:jc w:val="center"/>
    </w:pPr>
  </w:style>
  <w:style w:type="paragraph" w:customStyle="1" w:styleId="123">
    <w:name w:val="xl101"/>
    <w:basedOn w:val="1"/>
    <w:qFormat/>
    <w:uiPriority w:val="99"/>
    <w:pPr>
      <w:spacing w:before="100" w:beforeAutospacing="1" w:after="100" w:afterAutospacing="1"/>
    </w:pPr>
  </w:style>
  <w:style w:type="paragraph" w:customStyle="1" w:styleId="124">
    <w:name w:val="xl102"/>
    <w:basedOn w:val="1"/>
    <w:qFormat/>
    <w:uiPriority w:val="99"/>
    <w:pPr>
      <w:spacing w:before="100" w:beforeAutospacing="1" w:after="100" w:afterAutospacing="1"/>
    </w:pPr>
  </w:style>
  <w:style w:type="paragraph" w:customStyle="1" w:styleId="125">
    <w:name w:val="xl103"/>
    <w:basedOn w:val="1"/>
    <w:qFormat/>
    <w:uiPriority w:val="99"/>
    <w:pPr>
      <w:spacing w:before="100" w:beforeAutospacing="1" w:after="100" w:afterAutospacing="1"/>
      <w:jc w:val="both"/>
    </w:pPr>
    <w:rPr>
      <w:b/>
      <w:bCs/>
      <w:i/>
      <w:iCs/>
      <w:color w:val="0000FF"/>
      <w:sz w:val="22"/>
      <w:szCs w:val="22"/>
    </w:rPr>
  </w:style>
  <w:style w:type="paragraph" w:customStyle="1" w:styleId="126">
    <w:name w:val="xl104"/>
    <w:basedOn w:val="1"/>
    <w:qFormat/>
    <w:uiPriority w:val="99"/>
    <w:pPr>
      <w:spacing w:before="100" w:beforeAutospacing="1" w:after="100" w:afterAutospacing="1"/>
    </w:pPr>
  </w:style>
  <w:style w:type="paragraph" w:customStyle="1" w:styleId="127">
    <w:name w:val="xl105"/>
    <w:basedOn w:val="1"/>
    <w:qFormat/>
    <w:uiPriority w:val="99"/>
    <w:pPr>
      <w:spacing w:before="100" w:beforeAutospacing="1" w:after="100" w:afterAutospacing="1"/>
    </w:pPr>
  </w:style>
  <w:style w:type="character" w:customStyle="1" w:styleId="128">
    <w:name w:val="Znak Znak2"/>
    <w:qFormat/>
    <w:uiPriority w:val="99"/>
    <w:rPr>
      <w:sz w:val="24"/>
      <w:lang w:val="pl-PL" w:eastAsia="pl-PL"/>
    </w:rPr>
  </w:style>
  <w:style w:type="character" w:customStyle="1" w:styleId="129">
    <w:name w:val="Znak Znak"/>
    <w:qFormat/>
    <w:uiPriority w:val="99"/>
    <w:rPr>
      <w:lang w:val="pl-PL" w:eastAsia="pl-PL"/>
    </w:rPr>
  </w:style>
  <w:style w:type="paragraph" w:styleId="130">
    <w:name w:val="No Spacing"/>
    <w:qFormat/>
    <w:uiPriority w:val="0"/>
    <w:pPr>
      <w:spacing w:after="160" w:line="259" w:lineRule="auto"/>
    </w:pPr>
    <w:rPr>
      <w:rFonts w:ascii="Calibri" w:hAnsi="Calibri" w:eastAsia="Times New Roman" w:cs="Times New Roman"/>
      <w:sz w:val="22"/>
      <w:szCs w:val="22"/>
      <w:lang w:val="pl-PL" w:eastAsia="en-US" w:bidi="ar-SA"/>
    </w:rPr>
  </w:style>
  <w:style w:type="character" w:customStyle="1" w:styleId="131">
    <w:name w:val="DeltaView Insertion"/>
    <w:qFormat/>
    <w:uiPriority w:val="0"/>
    <w:rPr>
      <w:color w:val="0000FF"/>
      <w:spacing w:val="0"/>
      <w:u w:val="double"/>
    </w:rPr>
  </w:style>
  <w:style w:type="character" w:customStyle="1" w:styleId="132">
    <w:name w:val="Temat komentarza Znak"/>
    <w:basedOn w:val="82"/>
    <w:link w:val="23"/>
    <w:semiHidden/>
    <w:qFormat/>
    <w:uiPriority w:val="99"/>
    <w:rPr>
      <w:b/>
      <w:bCs/>
      <w:sz w:val="20"/>
      <w:szCs w:val="20"/>
      <w:lang w:val="pl-PL" w:eastAsia="pl-PL"/>
    </w:rPr>
  </w:style>
  <w:style w:type="paragraph" w:customStyle="1" w:styleId="133">
    <w:name w:val="Poprawka1"/>
    <w:hidden/>
    <w:semiHidden/>
    <w:qFormat/>
    <w:uiPriority w:val="99"/>
    <w:pPr>
      <w:spacing w:after="160" w:line="259" w:lineRule="auto"/>
    </w:pPr>
    <w:rPr>
      <w:rFonts w:ascii="Times New Roman" w:hAnsi="Times New Roman" w:eastAsia="Times New Roman" w:cs="Times New Roman"/>
      <w:sz w:val="24"/>
      <w:szCs w:val="24"/>
      <w:lang w:val="pl-PL" w:eastAsia="pl-PL" w:bidi="ar-SA"/>
    </w:rPr>
  </w:style>
  <w:style w:type="character" w:customStyle="1" w:styleId="134">
    <w:name w:val="Tekst przypisu końcowego Znak"/>
    <w:basedOn w:val="11"/>
    <w:link w:val="25"/>
    <w:semiHidden/>
    <w:qFormat/>
    <w:uiPriority w:val="99"/>
  </w:style>
  <w:style w:type="paragraph" w:customStyle="1" w:styleId="135">
    <w:name w:val="Default"/>
    <w:qFormat/>
    <w:uiPriority w:val="0"/>
    <w:pPr>
      <w:autoSpaceDE w:val="0"/>
      <w:autoSpaceDN w:val="0"/>
      <w:adjustRightInd w:val="0"/>
      <w:spacing w:after="160" w:line="259" w:lineRule="auto"/>
    </w:pPr>
    <w:rPr>
      <w:rFonts w:ascii="Arial" w:hAnsi="Arial" w:eastAsia="Calibri" w:cs="Arial"/>
      <w:color w:val="000000"/>
      <w:sz w:val="24"/>
      <w:szCs w:val="24"/>
      <w:lang w:val="pl-PL" w:eastAsia="pl-PL" w:bidi="ar-SA"/>
    </w:rPr>
  </w:style>
  <w:style w:type="paragraph" w:customStyle="1" w:styleId="136">
    <w:name w:val="Numeracja Urzędowa"/>
    <w:basedOn w:val="46"/>
    <w:qFormat/>
    <w:uiPriority w:val="0"/>
    <w:pPr>
      <w:numPr>
        <w:ilvl w:val="0"/>
        <w:numId w:val="2"/>
      </w:numPr>
      <w:tabs>
        <w:tab w:val="left" w:pos="720"/>
      </w:tabs>
      <w:suppressAutoHyphens/>
      <w:autoSpaceDN w:val="0"/>
      <w:spacing w:line="360" w:lineRule="auto"/>
      <w:ind w:left="720" w:right="-2" w:hanging="360"/>
      <w:jc w:val="both"/>
      <w:textAlignment w:val="baseline"/>
    </w:pPr>
    <w:rPr>
      <w:kern w:val="3"/>
      <w:sz w:val="21"/>
      <w:szCs w:val="24"/>
      <w:lang w:eastAsia="zh-CN" w:bidi="hi-IN"/>
    </w:rPr>
  </w:style>
  <w:style w:type="character" w:customStyle="1" w:styleId="137">
    <w:name w:val="text1"/>
    <w:basedOn w:val="11"/>
    <w:qFormat/>
    <w:uiPriority w:val="0"/>
    <w:rPr>
      <w:rFonts w:hint="default" w:ascii="Verdana" w:hAnsi="Verdana"/>
      <w:color w:val="000000"/>
      <w:sz w:val="13"/>
      <w:szCs w:val="13"/>
    </w:rPr>
  </w:style>
  <w:style w:type="character" w:customStyle="1" w:styleId="138">
    <w:name w:val="Nierozpoznana wzmianka1"/>
    <w:basedOn w:val="11"/>
    <w:semiHidden/>
    <w:unhideWhenUsed/>
    <w:qFormat/>
    <w:uiPriority w:val="99"/>
    <w:rPr>
      <w:color w:val="808080"/>
      <w:shd w:val="clear" w:color="auto" w:fill="E6E6E6"/>
    </w:rPr>
  </w:style>
  <w:style w:type="paragraph" w:customStyle="1" w:styleId="139">
    <w:name w:val="Body Text 21"/>
    <w:basedOn w:val="1"/>
    <w:qFormat/>
    <w:uiPriority w:val="0"/>
    <w:pPr>
      <w:tabs>
        <w:tab w:val="left" w:pos="0"/>
      </w:tabs>
      <w:jc w:val="both"/>
    </w:pPr>
    <w:rPr>
      <w:sz w:val="24"/>
      <w:szCs w:val="24"/>
    </w:rPr>
  </w:style>
  <w:style w:type="paragraph" w:customStyle="1" w:styleId="140">
    <w:name w:val="Z_LIT/PKT – zm. pkt literą"/>
    <w:basedOn w:val="1"/>
    <w:qFormat/>
    <w:uiPriority w:val="47"/>
    <w:pPr>
      <w:spacing w:line="360" w:lineRule="auto"/>
      <w:ind w:left="1497" w:hanging="510"/>
      <w:jc w:val="both"/>
    </w:pPr>
    <w:rPr>
      <w:rFonts w:ascii="Times" w:hAnsi="Times" w:cs="Arial"/>
      <w:bCs/>
      <w:sz w:val="24"/>
    </w:rPr>
  </w:style>
  <w:style w:type="paragraph" w:customStyle="1" w:styleId="141">
    <w:name w:val="pkt"/>
    <w:basedOn w:val="1"/>
    <w:qFormat/>
    <w:uiPriority w:val="0"/>
    <w:pPr>
      <w:spacing w:before="60" w:after="60"/>
      <w:ind w:left="851" w:hanging="295"/>
      <w:jc w:val="both"/>
    </w:pPr>
    <w:rPr>
      <w:sz w:val="24"/>
      <w:szCs w:val="24"/>
    </w:rPr>
  </w:style>
  <w:style w:type="paragraph" w:customStyle="1" w:styleId="142">
    <w:name w:val="Tekst podstawowy wcięty 21"/>
    <w:basedOn w:val="1"/>
    <w:qFormat/>
    <w:uiPriority w:val="0"/>
    <w:pPr>
      <w:suppressAutoHyphens/>
      <w:ind w:left="708"/>
      <w:jc w:val="both"/>
    </w:pPr>
    <w:rPr>
      <w:b/>
      <w:bCs/>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7AD19-859A-406F-913B-2A53734491AA}">
  <ds:schemaRefs/>
</ds:datastoreItem>
</file>

<file path=docProps/app.xml><?xml version="1.0" encoding="utf-8"?>
<Properties xmlns="http://schemas.openxmlformats.org/officeDocument/2006/extended-properties" xmlns:vt="http://schemas.openxmlformats.org/officeDocument/2006/docPropsVTypes">
  <Template>Normal</Template>
  <Pages>58</Pages>
  <Words>10556</Words>
  <Characters>71726</Characters>
  <Lines>597</Lines>
  <Paragraphs>164</Paragraphs>
  <TotalTime>205</TotalTime>
  <ScaleCrop>false</ScaleCrop>
  <LinksUpToDate>false</LinksUpToDate>
  <CharactersWithSpaces>82118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2018-06-13T12:33:00Z</dcterms:created>
  <dc:creator>Dyaczyńska</dc:creator>
  <cp:lastModifiedBy>rai</cp:lastModifiedBy>
  <cp:lastPrinted>2019-07-19T11:38:00Z</cp:lastPrinted>
  <dcterms:modified xsi:type="dcterms:W3CDTF">2022-02-24T11:05:02Z</dcterms:modified>
  <dc:title>„Wodociągi i Kanalizacja – Zgierz” Sp</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612F2951601042FE988C49F83741D4DB</vt:lpwstr>
  </property>
</Properties>
</file>