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8"/>
          <w:szCs w:val="28"/>
        </w:rPr>
      </w:pPr>
      <w:r>
        <w:rPr>
          <w:rFonts w:ascii="Times New Roman" w:hAnsi="Times New Roman"/>
          <w:sz w:val="28"/>
          <w:szCs w:val="28"/>
        </w:rPr>
        <w:tab/>
      </w:r>
      <w:r>
        <w:rPr>
          <w:rFonts w:ascii="Calibri" w:hAnsi="Calibri" w:eastAsia="Calibri"/>
          <w:i/>
        </w:rPr>
        <w:drawing>
          <wp:inline distT="0" distB="0" distL="0" distR="0">
            <wp:extent cx="5654040" cy="792480"/>
            <wp:effectExtent l="0" t="0" r="3810" b="7620"/>
            <wp:docPr id="2" name="Obraz 2" descr="C:\Users\ANNA~1.BIL\AppData\Local\Temp\7zOC4BDAA9D\FE_POPC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ANNA~1.BIL\AppData\Local\Temp\7zOC4BDAA9D\FE_POPC_poziom_pl-1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54040" cy="79248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pPr>
        <w:ind w:left="4956" w:firstLine="708"/>
        <w:jc w:val="center"/>
        <w:rPr>
          <w:rFonts w:ascii="Times New Roman" w:hAnsi="Times New Roman"/>
          <w:sz w:val="28"/>
          <w:szCs w:val="28"/>
        </w:rPr>
      </w:pPr>
      <w:r>
        <w:rPr>
          <w:rFonts w:ascii="Times New Roman" w:hAnsi="Times New Roman"/>
          <w:sz w:val="28"/>
          <w:szCs w:val="28"/>
        </w:rPr>
        <w:t xml:space="preserve">Załącznik nr </w:t>
      </w:r>
      <w:r>
        <w:rPr>
          <w:rFonts w:hint="default" w:ascii="Times New Roman" w:hAnsi="Times New Roman"/>
          <w:sz w:val="28"/>
          <w:szCs w:val="28"/>
          <w:lang w:val="pl-PL"/>
        </w:rPr>
        <w:t>5</w:t>
      </w:r>
      <w:r>
        <w:rPr>
          <w:rFonts w:ascii="Times New Roman" w:hAnsi="Times New Roman"/>
          <w:sz w:val="28"/>
          <w:szCs w:val="28"/>
        </w:rPr>
        <w:t xml:space="preserve"> do SWZ</w:t>
      </w:r>
    </w:p>
    <w:p>
      <w:pPr>
        <w:ind w:left="4956" w:firstLine="708"/>
        <w:jc w:val="center"/>
        <w:rPr>
          <w:rFonts w:ascii="Times New Roman" w:hAnsi="Times New Roman"/>
          <w:sz w:val="28"/>
          <w:szCs w:val="28"/>
        </w:rPr>
      </w:pPr>
    </w:p>
    <w:p>
      <w:pPr>
        <w:jc w:val="center"/>
        <w:rPr>
          <w:rFonts w:ascii="Times New Roman" w:hAnsi="Times New Roman"/>
          <w:sz w:val="28"/>
          <w:szCs w:val="28"/>
        </w:rPr>
      </w:pPr>
      <w:r>
        <w:rPr>
          <w:rFonts w:ascii="Times New Roman" w:hAnsi="Times New Roman"/>
          <w:sz w:val="28"/>
          <w:szCs w:val="28"/>
        </w:rPr>
        <w:t>Szczegółowy opis przedmiotu zamówienia</w:t>
      </w:r>
      <w:r>
        <w:rPr>
          <w:rFonts w:ascii="Times New Roman" w:hAnsi="Times New Roman"/>
          <w:sz w:val="28"/>
          <w:szCs w:val="28"/>
        </w:rPr>
        <w:tab/>
      </w:r>
    </w:p>
    <w:p>
      <w:pPr>
        <w:pStyle w:val="14"/>
        <w:spacing w:after="160" w:line="259" w:lineRule="auto"/>
        <w:ind w:left="567"/>
        <w:contextualSpacing/>
        <w:jc w:val="center"/>
        <w:rPr>
          <w:rFonts w:ascii="Times New Roman" w:hAnsi="Times New Roman"/>
          <w:sz w:val="28"/>
          <w:szCs w:val="28"/>
        </w:rPr>
      </w:pPr>
      <w:r>
        <w:rPr>
          <w:rFonts w:ascii="Times New Roman" w:hAnsi="Times New Roman"/>
          <w:sz w:val="28"/>
          <w:szCs w:val="28"/>
        </w:rPr>
        <w:t xml:space="preserve">Minimalne parametry techniczne i funkcjonalne </w:t>
      </w:r>
      <w:r>
        <w:rPr>
          <w:rFonts w:ascii="Times New Roman" w:hAnsi="Times New Roman"/>
          <w:sz w:val="28"/>
          <w:szCs w:val="28"/>
        </w:rPr>
        <w:tab/>
      </w:r>
      <w:r>
        <w:rPr>
          <w:rFonts w:ascii="Times New Roman" w:hAnsi="Times New Roman"/>
          <w:sz w:val="28"/>
          <w:szCs w:val="28"/>
        </w:rPr>
        <w:tab/>
      </w:r>
    </w:p>
    <w:p>
      <w:pPr>
        <w:pStyle w:val="14"/>
        <w:spacing w:after="160" w:line="259" w:lineRule="auto"/>
        <w:ind w:left="567"/>
        <w:contextualSpacing/>
        <w:jc w:val="center"/>
        <w:rPr>
          <w:rFonts w:hint="default" w:ascii="Times New Roman" w:hAnsi="Times New Roman"/>
          <w:sz w:val="28"/>
          <w:szCs w:val="28"/>
          <w:lang w:val="pl-PL"/>
        </w:rPr>
      </w:pPr>
    </w:p>
    <w:p>
      <w:pPr>
        <w:pStyle w:val="14"/>
        <w:spacing w:after="160" w:line="259" w:lineRule="auto"/>
        <w:ind w:left="567"/>
        <w:contextualSpacing/>
        <w:jc w:val="center"/>
        <w:rPr>
          <w:rFonts w:hint="default" w:ascii="Times New Roman" w:hAnsi="Times New Roman"/>
          <w:sz w:val="28"/>
          <w:szCs w:val="28"/>
          <w:lang w:val="pl-PL"/>
        </w:rPr>
      </w:pPr>
    </w:p>
    <w:p>
      <w:pPr>
        <w:pStyle w:val="14"/>
        <w:numPr>
          <w:ilvl w:val="0"/>
          <w:numId w:val="1"/>
        </w:numPr>
        <w:spacing w:after="160" w:line="259" w:lineRule="auto"/>
        <w:ind w:left="0" w:leftChars="0" w:firstLine="0" w:firstLineChars="0"/>
        <w:contextualSpacing/>
        <w:jc w:val="both"/>
        <w:rPr>
          <w:rFonts w:hint="default" w:ascii="Times New Roman" w:hAnsi="Times New Roman"/>
          <w:sz w:val="28"/>
          <w:szCs w:val="28"/>
          <w:lang w:val="pl-PL"/>
        </w:rPr>
      </w:pPr>
      <w:r>
        <w:rPr>
          <w:rFonts w:hint="default" w:ascii="Times New Roman" w:hAnsi="Times New Roman"/>
          <w:sz w:val="28"/>
          <w:szCs w:val="28"/>
          <w:lang w:val="pl-PL"/>
        </w:rPr>
        <w:t>Komputer przenośny</w:t>
      </w:r>
    </w:p>
    <w:p>
      <w:pPr>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Style w:val="3"/>
        <w:tblW w:w="5007" w:type="pct"/>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1" w:type="dxa"/>
          <w:bottom w:w="0" w:type="dxa"/>
          <w:right w:w="71" w:type="dxa"/>
        </w:tblCellMar>
      </w:tblPr>
      <w:tblGrid>
        <w:gridCol w:w="409"/>
        <w:gridCol w:w="1436"/>
        <w:gridCol w:w="7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5000" w:type="pct"/>
            <w:gridSpan w:val="3"/>
            <w:shd w:val="clear" w:color="auto" w:fill="auto"/>
            <w:vAlign w:val="center"/>
          </w:tcPr>
          <w:p>
            <w:pPr>
              <w:rPr>
                <w:rFonts w:ascii="Verdana" w:hAnsi="Verdana" w:cs="Arial"/>
                <w:b/>
                <w:sz w:val="20"/>
              </w:rPr>
            </w:pPr>
            <w:r>
              <w:rPr>
                <w:rFonts w:ascii="Verdana" w:hAnsi="Verdana" w:cs="Arial"/>
                <w:b/>
                <w:sz w:val="20"/>
              </w:rPr>
              <w:t>Szczegółowy opis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5000" w:type="pct"/>
            <w:gridSpan w:val="3"/>
            <w:shd w:val="clear" w:color="auto" w:fill="auto"/>
            <w:vAlign w:val="center"/>
          </w:tcPr>
          <w:p>
            <w:pPr>
              <w:jc w:val="both"/>
              <w:outlineLvl w:val="0"/>
              <w:rPr>
                <w:rFonts w:ascii="Verdana" w:hAnsi="Verdana" w:cs="Calibri"/>
                <w:sz w:val="20"/>
              </w:rPr>
            </w:pPr>
            <w:r>
              <w:rPr>
                <w:rFonts w:ascii="Verdana" w:hAnsi="Verdana" w:cs="Arial"/>
                <w:sz w:val="20"/>
              </w:rPr>
              <w:t xml:space="preserve">Komputer przenośny - </w:t>
            </w:r>
            <w:r>
              <w:rPr>
                <w:rFonts w:ascii="Verdana" w:hAnsi="Verdana" w:cs="Calibri"/>
                <w:sz w:val="20"/>
              </w:rPr>
              <w:t>Komputer przenośny typu Ultrabook, który będzie wykorzystywany dla potrzeb aplikacji biurowych, aplikacji edukacyjnych, aplikacji obliczeniowych, dostępu do Internetu oraz poczty elektronicznej.</w:t>
            </w:r>
          </w:p>
          <w:p>
            <w:pPr>
              <w:rPr>
                <w:rFonts w:ascii="Verdana" w:hAnsi="Verdana" w:cs="Arial"/>
                <w:sz w:val="20"/>
              </w:rPr>
            </w:pPr>
          </w:p>
          <w:p>
            <w:pPr>
              <w:jc w:val="both"/>
              <w:rPr>
                <w:rFonts w:ascii="Verdana" w:hAnsi="Verdana" w:cs="Arial"/>
                <w:sz w:val="20"/>
              </w:rPr>
            </w:pPr>
            <w:r>
              <w:rPr>
                <w:rFonts w:ascii="Verdana" w:hAnsi="Verdana" w:cs="Arial"/>
                <w:sz w:val="20"/>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pPr>
              <w:jc w:val="both"/>
              <w:rPr>
                <w:rFonts w:ascii="Verdana" w:hAnsi="Verdana" w:cs="Arial"/>
                <w:bCs/>
                <w:sz w:val="20"/>
              </w:rPr>
            </w:pPr>
            <w:r>
              <w:rPr>
                <w:rFonts w:ascii="Verdana" w:hAnsi="Verdana" w:cs="Arial"/>
                <w:bCs/>
                <w:sz w:val="20"/>
              </w:rPr>
              <w:t>Nie dopuszcza się zaoferowania komputera refurbished.</w:t>
            </w:r>
          </w:p>
          <w:p>
            <w:pPr>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5000" w:type="pct"/>
            <w:gridSpan w:val="3"/>
            <w:shd w:val="clear" w:color="auto" w:fill="auto"/>
            <w:vAlign w:val="center"/>
          </w:tcPr>
          <w:p>
            <w:pPr>
              <w:rPr>
                <w:rFonts w:ascii="Verdana" w:hAnsi="Verdana" w:cs="Arial"/>
                <w:sz w:val="20"/>
              </w:rPr>
            </w:pPr>
            <w:r>
              <w:rPr>
                <w:rFonts w:ascii="Verdana" w:hAnsi="Verdana" w:cs="Arial"/>
                <w:sz w:val="20"/>
              </w:rPr>
              <w:t>Nie dopuszcza się modyfikacji na drodze Producent-Zamawiający.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vAlign w:val="center"/>
          </w:tcPr>
          <w:p>
            <w:pPr>
              <w:rPr>
                <w:rFonts w:ascii="Times New Roman" w:hAnsi="Times New Roman"/>
                <w:bCs/>
                <w:szCs w:val="22"/>
              </w:rPr>
            </w:pPr>
            <w:r>
              <w:rPr>
                <w:rFonts w:ascii="Times New Roman" w:hAnsi="Times New Roman"/>
                <w:b/>
                <w:szCs w:val="22"/>
                <w:lang w:eastAsia="en-US"/>
              </w:rPr>
              <w:t>Lp.</w:t>
            </w:r>
          </w:p>
        </w:tc>
        <w:tc>
          <w:tcPr>
            <w:tcW w:w="743" w:type="pct"/>
            <w:vAlign w:val="center"/>
          </w:tcPr>
          <w:p>
            <w:pPr>
              <w:rPr>
                <w:rFonts w:ascii="Times New Roman" w:hAnsi="Times New Roman"/>
                <w:bCs/>
                <w:szCs w:val="22"/>
              </w:rPr>
            </w:pPr>
            <w:r>
              <w:rPr>
                <w:rFonts w:ascii="Times New Roman" w:hAnsi="Times New Roman"/>
                <w:b/>
                <w:szCs w:val="22"/>
              </w:rPr>
              <w:t>Nazwa komponentu</w:t>
            </w:r>
          </w:p>
        </w:tc>
        <w:tc>
          <w:tcPr>
            <w:tcW w:w="4044" w:type="pct"/>
            <w:vAlign w:val="center"/>
          </w:tcPr>
          <w:p>
            <w:pPr>
              <w:rPr>
                <w:rFonts w:ascii="Times New Roman" w:hAnsi="Times New Roman"/>
                <w:szCs w:val="22"/>
              </w:rPr>
            </w:pPr>
            <w:r>
              <w:rPr>
                <w:rFonts w:ascii="Times New Roman" w:hAnsi="Times New Roman"/>
                <w:b/>
                <w:szCs w:val="22"/>
              </w:rPr>
              <w:t xml:space="preserve">Wymagane minimalne parametry techniczne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841"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sz w:val="20"/>
              </w:rPr>
              <w:t>Przekątna i rozdzielczość ekranu</w:t>
            </w:r>
          </w:p>
        </w:tc>
        <w:tc>
          <w:tcPr>
            <w:tcW w:w="4044" w:type="pct"/>
          </w:tcPr>
          <w:p>
            <w:pPr>
              <w:jc w:val="both"/>
              <w:outlineLvl w:val="0"/>
              <w:rPr>
                <w:rFonts w:ascii="Verdana" w:hAnsi="Verdana" w:cs="Calibri"/>
                <w:sz w:val="20"/>
              </w:rPr>
            </w:pPr>
            <w:r>
              <w:rPr>
                <w:rFonts w:ascii="Verdana" w:hAnsi="Verdana" w:cs="Calibri"/>
                <w:sz w:val="20"/>
              </w:rPr>
              <w:t>Ekran o przekątnej 15,6 cala o rozdzielczości FHD WLED (1920x1080), kontraście 700:1 i jasności co najmniej 220 cd/m2,</w:t>
            </w:r>
            <w:r>
              <w:rPr>
                <w:rFonts w:ascii="Verdana" w:hAnsi="Verdana"/>
                <w:sz w:val="20"/>
              </w:rPr>
              <w:t xml:space="preserve"> </w:t>
            </w:r>
            <w:r>
              <w:rPr>
                <w:rFonts w:ascii="Verdana" w:hAnsi="Verdana" w:cs="Calibri"/>
                <w:sz w:val="20"/>
              </w:rPr>
              <w:t>matryca matowa AG o podwyższonej trwałości chroniona obudową wykonaną ze stopów magnezu.  Metalowe, wzmacniane zawiasy, kąt odchylenia matrycy co najmniej 185 stopni.</w:t>
            </w:r>
          </w:p>
          <w:p>
            <w:pPr>
              <w:jc w:val="both"/>
              <w:outlineLvl w:val="0"/>
              <w:rPr>
                <w:rFonts w:ascii="Verdana" w:hAnsi="Verdana" w:cs="Calibri"/>
                <w:color w:val="00B05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416"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sz w:val="20"/>
              </w:rPr>
            </w:pPr>
            <w:r>
              <w:rPr>
                <w:rFonts w:ascii="Verdana" w:hAnsi="Verdana" w:cs="Arial"/>
                <w:sz w:val="20"/>
              </w:rPr>
              <w:t>Wydajność</w:t>
            </w:r>
          </w:p>
        </w:tc>
        <w:tc>
          <w:tcPr>
            <w:tcW w:w="4044" w:type="pct"/>
          </w:tcPr>
          <w:p>
            <w:pPr>
              <w:outlineLvl w:val="0"/>
              <w:rPr>
                <w:rFonts w:ascii="Verdana" w:hAnsi="Verdana" w:cs="Arial"/>
                <w:sz w:val="20"/>
              </w:rPr>
            </w:pPr>
            <w:r>
              <w:rPr>
                <w:rFonts w:ascii="Verdana" w:hAnsi="Verdana"/>
                <w:sz w:val="20"/>
              </w:rPr>
              <w:t xml:space="preserve">Procesor klasy x86 ze zintegrowaną grafiką, zapewniający równoważną wydajność całego oferowanego laptopa (Rating) min. 11000pkt w  teście Passmark CPU Mark 10 wg wyników dostępnych na stronie: </w:t>
            </w:r>
            <w:r>
              <w:fldChar w:fldCharType="begin"/>
            </w:r>
            <w:r>
              <w:instrText xml:space="preserve"> HYPERLINK "https://www.cpubenchmark.net/high_end_cpus.html" </w:instrText>
            </w:r>
            <w:r>
              <w:fldChar w:fldCharType="separate"/>
            </w:r>
            <w:r>
              <w:rPr>
                <w:rStyle w:val="11"/>
                <w:rFonts w:ascii="Verdana" w:hAnsi="Verdana" w:cs="Calibri"/>
                <w:color w:val="auto"/>
                <w:sz w:val="20"/>
              </w:rPr>
              <w:t>https://www.cpubenchmark.net/high_end_cpus.html</w:t>
            </w:r>
            <w:r>
              <w:rPr>
                <w:rStyle w:val="11"/>
                <w:rFonts w:ascii="Verdana" w:hAnsi="Verdana" w:cs="Calibri"/>
                <w:color w:val="auto"/>
                <w:sz w:val="20"/>
              </w:rPr>
              <w:fldChar w:fldCharType="end"/>
            </w:r>
          </w:p>
          <w:p>
            <w:pPr>
              <w:jc w:val="both"/>
              <w:outlineLvl w:val="0"/>
              <w:rPr>
                <w:rFonts w:ascii="Verdana" w:hAnsi="Verdana" w:cs="Calibri"/>
                <w:sz w:val="20"/>
              </w:rPr>
            </w:pPr>
            <w:r>
              <w:rPr>
                <w:rFonts w:ascii="Verdana" w:hAnsi="Verdana"/>
                <w:sz w:val="20"/>
              </w:rPr>
              <w:t>Wynik nie starszy niż 3 miesiące od daty publikacji postępowania.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Pamięć RAM</w:t>
            </w:r>
          </w:p>
        </w:tc>
        <w:tc>
          <w:tcPr>
            <w:tcW w:w="4044" w:type="pct"/>
          </w:tcPr>
          <w:p>
            <w:pPr>
              <w:jc w:val="both"/>
              <w:outlineLvl w:val="0"/>
              <w:rPr>
                <w:rFonts w:ascii="Verdana" w:hAnsi="Verdana" w:cs="Arial"/>
                <w:sz w:val="20"/>
              </w:rPr>
            </w:pPr>
            <w:r>
              <w:rPr>
                <w:rFonts w:ascii="Verdana" w:hAnsi="Verdana" w:cs="Calibri"/>
                <w:sz w:val="20"/>
              </w:rPr>
              <w:t>Pamięć operacyjna: 8GB DDR4 3200 MHz z możliwością rozbudowy do min 64 GB,</w:t>
            </w:r>
            <w:r>
              <w:rPr>
                <w:rFonts w:ascii="Verdana" w:hAnsi="Verdana" w:cs="Arial"/>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Pamięć masowa</w:t>
            </w:r>
          </w:p>
        </w:tc>
        <w:tc>
          <w:tcPr>
            <w:tcW w:w="4044" w:type="pct"/>
          </w:tcPr>
          <w:p>
            <w:pPr>
              <w:autoSpaceDE w:val="0"/>
              <w:autoSpaceDN w:val="0"/>
              <w:adjustRightInd w:val="0"/>
              <w:jc w:val="both"/>
              <w:rPr>
                <w:rFonts w:ascii="Verdana" w:hAnsi="Verdana" w:cs="Arial"/>
                <w:sz w:val="20"/>
              </w:rPr>
            </w:pPr>
            <w:r>
              <w:rPr>
                <w:rFonts w:ascii="Verdana" w:hAnsi="Verdana" w:cs="Calibri"/>
                <w:sz w:val="20"/>
              </w:rPr>
              <w:t xml:space="preserve">Parametry pamięci masowej: dysk SSD M.2 NVMe o pojemności min. 256GB, </w:t>
            </w:r>
            <w:r>
              <w:rPr>
                <w:rFonts w:ascii="Verdana" w:hAnsi="Verdana" w:cs="Calibri"/>
                <w:bCs/>
                <w:sz w:val="20"/>
                <w:lang w:eastAsia="en-US"/>
              </w:rPr>
              <w:t>zawierający partycję RECOVERY umożliwiającą odtworzenie systemu operacyjnego fabrycznie zainstalowanego na komputerze po awarii bez dodatkowych nośników.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Karta graficzna</w:t>
            </w:r>
          </w:p>
        </w:tc>
        <w:tc>
          <w:tcPr>
            <w:tcW w:w="4044" w:type="pct"/>
          </w:tcPr>
          <w:p>
            <w:pPr>
              <w:autoSpaceDE w:val="0"/>
              <w:autoSpaceDN w:val="0"/>
              <w:adjustRightInd w:val="0"/>
              <w:jc w:val="both"/>
              <w:rPr>
                <w:rFonts w:ascii="Verdana" w:hAnsi="Verdana" w:cs="Calibri"/>
                <w:sz w:val="20"/>
              </w:rPr>
            </w:pPr>
            <w:r>
              <w:rPr>
                <w:rFonts w:ascii="Verdana" w:hAnsi="Verdana" w:cs="Calibri"/>
                <w:sz w:val="20"/>
              </w:rPr>
              <w:t>Wydajność grafiki: zintegrowana karta graficzna wykorzystująca pamięć RAM systemu dynamicznie przydzielaną na potrzeby grafiki w trybie UMA (Unified Memory Access) – z możliwością dynamicznego przydzielenia do 1,5 GB pamięci. Obsługująca funkcje: DirectX 12, OpenGL 4.5. Grafika musi umożliwiać obsługę co najmniej 3 osobnych ekranów.</w:t>
            </w:r>
          </w:p>
          <w:p>
            <w:pPr>
              <w:autoSpaceDE w:val="0"/>
              <w:autoSpaceDN w:val="0"/>
              <w:adjustRightInd w:val="0"/>
              <w:jc w:val="both"/>
              <w:rPr>
                <w:rFonts w:ascii="Verdana" w:hAnsi="Verdana" w:cs="Arial"/>
                <w:sz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sz w:val="20"/>
              </w:rPr>
              <w:t>Wirtualizacja</w:t>
            </w:r>
          </w:p>
        </w:tc>
        <w:tc>
          <w:tcPr>
            <w:tcW w:w="4044" w:type="pct"/>
          </w:tcPr>
          <w:p>
            <w:pPr>
              <w:jc w:val="both"/>
              <w:rPr>
                <w:rFonts w:ascii="Verdana" w:hAnsi="Verdana" w:cs="Calibri"/>
                <w:sz w:val="20"/>
              </w:rPr>
            </w:pPr>
            <w:r>
              <w:rPr>
                <w:rFonts w:ascii="Verdana" w:hAnsi="Verdana" w:cs="Calibri"/>
                <w:sz w:val="20"/>
              </w:rPr>
              <w:t>Sprzętowe wsparcie technologii wirtualizacji procesorów, pamięci i urządzeń I/O realizowane łącznie w procesorze, chipsecie płyty głównej oraz w BIOS systemu (możliwość włączenia/wyłączenia sprzętowego wsparcia wirtualizacji.</w:t>
            </w:r>
          </w:p>
          <w:p>
            <w:pPr>
              <w:autoSpaceDE w:val="0"/>
              <w:autoSpaceDN w:val="0"/>
              <w:adjustRightInd w:val="0"/>
              <w:jc w:val="both"/>
              <w:rPr>
                <w:rFonts w:ascii="Verdana" w:hAnsi="Verdana" w:cs="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sz w:val="20"/>
              </w:rPr>
            </w:pPr>
            <w:r>
              <w:rPr>
                <w:rFonts w:ascii="Verdana" w:hAnsi="Verdana" w:cs="Arial"/>
                <w:sz w:val="20"/>
              </w:rPr>
              <w:t>Bezpieczeństwo</w:t>
            </w:r>
          </w:p>
        </w:tc>
        <w:tc>
          <w:tcPr>
            <w:tcW w:w="4044" w:type="pct"/>
          </w:tcPr>
          <w:p>
            <w:pPr>
              <w:pStyle w:val="14"/>
              <w:ind w:left="0"/>
              <w:jc w:val="both"/>
              <w:rPr>
                <w:rFonts w:ascii="Verdana" w:hAnsi="Verdana" w:cs="Calibri"/>
                <w:sz w:val="20"/>
                <w:szCs w:val="20"/>
              </w:rPr>
            </w:pPr>
            <w:r>
              <w:rPr>
                <w:rFonts w:ascii="Verdana" w:hAnsi="Verdana" w:cs="Calibri"/>
                <w:sz w:val="20"/>
                <w:szCs w:val="20"/>
              </w:rPr>
              <w:t>Sprzętowe wsparcie technologii weryfikacji poprawności podpisu cyfrowego wykonywanego kodu oprogramowania, oraz sprzętowa izolacja segmentów pamięci dla kodu wykonywanego w trybie zaufanym wbudowane w procesor, kontroler pamięci, chipset I/O.</w:t>
            </w:r>
          </w:p>
          <w:p>
            <w:pPr>
              <w:pStyle w:val="14"/>
              <w:ind w:left="0"/>
              <w:jc w:val="both"/>
              <w:rPr>
                <w:rFonts w:ascii="Verdana" w:hAnsi="Verdana" w:cs="Calibri"/>
                <w:sz w:val="20"/>
                <w:szCs w:val="20"/>
              </w:rPr>
            </w:pPr>
            <w:r>
              <w:rPr>
                <w:rFonts w:ascii="Verdana" w:hAnsi="Verdana" w:cs="Calibri"/>
                <w:sz w:val="20"/>
                <w:szCs w:val="20"/>
              </w:rPr>
              <w:t>Złącze typu Kensington Lock lub równoważne,</w:t>
            </w:r>
          </w:p>
          <w:p>
            <w:pPr>
              <w:pStyle w:val="14"/>
              <w:ind w:left="0"/>
              <w:jc w:val="both"/>
              <w:rPr>
                <w:rFonts w:ascii="Verdana" w:hAnsi="Verdana" w:cs="Calibri"/>
                <w:sz w:val="20"/>
                <w:szCs w:val="20"/>
              </w:rPr>
            </w:pPr>
            <w:r>
              <w:rPr>
                <w:rFonts w:ascii="Verdana" w:hAnsi="Verdana" w:cs="Calibri"/>
                <w:bCs/>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p>
            <w:pPr>
              <w:jc w:val="both"/>
              <w:rPr>
                <w:rFonts w:ascii="Verdana" w:hAnsi="Verdana" w:cs="Calibri"/>
                <w:sz w:val="20"/>
              </w:rPr>
            </w:pPr>
            <w:r>
              <w:rPr>
                <w:rFonts w:ascii="Verdana" w:hAnsi="Verdana" w:cs="Calibri"/>
                <w:sz w:val="20"/>
              </w:rPr>
              <w:t>Czytnik linii papilarnych wraz z oprogramowaniem.</w:t>
            </w:r>
          </w:p>
          <w:p>
            <w:pPr>
              <w:jc w:val="both"/>
              <w:rPr>
                <w:rFonts w:ascii="Verdana" w:hAnsi="Verdana" w:cs="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Multimedia</w:t>
            </w:r>
          </w:p>
        </w:tc>
        <w:tc>
          <w:tcPr>
            <w:tcW w:w="4044" w:type="pct"/>
          </w:tcPr>
          <w:p>
            <w:pPr>
              <w:pStyle w:val="14"/>
              <w:ind w:left="0"/>
              <w:rPr>
                <w:rFonts w:ascii="Verdana" w:hAnsi="Verdana" w:cs="Calibri"/>
                <w:sz w:val="20"/>
                <w:szCs w:val="20"/>
              </w:rPr>
            </w:pPr>
            <w:r>
              <w:rPr>
                <w:rFonts w:ascii="Verdana" w:hAnsi="Verdana" w:cs="Calibri"/>
                <w:sz w:val="20"/>
                <w:szCs w:val="20"/>
              </w:rPr>
              <w:t>Wyposażenie multimedialne: Karta dźwiękowa zintegrowana z płytą główną, zgodna z High Definition, wbudowane dwa głośniki;</w:t>
            </w:r>
          </w:p>
          <w:p>
            <w:pPr>
              <w:pStyle w:val="14"/>
              <w:ind w:left="0"/>
              <w:rPr>
                <w:rFonts w:ascii="Verdana" w:hAnsi="Verdana" w:cs="Calibri"/>
                <w:sz w:val="20"/>
                <w:szCs w:val="20"/>
              </w:rPr>
            </w:pPr>
            <w:r>
              <w:rPr>
                <w:rFonts w:ascii="Verdana" w:hAnsi="Verdana" w:cs="Calibri"/>
                <w:sz w:val="20"/>
                <w:szCs w:val="20"/>
              </w:rPr>
              <w:t>Dwa cyfrowe mikrofony wbudowane w obudowie matrycy</w:t>
            </w:r>
          </w:p>
          <w:p>
            <w:pPr>
              <w:autoSpaceDE w:val="0"/>
              <w:autoSpaceDN w:val="0"/>
              <w:adjustRightInd w:val="0"/>
              <w:jc w:val="both"/>
              <w:rPr>
                <w:rFonts w:ascii="Verdana" w:hAnsi="Verdana" w:cs="Calibri"/>
                <w:sz w:val="20"/>
              </w:rPr>
            </w:pPr>
            <w:r>
              <w:rPr>
                <w:rFonts w:ascii="Verdana" w:hAnsi="Verdana" w:cs="Calibri"/>
                <w:sz w:val="20"/>
              </w:rPr>
              <w:t>Kamera internetowa co najmniej HD (co najmniej 720p) trwale zainstalowana w obudowie matrycy, wyposażona z mechaniczną przesłoną obiektywu kamery oraz dioda LED sygnalizująca działanie kamery.</w:t>
            </w:r>
          </w:p>
          <w:p>
            <w:pPr>
              <w:autoSpaceDE w:val="0"/>
              <w:autoSpaceDN w:val="0"/>
              <w:adjustRightInd w:val="0"/>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sz w:val="20"/>
              </w:rPr>
              <w:t>Klawiatura</w:t>
            </w:r>
          </w:p>
        </w:tc>
        <w:tc>
          <w:tcPr>
            <w:tcW w:w="4044" w:type="pct"/>
          </w:tcPr>
          <w:p>
            <w:pPr>
              <w:pStyle w:val="14"/>
              <w:ind w:left="0"/>
              <w:jc w:val="both"/>
              <w:rPr>
                <w:rFonts w:ascii="Verdana" w:hAnsi="Verdana" w:cs="Calibri"/>
                <w:sz w:val="20"/>
                <w:szCs w:val="20"/>
              </w:rPr>
            </w:pPr>
            <w:r>
              <w:rPr>
                <w:rFonts w:ascii="Verdana" w:hAnsi="Verdana" w:cs="Calibri"/>
                <w:sz w:val="20"/>
                <w:szCs w:val="20"/>
              </w:rPr>
              <w:t>Klawiatura wyspowa układ US –QWERTY odporna na zachlapanie, minimum 106 klawiszy. Funkcja podświetlania klawiatury.</w:t>
            </w:r>
          </w:p>
          <w:p>
            <w:pPr>
              <w:jc w:val="both"/>
              <w:rPr>
                <w:rFonts w:ascii="Verdana" w:hAnsi="Verdana" w:cs="Calibri"/>
                <w:sz w:val="20"/>
              </w:rPr>
            </w:pPr>
            <w:r>
              <w:rPr>
                <w:rFonts w:ascii="Verdana" w:hAnsi="Verdana" w:cs="Calibri"/>
                <w:sz w:val="20"/>
              </w:rPr>
              <w:t>Touchpad wyposażony w dwa niezależne klawisze funkcyjne ze wsparciem dla technologii multitouch. Musi pozwalać na obsługę gestów dla minimum trzech niezależnych punktów dotyku.</w:t>
            </w:r>
          </w:p>
          <w:p>
            <w:pPr>
              <w:pStyle w:val="14"/>
              <w:ind w:left="0"/>
              <w:rPr>
                <w:rFonts w:ascii="Verdana" w:hAnsi="Verdana"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sz w:val="20"/>
              </w:rPr>
            </w:pPr>
            <w:r>
              <w:rPr>
                <w:rFonts w:ascii="Verdana" w:hAnsi="Verdana" w:cs="Arial"/>
                <w:sz w:val="20"/>
              </w:rPr>
              <w:t>Bateria i zasilanie</w:t>
            </w:r>
          </w:p>
        </w:tc>
        <w:tc>
          <w:tcPr>
            <w:tcW w:w="4044" w:type="pct"/>
          </w:tcPr>
          <w:p>
            <w:pPr>
              <w:jc w:val="both"/>
              <w:rPr>
                <w:rFonts w:ascii="Verdana" w:hAnsi="Verdana" w:cs="Calibri"/>
                <w:sz w:val="20"/>
              </w:rPr>
            </w:pPr>
            <w:r>
              <w:rPr>
                <w:rFonts w:ascii="Verdana" w:hAnsi="Verdana" w:cs="Calibri"/>
                <w:sz w:val="20"/>
                <w:lang w:val="en-US"/>
              </w:rPr>
              <w:t xml:space="preserve">Min. 4-cell, 65 Wh, Li-poly. </w:t>
            </w:r>
            <w:r>
              <w:rPr>
                <w:rFonts w:ascii="Verdana" w:hAnsi="Verdana" w:cs="Calibri"/>
                <w:sz w:val="20"/>
              </w:rPr>
              <w:t>Czas pracy na baterii minimum 9 godzin i 30 minut według dokumentacji producenta laptopa. Zabezpieczenie przed przypadkowym wypadnięciem baterii. Bateria musi pozwalać na naładowanie do poziomy 80% w czasie nie dłuższym niż 1h. Zasilacz o mocy min. 65 W</w:t>
            </w:r>
          </w:p>
          <w:p>
            <w:pPr>
              <w:pStyle w:val="14"/>
              <w:ind w:left="0"/>
              <w:jc w:val="both"/>
              <w:rPr>
                <w:rFonts w:ascii="Verdana" w:hAnsi="Verdana"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sz w:val="20"/>
              </w:rPr>
            </w:pPr>
            <w:r>
              <w:rPr>
                <w:rFonts w:ascii="Verdana" w:hAnsi="Verdana" w:cs="Arial"/>
                <w:bCs/>
                <w:sz w:val="20"/>
              </w:rPr>
              <w:t>Waga i wymiary</w:t>
            </w:r>
          </w:p>
        </w:tc>
        <w:tc>
          <w:tcPr>
            <w:tcW w:w="4044" w:type="pct"/>
          </w:tcPr>
          <w:p>
            <w:pPr>
              <w:pStyle w:val="14"/>
              <w:ind w:left="0"/>
              <w:jc w:val="both"/>
              <w:rPr>
                <w:rFonts w:ascii="Verdana" w:hAnsi="Verdana" w:cs="Calibri"/>
                <w:sz w:val="20"/>
                <w:szCs w:val="20"/>
              </w:rPr>
            </w:pPr>
            <w:r>
              <w:rPr>
                <w:rFonts w:ascii="Verdana" w:hAnsi="Verdana" w:cs="Calibri"/>
                <w:sz w:val="20"/>
                <w:szCs w:val="20"/>
              </w:rPr>
              <w:t>Waga nie więcej niż: 1,65 kg</w:t>
            </w:r>
          </w:p>
          <w:p>
            <w:pPr>
              <w:jc w:val="both"/>
              <w:rPr>
                <w:rFonts w:ascii="Verdana" w:hAnsi="Verdana" w:cs="Calibri"/>
                <w:sz w:val="20"/>
              </w:rPr>
            </w:pPr>
            <w:r>
              <w:rPr>
                <w:rFonts w:ascii="Verdana" w:hAnsi="Verdana" w:cs="Calibri"/>
                <w:sz w:val="20"/>
              </w:rPr>
              <w:t xml:space="preserve">Grubość laptopa po złożeniu powinna być mniejsza niż 20,7 mm. </w:t>
            </w:r>
          </w:p>
          <w:p>
            <w:pPr>
              <w:jc w:val="both"/>
              <w:rPr>
                <w:rFonts w:ascii="Verdana" w:hAnsi="Verdana" w:cs="Calibr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Obudowa</w:t>
            </w:r>
          </w:p>
        </w:tc>
        <w:tc>
          <w:tcPr>
            <w:tcW w:w="4044" w:type="pct"/>
          </w:tcPr>
          <w:p>
            <w:pPr>
              <w:pStyle w:val="14"/>
              <w:ind w:left="0"/>
              <w:rPr>
                <w:rFonts w:ascii="Verdana" w:hAnsi="Verdana" w:cs="Calibri"/>
                <w:sz w:val="20"/>
                <w:szCs w:val="20"/>
              </w:rPr>
            </w:pPr>
            <w:r>
              <w:rPr>
                <w:rFonts w:ascii="Verdana" w:hAnsi="Verdana" w:cs="Calibri"/>
                <w:sz w:val="20"/>
                <w:szCs w:val="20"/>
              </w:rPr>
              <w:t>Obudowa wzmocniona z zewnątrz – stop magnezowy.</w:t>
            </w:r>
          </w:p>
          <w:p>
            <w:pPr>
              <w:autoSpaceDE w:val="0"/>
              <w:autoSpaceDN w:val="0"/>
              <w:adjustRightInd w:val="0"/>
              <w:jc w:val="both"/>
              <w:rPr>
                <w:rFonts w:ascii="Verdana" w:hAnsi="Verdana" w:cs="Calibri"/>
                <w:sz w:val="20"/>
              </w:rPr>
            </w:pPr>
            <w:r>
              <w:rPr>
                <w:rFonts w:ascii="Verdana" w:hAnsi="Verdana" w:cs="Calibri"/>
                <w:sz w:val="20"/>
              </w:rPr>
              <w:t xml:space="preserve">Szkielet i zawiasy notebooka wykonane z wzmacnianego metalu. </w:t>
            </w:r>
          </w:p>
          <w:p>
            <w:pPr>
              <w:autoSpaceDE w:val="0"/>
              <w:autoSpaceDN w:val="0"/>
              <w:adjustRightInd w:val="0"/>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Certyfikaty</w:t>
            </w:r>
          </w:p>
        </w:tc>
        <w:tc>
          <w:tcPr>
            <w:tcW w:w="4044" w:type="pct"/>
          </w:tcPr>
          <w:p>
            <w:pPr>
              <w:pStyle w:val="14"/>
              <w:ind w:left="0"/>
              <w:rPr>
                <w:rFonts w:ascii="Verdana" w:hAnsi="Verdana" w:cs="Calibri"/>
                <w:sz w:val="20"/>
                <w:szCs w:val="20"/>
              </w:rPr>
            </w:pPr>
            <w:r>
              <w:rPr>
                <w:rFonts w:ascii="Verdana" w:hAnsi="Verdana" w:cs="Calibri"/>
                <w:sz w:val="20"/>
                <w:szCs w:val="20"/>
              </w:rPr>
              <w:t>Deklaracja zgodności CE lub równoważne (załączyć do oferty).</w:t>
            </w:r>
          </w:p>
          <w:p>
            <w:pPr>
              <w:pStyle w:val="14"/>
              <w:ind w:left="0"/>
              <w:jc w:val="both"/>
              <w:rPr>
                <w:rFonts w:ascii="Verdana" w:hAnsi="Verdana" w:cs="Calibri"/>
                <w:sz w:val="20"/>
                <w:szCs w:val="20"/>
              </w:rPr>
            </w:pPr>
            <w:r>
              <w:rPr>
                <w:rFonts w:ascii="Verdana" w:hAnsi="Verdana" w:cs="Calibri"/>
                <w:sz w:val="20"/>
                <w:szCs w:val="20"/>
              </w:rPr>
              <w:t>Certyfikat EPEAT co najmniej na poziomie Gold.</w:t>
            </w:r>
          </w:p>
          <w:p>
            <w:pPr>
              <w:pStyle w:val="14"/>
              <w:ind w:left="0"/>
              <w:jc w:val="both"/>
              <w:rPr>
                <w:rFonts w:ascii="Verdana" w:hAnsi="Verdana" w:cs="Calibri"/>
                <w:sz w:val="20"/>
                <w:szCs w:val="20"/>
              </w:rPr>
            </w:pPr>
            <w:r>
              <w:rPr>
                <w:rFonts w:ascii="Verdana" w:hAnsi="Verdana" w:cs="Calibri"/>
                <w:sz w:val="20"/>
                <w:szCs w:val="20"/>
              </w:rPr>
              <w:t xml:space="preserve">Norma EnergyStar 8.0 - komputer musi znajdować się na liście zgodności dostępnej na stronie www.energystar.gov oraz </w:t>
            </w:r>
            <w:r>
              <w:fldChar w:fldCharType="begin"/>
            </w:r>
            <w:r>
              <w:instrText xml:space="preserve"> HYPERLINK "http://www.eu-energystar.org" </w:instrText>
            </w:r>
            <w:r>
              <w:fldChar w:fldCharType="separate"/>
            </w:r>
            <w:r>
              <w:rPr>
                <w:rStyle w:val="11"/>
                <w:rFonts w:ascii="Verdana" w:hAnsi="Verdana" w:cs="Calibri"/>
                <w:color w:val="auto"/>
                <w:sz w:val="20"/>
                <w:szCs w:val="20"/>
              </w:rPr>
              <w:t>http://www.eu-energystar.org</w:t>
            </w:r>
            <w:r>
              <w:rPr>
                <w:rStyle w:val="11"/>
                <w:rFonts w:ascii="Verdana" w:hAnsi="Verdana" w:cs="Calibri"/>
                <w:color w:val="auto"/>
                <w:sz w:val="20"/>
                <w:szCs w:val="20"/>
              </w:rPr>
              <w:fldChar w:fldCharType="end"/>
            </w:r>
            <w:r>
              <w:rPr>
                <w:rFonts w:ascii="Verdana" w:hAnsi="Verdana" w:cs="Calibri"/>
                <w:sz w:val="20"/>
                <w:szCs w:val="20"/>
              </w:rPr>
              <w:t xml:space="preserve"> lub inny dokument od producenta sprzętu potwierdzający spełnianie przez oferowany sprzęt wymaganej normy.</w:t>
            </w:r>
          </w:p>
          <w:p>
            <w:pPr>
              <w:pStyle w:val="14"/>
              <w:ind w:left="0"/>
              <w:jc w:val="both"/>
              <w:rPr>
                <w:rFonts w:ascii="Verdana" w:hAnsi="Verdana" w:cs="Calibri"/>
                <w:sz w:val="20"/>
                <w:szCs w:val="20"/>
              </w:rPr>
            </w:pPr>
            <w:r>
              <w:rPr>
                <w:rFonts w:ascii="Verdana" w:hAnsi="Verdana" w:cs="Calibri"/>
                <w:sz w:val="20"/>
                <w:szCs w:val="20"/>
              </w:rPr>
              <w:t>Oferowane laptopy muszą być wykonane/wyprodukowane w systemie zapewnienia jakości  ISO 9001 i ISO 14001 – certyfikat należy załączyć do oferty.`</w:t>
            </w:r>
          </w:p>
          <w:p>
            <w:pPr>
              <w:pStyle w:val="14"/>
              <w:ind w:left="0"/>
              <w:jc w:val="both"/>
              <w:rPr>
                <w:rFonts w:ascii="Verdana" w:hAnsi="Verdana" w:cs="Calibri"/>
                <w:sz w:val="20"/>
                <w:szCs w:val="20"/>
              </w:rPr>
            </w:pPr>
            <w:r>
              <w:rPr>
                <w:rFonts w:ascii="Verdana" w:hAnsi="Verdana" w:cs="Calibri"/>
                <w:sz w:val="20"/>
                <w:szCs w:val="20"/>
              </w:rPr>
              <w:t>Odporność konstrukcji laptopa sprawdzona zgodnie z MIL-STD-810H – należy załączyć raport z testów wykonanych zgodnie z normą.</w:t>
            </w:r>
          </w:p>
          <w:p>
            <w:pPr>
              <w:pStyle w:val="14"/>
              <w:ind w:left="0"/>
              <w:jc w:val="both"/>
              <w:rPr>
                <w:rFonts w:ascii="Verdana" w:hAnsi="Verdana" w:cs="Calibri"/>
                <w:sz w:val="20"/>
                <w:szCs w:val="20"/>
              </w:rPr>
            </w:pPr>
            <w:r>
              <w:rPr>
                <w:rFonts w:ascii="Verdana" w:hAnsi="Verdana" w:cs="Calibri"/>
                <w:sz w:val="20"/>
                <w:szCs w:val="20"/>
              </w:rPr>
              <w:t>Oferowany laptop musi spełniać normę TCO 9.0 - weryfikacja spełnienia wymaganej normy poprzez stronę internetową:  https://tcocertified.com/polish/ lub spełniać normę równoważną w zakresie co najmniej produkcji - rozwoju urządzeń komputerowych, której kryteria obejmują społecznie odpowiedzialną produkcję, ekologię, zdrowie i bezpieczeństwo użytkownika oraz ergonomiczną obudowę, potwierdzoną certyfikatem wydawanym przez niezależny podmiot uprawniony do kontroli jakości. Wykonawca zobowiązany jest potwierdzić spełnianie określonych przez Zamawiającego wymagań przez normę równoważną;</w:t>
            </w:r>
          </w:p>
          <w:p>
            <w:pPr>
              <w:pStyle w:val="14"/>
              <w:ind w:left="0"/>
              <w:rPr>
                <w:rFonts w:ascii="Verdana" w:hAnsi="Verdana" w:cs="Calibri"/>
                <w:color w:val="00B05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bCs/>
                <w:sz w:val="20"/>
              </w:rPr>
            </w:pPr>
            <w:r>
              <w:rPr>
                <w:rFonts w:ascii="Verdana" w:hAnsi="Verdana" w:cs="Arial"/>
                <w:sz w:val="20"/>
              </w:rPr>
              <w:t>BIOS</w:t>
            </w:r>
          </w:p>
        </w:tc>
        <w:tc>
          <w:tcPr>
            <w:tcW w:w="4044" w:type="pct"/>
          </w:tcPr>
          <w:p>
            <w:pPr>
              <w:pStyle w:val="14"/>
              <w:ind w:left="0"/>
              <w:jc w:val="both"/>
              <w:rPr>
                <w:rFonts w:ascii="Verdana" w:hAnsi="Verdana" w:cs="Calibri"/>
                <w:sz w:val="20"/>
                <w:szCs w:val="20"/>
              </w:rPr>
            </w:pPr>
            <w:r>
              <w:rPr>
                <w:rFonts w:ascii="Verdana" w:hAnsi="Verdana" w:cs="Calibri"/>
                <w:sz w:val="20"/>
                <w:szCs w:val="20"/>
              </w:rPr>
              <w:t xml:space="preserve">Możliwość, bez uruchamiania systemu operacyjnego z dysku twardego komputera lub innych, podłączonych do niego urządzeń zewnętrznych odczytania z BIOS informacji o: </w:t>
            </w:r>
          </w:p>
          <w:p>
            <w:pPr>
              <w:pStyle w:val="14"/>
              <w:ind w:left="0"/>
              <w:jc w:val="both"/>
              <w:rPr>
                <w:rFonts w:ascii="Verdana" w:hAnsi="Verdana" w:cs="Calibri"/>
                <w:sz w:val="20"/>
                <w:szCs w:val="20"/>
              </w:rPr>
            </w:pPr>
            <w:r>
              <w:rPr>
                <w:rFonts w:ascii="Verdana" w:hAnsi="Verdana" w:cs="Calibri"/>
                <w:sz w:val="20"/>
                <w:szCs w:val="20"/>
              </w:rPr>
              <w:t>Modelu komputera.</w:t>
            </w:r>
          </w:p>
          <w:p>
            <w:pPr>
              <w:pStyle w:val="14"/>
              <w:ind w:left="0"/>
              <w:jc w:val="both"/>
              <w:rPr>
                <w:rFonts w:ascii="Verdana" w:hAnsi="Verdana" w:cs="Calibri"/>
                <w:sz w:val="20"/>
                <w:szCs w:val="20"/>
              </w:rPr>
            </w:pPr>
            <w:r>
              <w:rPr>
                <w:rFonts w:ascii="Verdana" w:hAnsi="Verdana" w:cs="Calibri"/>
                <w:sz w:val="20"/>
                <w:szCs w:val="20"/>
              </w:rPr>
              <w:t>Nr seryjnego komputera.</w:t>
            </w:r>
          </w:p>
          <w:p>
            <w:pPr>
              <w:pStyle w:val="14"/>
              <w:ind w:left="0"/>
              <w:jc w:val="both"/>
              <w:rPr>
                <w:rFonts w:ascii="Verdana" w:hAnsi="Verdana" w:cs="Calibri"/>
                <w:sz w:val="20"/>
                <w:szCs w:val="20"/>
              </w:rPr>
            </w:pPr>
            <w:r>
              <w:rPr>
                <w:rFonts w:ascii="Verdana" w:hAnsi="Verdana" w:cs="Calibri"/>
                <w:sz w:val="20"/>
                <w:szCs w:val="20"/>
              </w:rPr>
              <w:t>Wersji BIOS (z datą).</w:t>
            </w:r>
          </w:p>
          <w:p>
            <w:pPr>
              <w:pStyle w:val="14"/>
              <w:ind w:left="0"/>
              <w:jc w:val="both"/>
              <w:rPr>
                <w:rFonts w:ascii="Verdana" w:hAnsi="Verdana" w:cs="Calibri"/>
                <w:sz w:val="20"/>
                <w:szCs w:val="20"/>
              </w:rPr>
            </w:pPr>
            <w:r>
              <w:rPr>
                <w:rFonts w:ascii="Verdana" w:hAnsi="Verdana" w:cs="Calibri"/>
                <w:sz w:val="20"/>
                <w:szCs w:val="20"/>
              </w:rPr>
              <w:t>Modelu procesora.</w:t>
            </w:r>
          </w:p>
          <w:p>
            <w:pPr>
              <w:pStyle w:val="14"/>
              <w:ind w:left="0"/>
              <w:jc w:val="both"/>
              <w:rPr>
                <w:rFonts w:ascii="Verdana" w:hAnsi="Verdana" w:cs="Calibri"/>
                <w:sz w:val="20"/>
                <w:szCs w:val="20"/>
              </w:rPr>
            </w:pPr>
            <w:r>
              <w:rPr>
                <w:rFonts w:ascii="Verdana" w:hAnsi="Verdana" w:cs="Calibri"/>
                <w:sz w:val="20"/>
                <w:szCs w:val="20"/>
              </w:rPr>
              <w:t>Informacji o ilości i typie oraz obsadzeniu pamięci RAM.</w:t>
            </w:r>
          </w:p>
          <w:p>
            <w:pPr>
              <w:pStyle w:val="14"/>
              <w:ind w:left="0"/>
              <w:jc w:val="both"/>
              <w:rPr>
                <w:rFonts w:ascii="Verdana" w:hAnsi="Verdana" w:cs="Calibri"/>
                <w:sz w:val="20"/>
                <w:szCs w:val="20"/>
              </w:rPr>
            </w:pPr>
            <w:r>
              <w:rPr>
                <w:rFonts w:ascii="Verdana" w:hAnsi="Verdana" w:cs="Calibri"/>
                <w:sz w:val="20"/>
                <w:szCs w:val="20"/>
              </w:rPr>
              <w:t>Informacji o dysku twardym: model oraz pojemność</w:t>
            </w:r>
          </w:p>
          <w:p>
            <w:pPr>
              <w:pStyle w:val="14"/>
              <w:ind w:left="0"/>
              <w:jc w:val="both"/>
              <w:rPr>
                <w:rFonts w:ascii="Verdana" w:hAnsi="Verdana" w:cs="Calibri"/>
                <w:sz w:val="20"/>
                <w:szCs w:val="20"/>
              </w:rPr>
            </w:pPr>
            <w:r>
              <w:rPr>
                <w:rFonts w:ascii="Verdana" w:hAnsi="Verdana" w:cs="Calibri"/>
                <w:sz w:val="20"/>
                <w:szCs w:val="20"/>
              </w:rPr>
              <w:t>MAC adresie zintegrowanej karty sieciowej</w:t>
            </w:r>
          </w:p>
          <w:p>
            <w:pPr>
              <w:pStyle w:val="14"/>
              <w:ind w:left="0"/>
              <w:jc w:val="both"/>
              <w:rPr>
                <w:rFonts w:ascii="Verdana" w:hAnsi="Verdana" w:cs="Calibri"/>
                <w:sz w:val="20"/>
                <w:szCs w:val="20"/>
              </w:rPr>
            </w:pPr>
            <w:r>
              <w:rPr>
                <w:rFonts w:ascii="Verdana" w:hAnsi="Verdana" w:cs="Calibri"/>
                <w:sz w:val="20"/>
                <w:szCs w:val="20"/>
              </w:rPr>
              <w:t xml:space="preserve">Możliwość wyłączenia/włączenia bez uruchamiania systemu operacyjnego z dysku twardego komputera lub innych, podłączonych do niego, urządzeń zewnętrznych min.: </w:t>
            </w:r>
          </w:p>
          <w:p>
            <w:pPr>
              <w:pStyle w:val="14"/>
              <w:numPr>
                <w:ilvl w:val="2"/>
                <w:numId w:val="3"/>
              </w:numPr>
              <w:contextualSpacing/>
              <w:jc w:val="both"/>
              <w:rPr>
                <w:rFonts w:ascii="Verdana" w:hAnsi="Verdana" w:cs="Calibri"/>
                <w:sz w:val="20"/>
                <w:szCs w:val="20"/>
              </w:rPr>
            </w:pPr>
            <w:r>
              <w:rPr>
                <w:rFonts w:ascii="Verdana" w:hAnsi="Verdana" w:cs="Calibri"/>
                <w:sz w:val="20"/>
                <w:szCs w:val="20"/>
              </w:rPr>
              <w:t>karty sieciowej RJ45</w:t>
            </w:r>
          </w:p>
          <w:p>
            <w:pPr>
              <w:pStyle w:val="14"/>
              <w:numPr>
                <w:ilvl w:val="2"/>
                <w:numId w:val="3"/>
              </w:numPr>
              <w:contextualSpacing/>
              <w:jc w:val="both"/>
              <w:rPr>
                <w:rFonts w:ascii="Verdana" w:hAnsi="Verdana" w:cs="Calibri"/>
                <w:sz w:val="20"/>
                <w:szCs w:val="20"/>
              </w:rPr>
            </w:pPr>
            <w:r>
              <w:rPr>
                <w:rFonts w:ascii="Verdana" w:hAnsi="Verdana" w:cs="Calibri"/>
                <w:sz w:val="20"/>
                <w:szCs w:val="20"/>
              </w:rPr>
              <w:t>karty sieciowej WLAN i Bluetooth</w:t>
            </w:r>
          </w:p>
          <w:p>
            <w:pPr>
              <w:pStyle w:val="14"/>
              <w:numPr>
                <w:ilvl w:val="2"/>
                <w:numId w:val="3"/>
              </w:numPr>
              <w:contextualSpacing/>
              <w:jc w:val="both"/>
              <w:rPr>
                <w:rFonts w:ascii="Verdana" w:hAnsi="Verdana" w:cs="Calibri"/>
                <w:sz w:val="20"/>
                <w:szCs w:val="20"/>
              </w:rPr>
            </w:pPr>
            <w:r>
              <w:rPr>
                <w:rFonts w:ascii="Verdana" w:hAnsi="Verdana" w:cs="Calibri"/>
                <w:sz w:val="20"/>
                <w:szCs w:val="20"/>
              </w:rPr>
              <w:t>karty sieciowej WWAN</w:t>
            </w:r>
          </w:p>
          <w:p>
            <w:pPr>
              <w:pStyle w:val="14"/>
              <w:numPr>
                <w:ilvl w:val="2"/>
                <w:numId w:val="3"/>
              </w:numPr>
              <w:contextualSpacing/>
              <w:jc w:val="both"/>
              <w:rPr>
                <w:rFonts w:ascii="Verdana" w:hAnsi="Verdana" w:cs="Calibri"/>
                <w:sz w:val="20"/>
                <w:szCs w:val="20"/>
              </w:rPr>
            </w:pPr>
            <w:r>
              <w:rPr>
                <w:rFonts w:ascii="Verdana" w:hAnsi="Verdana" w:cs="Calibri"/>
                <w:sz w:val="20"/>
                <w:szCs w:val="20"/>
              </w:rPr>
              <w:t>kamery</w:t>
            </w:r>
          </w:p>
          <w:p>
            <w:pPr>
              <w:pStyle w:val="14"/>
              <w:numPr>
                <w:ilvl w:val="2"/>
                <w:numId w:val="3"/>
              </w:numPr>
              <w:contextualSpacing/>
              <w:jc w:val="both"/>
              <w:rPr>
                <w:rFonts w:ascii="Verdana" w:hAnsi="Verdana" w:cs="Calibri"/>
                <w:sz w:val="20"/>
                <w:szCs w:val="20"/>
              </w:rPr>
            </w:pPr>
            <w:r>
              <w:rPr>
                <w:rFonts w:ascii="Verdana" w:hAnsi="Verdana" w:cs="Calibri"/>
                <w:sz w:val="20"/>
                <w:szCs w:val="20"/>
              </w:rPr>
              <w:t>portów USB (każdego pojedynczo)</w:t>
            </w:r>
          </w:p>
          <w:p>
            <w:pPr>
              <w:pStyle w:val="14"/>
              <w:numPr>
                <w:ilvl w:val="2"/>
                <w:numId w:val="3"/>
              </w:numPr>
              <w:contextualSpacing/>
              <w:jc w:val="both"/>
              <w:rPr>
                <w:rFonts w:ascii="Verdana" w:hAnsi="Verdana" w:cs="Calibri"/>
                <w:sz w:val="20"/>
                <w:szCs w:val="20"/>
              </w:rPr>
            </w:pPr>
            <w:r>
              <w:rPr>
                <w:rFonts w:ascii="Verdana" w:hAnsi="Verdana" w:cs="Calibri"/>
                <w:sz w:val="20"/>
                <w:szCs w:val="20"/>
              </w:rPr>
              <w:t>Interfejsu Thunderbolt</w:t>
            </w:r>
          </w:p>
          <w:p>
            <w:pPr>
              <w:pStyle w:val="14"/>
              <w:numPr>
                <w:ilvl w:val="2"/>
                <w:numId w:val="3"/>
              </w:numPr>
              <w:contextualSpacing/>
              <w:jc w:val="both"/>
              <w:rPr>
                <w:rFonts w:ascii="Verdana" w:hAnsi="Verdana" w:cs="Calibri"/>
                <w:sz w:val="20"/>
                <w:szCs w:val="20"/>
              </w:rPr>
            </w:pPr>
            <w:r>
              <w:rPr>
                <w:rFonts w:ascii="Verdana" w:hAnsi="Verdana" w:cs="Calibri"/>
                <w:sz w:val="20"/>
                <w:szCs w:val="20"/>
              </w:rPr>
              <w:t>czytnika kart multimedialnych</w:t>
            </w:r>
          </w:p>
          <w:p>
            <w:pPr>
              <w:pStyle w:val="14"/>
              <w:numPr>
                <w:ilvl w:val="2"/>
                <w:numId w:val="3"/>
              </w:numPr>
              <w:contextualSpacing/>
              <w:jc w:val="both"/>
              <w:rPr>
                <w:rFonts w:ascii="Verdana" w:hAnsi="Verdana" w:cs="Calibri"/>
                <w:sz w:val="20"/>
                <w:szCs w:val="20"/>
              </w:rPr>
            </w:pPr>
            <w:r>
              <w:rPr>
                <w:rFonts w:ascii="Verdana" w:hAnsi="Verdana" w:cs="Calibri"/>
                <w:sz w:val="20"/>
                <w:szCs w:val="20"/>
              </w:rPr>
              <w:t>czytnika kart mikroprocesorowych</w:t>
            </w:r>
          </w:p>
          <w:p>
            <w:pPr>
              <w:pStyle w:val="14"/>
              <w:numPr>
                <w:ilvl w:val="2"/>
                <w:numId w:val="3"/>
              </w:numPr>
              <w:contextualSpacing/>
              <w:jc w:val="both"/>
              <w:rPr>
                <w:rFonts w:ascii="Verdana" w:hAnsi="Verdana" w:cs="Calibri"/>
                <w:sz w:val="20"/>
                <w:szCs w:val="20"/>
              </w:rPr>
            </w:pPr>
            <w:r>
              <w:rPr>
                <w:rFonts w:ascii="Verdana" w:hAnsi="Verdana" w:cs="Calibri"/>
                <w:sz w:val="20"/>
                <w:szCs w:val="20"/>
              </w:rPr>
              <w:t>czytnika linii papilarnych</w:t>
            </w:r>
          </w:p>
          <w:p>
            <w:pPr>
              <w:pStyle w:val="14"/>
              <w:ind w:left="0"/>
              <w:jc w:val="both"/>
              <w:rPr>
                <w:rFonts w:ascii="Verdana" w:hAnsi="Verdana" w:cs="Calibri"/>
                <w:sz w:val="20"/>
                <w:szCs w:val="20"/>
              </w:rPr>
            </w:pPr>
            <w:r>
              <w:rPr>
                <w:rFonts w:ascii="Verdana" w:hAnsi="Verdana" w:cs="Calibri"/>
                <w:sz w:val="20"/>
                <w:szCs w:val="20"/>
              </w:rPr>
              <w:t>Funkcja blokowania/odblokowania BOOT-owania z dysku twardego, zewnętrznych urządzeń oraz sieci bez potrzeby uruchamiania systemu operacyjnego z dysku twardego komputera lub innych, podłączonych do niego, urządzeń zewnętrznych.</w:t>
            </w:r>
          </w:p>
          <w:p>
            <w:pPr>
              <w:pStyle w:val="14"/>
              <w:ind w:left="0"/>
              <w:jc w:val="both"/>
              <w:rPr>
                <w:rFonts w:ascii="Verdana" w:hAnsi="Verdana" w:cs="Calibri"/>
                <w:sz w:val="20"/>
                <w:szCs w:val="20"/>
              </w:rPr>
            </w:pPr>
            <w:r>
              <w:rPr>
                <w:rFonts w:ascii="Verdana" w:hAnsi="Verdana" w:cs="Calibri"/>
                <w:sz w:val="20"/>
                <w:szCs w:val="20"/>
              </w:rPr>
              <w:t>Funkcja blokowania/odblokowania BOOT-owania stacji roboczej z USB</w:t>
            </w:r>
          </w:p>
          <w:p>
            <w:pPr>
              <w:pStyle w:val="14"/>
              <w:ind w:left="0"/>
              <w:jc w:val="both"/>
              <w:rPr>
                <w:rFonts w:ascii="Verdana" w:hAnsi="Verdana" w:cs="Calibri"/>
                <w:sz w:val="20"/>
                <w:szCs w:val="20"/>
              </w:rPr>
            </w:pPr>
            <w:r>
              <w:rPr>
                <w:rFonts w:ascii="Verdana" w:hAnsi="Verdana" w:cs="Calibri"/>
                <w:sz w:val="20"/>
                <w:szCs w:val="20"/>
              </w:rPr>
              <w:t>Możliwość włączenia/wyłączenia hasła dla dysku twardego,</w:t>
            </w:r>
          </w:p>
          <w:p>
            <w:pPr>
              <w:pStyle w:val="14"/>
              <w:ind w:left="0"/>
              <w:jc w:val="both"/>
              <w:rPr>
                <w:rFonts w:ascii="Verdana" w:hAnsi="Verdana" w:cs="Calibri"/>
                <w:sz w:val="20"/>
                <w:szCs w:val="20"/>
              </w:rPr>
            </w:pPr>
            <w:r>
              <w:rPr>
                <w:rFonts w:ascii="Verdana" w:hAnsi="Verdana" w:cs="Calibri"/>
                <w:sz w:val="20"/>
                <w:szCs w:val="20"/>
              </w:rPr>
              <w:t>Możliwość - bez potrzeby uruchamiania systemu operacyjnego z dysku twardego komputera lub innych, podłączonych do niego urządzeń zewnętrznych - ustawienia hasła na poziomie systemu, administratora i dysku twardego,</w:t>
            </w:r>
          </w:p>
          <w:p>
            <w:pPr>
              <w:pStyle w:val="14"/>
              <w:ind w:left="0"/>
              <w:jc w:val="both"/>
              <w:rPr>
                <w:rFonts w:ascii="Verdana" w:hAnsi="Verdana" w:cs="Calibri"/>
                <w:sz w:val="20"/>
                <w:szCs w:val="20"/>
              </w:rPr>
            </w:pPr>
            <w:r>
              <w:rPr>
                <w:rFonts w:ascii="Verdana" w:hAnsi="Verdana" w:cs="Calibri"/>
                <w:sz w:val="20"/>
                <w:szCs w:val="20"/>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p>
          <w:p>
            <w:pPr>
              <w:pStyle w:val="14"/>
              <w:ind w:left="0"/>
              <w:jc w:val="both"/>
              <w:rPr>
                <w:rFonts w:ascii="Verdana" w:hAnsi="Verdana" w:cs="Calibri"/>
                <w:sz w:val="20"/>
                <w:szCs w:val="20"/>
              </w:rPr>
            </w:pPr>
            <w:r>
              <w:rPr>
                <w:rFonts w:ascii="Verdana" w:hAnsi="Verdana" w:cs="Calibri"/>
                <w:sz w:val="20"/>
                <w:szCs w:val="20"/>
              </w:rPr>
              <w:t>Pełna obsługa ustawień BIOS zarówno za pomocą klawiatury jak i myszy lub wbudowanego urządzenia wskazującego.</w:t>
            </w:r>
          </w:p>
          <w:p>
            <w:pPr>
              <w:jc w:val="both"/>
              <w:rPr>
                <w:rFonts w:ascii="Verdana" w:hAnsi="Verdana" w:cs="Calibri"/>
                <w:sz w:val="20"/>
              </w:rPr>
            </w:pPr>
            <w:r>
              <w:rPr>
                <w:rFonts w:ascii="Verdana" w:hAnsi="Verdana" w:cs="Calibri"/>
                <w:sz w:val="20"/>
              </w:rPr>
              <w:t>Możliwość autoryzacji użytkownika za pomocą technologii biometrycznej z poziomu BIOS przed uruchomieniem systemu operacyjnego.</w:t>
            </w:r>
          </w:p>
          <w:p>
            <w:pPr>
              <w:pStyle w:val="14"/>
              <w:ind w:left="0"/>
              <w:jc w:val="both"/>
              <w:rPr>
                <w:rFonts w:ascii="Verdana" w:hAnsi="Verdana"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sz w:val="20"/>
              </w:rPr>
            </w:pPr>
            <w:r>
              <w:rPr>
                <w:rFonts w:ascii="Verdana" w:hAnsi="Verdana" w:cs="Arial"/>
                <w:sz w:val="20"/>
              </w:rPr>
              <w:t>Dodatkowe oprogramowanie</w:t>
            </w:r>
          </w:p>
        </w:tc>
        <w:tc>
          <w:tcPr>
            <w:tcW w:w="4044" w:type="pct"/>
          </w:tcPr>
          <w:p>
            <w:pPr>
              <w:pStyle w:val="14"/>
              <w:ind w:left="0"/>
              <w:jc w:val="both"/>
              <w:rPr>
                <w:rFonts w:ascii="Verdana" w:hAnsi="Verdana" w:cs="Calibri"/>
                <w:sz w:val="20"/>
                <w:szCs w:val="20"/>
              </w:rPr>
            </w:pPr>
            <w:r>
              <w:rPr>
                <w:rFonts w:ascii="Verdana" w:hAnsi="Verdana" w:cs="Calibri"/>
                <w:sz w:val="20"/>
                <w:szCs w:val="20"/>
              </w:rPr>
              <w:t>Oprogramowanie dostarczone przez producenta komputera pozwalające na zdalną inwentaryzację komputerów w sieci, lokalną i zdalną inwentaryzację komponentów komputera, umożliwiające co najmniej:</w:t>
            </w:r>
          </w:p>
          <w:p>
            <w:pPr>
              <w:pStyle w:val="14"/>
              <w:ind w:left="0"/>
              <w:jc w:val="both"/>
              <w:rPr>
                <w:rFonts w:ascii="Verdana" w:hAnsi="Verdana" w:cs="Calibri"/>
                <w:sz w:val="20"/>
                <w:szCs w:val="20"/>
              </w:rPr>
            </w:pPr>
            <w:r>
              <w:rPr>
                <w:rFonts w:ascii="Verdana" w:hAnsi="Verdana" w:cs="Calibri"/>
                <w:sz w:val="20"/>
                <w:szCs w:val="20"/>
              </w:rPr>
              <w:t>- Zdalne wyłączanie, restart oraz hibernacje komputera w sieci,</w:t>
            </w:r>
          </w:p>
          <w:p>
            <w:pPr>
              <w:pStyle w:val="14"/>
              <w:ind w:left="0"/>
              <w:jc w:val="both"/>
              <w:rPr>
                <w:rFonts w:ascii="Verdana" w:hAnsi="Verdana" w:cs="Calibri"/>
                <w:sz w:val="20"/>
                <w:szCs w:val="20"/>
              </w:rPr>
            </w:pPr>
            <w:r>
              <w:rPr>
                <w:rFonts w:ascii="Verdana" w:hAnsi="Verdana" w:cs="Calibri"/>
                <w:sz w:val="20"/>
                <w:szCs w:val="20"/>
              </w:rPr>
              <w:t>- Otrzymywanie informacji WMI – Windows Management Interface,</w:t>
            </w:r>
          </w:p>
          <w:p>
            <w:pPr>
              <w:pStyle w:val="14"/>
              <w:ind w:left="0"/>
              <w:jc w:val="both"/>
              <w:rPr>
                <w:rFonts w:ascii="Verdana" w:hAnsi="Verdana" w:cs="Calibri"/>
                <w:sz w:val="20"/>
                <w:szCs w:val="20"/>
              </w:rPr>
            </w:pPr>
            <w:r>
              <w:rPr>
                <w:rFonts w:ascii="Verdana" w:hAnsi="Verdana" w:cs="Calibri"/>
                <w:sz w:val="20"/>
                <w:szCs w:val="20"/>
              </w:rPr>
              <w:t>- Tworzenie raportów stanu jednostki,</w:t>
            </w:r>
          </w:p>
          <w:p>
            <w:pPr>
              <w:pStyle w:val="14"/>
              <w:ind w:left="0"/>
              <w:jc w:val="both"/>
              <w:rPr>
                <w:rFonts w:ascii="Verdana" w:hAnsi="Verdana" w:cs="Calibri"/>
                <w:sz w:val="20"/>
                <w:szCs w:val="20"/>
              </w:rPr>
            </w:pPr>
            <w:r>
              <w:rPr>
                <w:rFonts w:ascii="Verdana" w:hAnsi="Verdana" w:cs="Calibri"/>
                <w:sz w:val="20"/>
                <w:szCs w:val="20"/>
              </w:rPr>
              <w:t>- Monitorowanie stanu komponentów: CPU, Pamięć RAM, HDD, wersje BIOS,</w:t>
            </w:r>
          </w:p>
          <w:p>
            <w:pPr>
              <w:pStyle w:val="14"/>
              <w:ind w:left="0"/>
              <w:jc w:val="both"/>
              <w:rPr>
                <w:rFonts w:ascii="Verdana" w:hAnsi="Verdana" w:cs="Calibri"/>
                <w:sz w:val="20"/>
                <w:szCs w:val="20"/>
              </w:rPr>
            </w:pPr>
            <w:r>
              <w:rPr>
                <w:rFonts w:ascii="Verdana" w:hAnsi="Verdana" w:cs="Calibri"/>
                <w:sz w:val="20"/>
                <w:szCs w:val="20"/>
              </w:rPr>
              <w:t>- Aktualizację BIOS do najnowszej wersji zarówno dla pojedynczej maszyny jak i grupy,</w:t>
            </w:r>
          </w:p>
          <w:p>
            <w:pPr>
              <w:pStyle w:val="14"/>
              <w:ind w:left="0"/>
              <w:jc w:val="both"/>
              <w:rPr>
                <w:rFonts w:ascii="Verdana" w:hAnsi="Verdana" w:cs="Calibri"/>
                <w:sz w:val="20"/>
                <w:szCs w:val="20"/>
              </w:rPr>
            </w:pPr>
            <w:r>
              <w:rPr>
                <w:rFonts w:ascii="Verdana" w:hAnsi="Verdana" w:cs="Calibri"/>
                <w:sz w:val="20"/>
                <w:szCs w:val="20"/>
              </w:rPr>
              <w:t>- Tworzenie indywidualnych numerów dla poszczególnych użytkowników,</w:t>
            </w:r>
          </w:p>
          <w:p>
            <w:pPr>
              <w:pStyle w:val="14"/>
              <w:ind w:left="0"/>
              <w:jc w:val="both"/>
              <w:rPr>
                <w:rFonts w:ascii="Verdana" w:hAnsi="Verdana" w:cs="Calibri"/>
                <w:sz w:val="20"/>
                <w:szCs w:val="20"/>
              </w:rPr>
            </w:pPr>
            <w:r>
              <w:rPr>
                <w:rFonts w:ascii="Verdana" w:hAnsi="Verdana" w:cs="Calibri"/>
                <w:sz w:val="20"/>
                <w:szCs w:val="20"/>
              </w:rPr>
              <w:t>- Włączenie lub wyłączanie BOOTowania portów USB</w:t>
            </w:r>
          </w:p>
          <w:p>
            <w:pPr>
              <w:pStyle w:val="14"/>
              <w:ind w:left="0"/>
              <w:jc w:val="both"/>
              <w:rPr>
                <w:rFonts w:ascii="Verdana" w:hAnsi="Verdana" w:cs="Calibri"/>
                <w:sz w:val="20"/>
                <w:szCs w:val="20"/>
              </w:rPr>
            </w:pPr>
            <w:r>
              <w:rPr>
                <w:rFonts w:ascii="Verdana" w:hAnsi="Verdana" w:cs="Calibri"/>
                <w:bCs/>
                <w:sz w:val="20"/>
                <w:szCs w:val="20"/>
              </w:rPr>
              <w:t>Oprogramowanie umożliwiające w pełni  automatyczną instalację sterowników urządzeń opartą o automatyczną detekcję posiadanego sprzętu.</w:t>
            </w:r>
          </w:p>
          <w:p>
            <w:pPr>
              <w:jc w:val="both"/>
              <w:rPr>
                <w:rFonts w:ascii="Verdana" w:hAnsi="Verdana" w:cs="Calibri"/>
                <w:bCs/>
                <w:sz w:val="20"/>
              </w:rPr>
            </w:pPr>
            <w:r>
              <w:rPr>
                <w:rFonts w:ascii="Verdana" w:hAnsi="Verdana" w:cs="Calibri"/>
                <w:bCs/>
                <w:sz w:val="20"/>
              </w:rPr>
              <w:t>Certyfikowane oprogramowanie umożliwiające w bezpieczny (bezpowrotny) sposób usunięcie danych z dysku twardego.</w:t>
            </w:r>
          </w:p>
          <w:p>
            <w:pPr>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sz w:val="20"/>
              </w:rPr>
            </w:pPr>
            <w:r>
              <w:rPr>
                <w:rFonts w:ascii="Verdana" w:hAnsi="Verdana" w:cs="Arial"/>
                <w:bCs/>
                <w:sz w:val="20"/>
              </w:rPr>
              <w:t>System operacyjny</w:t>
            </w:r>
          </w:p>
        </w:tc>
        <w:tc>
          <w:tcPr>
            <w:tcW w:w="4044" w:type="pct"/>
          </w:tcPr>
          <w:p>
            <w:pPr>
              <w:jc w:val="both"/>
              <w:rPr>
                <w:rFonts w:hint="default" w:ascii="Verdana" w:hAnsi="Verdana" w:cs="Calibri"/>
                <w:bCs/>
                <w:color w:val="auto"/>
                <w:sz w:val="20"/>
                <w:lang w:val="pl-PL"/>
              </w:rPr>
            </w:pPr>
            <w:r>
              <w:rPr>
                <w:rFonts w:ascii="Verdana" w:hAnsi="Verdana" w:cs="Calibri"/>
                <w:bCs/>
                <w:color w:val="auto"/>
                <w:sz w:val="20"/>
              </w:rPr>
              <w:t>Licencja na system operacyjny Microsoft Windows 11 Pro 64-bit PL, zainstalowany system operacyjny Windows 11 Pro 64-bit PL niewymagający ręcznej aktywacji za pomocą telefonu lub Internetu w firmie Microsoft</w:t>
            </w:r>
            <w:r>
              <w:rPr>
                <w:rFonts w:hint="default" w:ascii="Verdana" w:hAnsi="Verdana" w:cs="Calibri"/>
                <w:bCs/>
                <w:color w:val="auto"/>
                <w:sz w:val="20"/>
                <w:lang w:val="pl-PL"/>
              </w:rPr>
              <w:t xml:space="preserve"> lub licencja na system równoważny. Opis systemu równoważnego - zgodnie z opisem w punkcie pn.: „</w:t>
            </w:r>
            <w:r>
              <w:rPr>
                <w:rFonts w:ascii="Verdana" w:hAnsi="Verdana" w:cs="Arial"/>
                <w:bCs/>
                <w:color w:val="auto"/>
                <w:sz w:val="20"/>
              </w:rPr>
              <w:t>Zainstalowane oprogramowanie systemowe</w:t>
            </w:r>
            <w:r>
              <w:rPr>
                <w:rFonts w:hint="default" w:ascii="Verdana" w:hAnsi="Verdana" w:cs="Arial"/>
                <w:bCs/>
                <w:color w:val="auto"/>
                <w:sz w:val="20"/>
                <w:lang w:val="pl-PL"/>
              </w:rPr>
              <w:t>” w załączniku nr 5 „Szczegółowy opis przedmiotu zamówienia” dla zestawu komputerowego.</w:t>
            </w:r>
            <w:r>
              <w:rPr>
                <w:rFonts w:hint="default" w:ascii="Verdana" w:hAnsi="Verdana" w:cs="Calibri"/>
                <w:bCs/>
                <w:color w:val="auto"/>
                <w:sz w:val="20"/>
                <w:lang w:val="pl-PL"/>
              </w:rPr>
              <w:t xml:space="preserve"> </w:t>
            </w:r>
          </w:p>
          <w:p>
            <w:pPr>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11" w:type="pct"/>
          </w:tcPr>
          <w:p>
            <w:pPr>
              <w:numPr>
                <w:ilvl w:val="0"/>
                <w:numId w:val="2"/>
              </w:numPr>
              <w:rPr>
                <w:rFonts w:ascii="Verdana" w:hAnsi="Verdana" w:cs="Arial"/>
                <w:bCs/>
                <w:sz w:val="20"/>
              </w:rPr>
            </w:pPr>
          </w:p>
        </w:tc>
        <w:tc>
          <w:tcPr>
            <w:tcW w:w="743" w:type="pct"/>
          </w:tcPr>
          <w:p>
            <w:pPr>
              <w:rPr>
                <w:rFonts w:ascii="Verdana" w:hAnsi="Verdana" w:cs="Arial"/>
                <w:sz w:val="20"/>
              </w:rPr>
            </w:pPr>
            <w:r>
              <w:rPr>
                <w:rFonts w:ascii="Verdana" w:hAnsi="Verdana" w:cs="Arial"/>
                <w:sz w:val="20"/>
              </w:rPr>
              <w:t>Porty i złącza</w:t>
            </w:r>
          </w:p>
        </w:tc>
        <w:tc>
          <w:tcPr>
            <w:tcW w:w="4044" w:type="pct"/>
          </w:tcPr>
          <w:p>
            <w:pPr>
              <w:pStyle w:val="14"/>
              <w:numPr>
                <w:ilvl w:val="2"/>
                <w:numId w:val="3"/>
              </w:numPr>
              <w:contextualSpacing/>
              <w:rPr>
                <w:rFonts w:ascii="Verdana" w:hAnsi="Verdana" w:cs="Calibri"/>
                <w:sz w:val="20"/>
                <w:szCs w:val="20"/>
              </w:rPr>
            </w:pPr>
            <w:r>
              <w:rPr>
                <w:rFonts w:ascii="Verdana" w:hAnsi="Verdana" w:cs="Calibri"/>
                <w:sz w:val="20"/>
                <w:szCs w:val="20"/>
              </w:rPr>
              <w:t>RJ-45 (nie dopuszcza się stosowania adapterów)</w:t>
            </w:r>
          </w:p>
          <w:p>
            <w:pPr>
              <w:pStyle w:val="14"/>
              <w:numPr>
                <w:ilvl w:val="2"/>
                <w:numId w:val="3"/>
              </w:numPr>
              <w:contextualSpacing/>
              <w:rPr>
                <w:rFonts w:ascii="Verdana" w:hAnsi="Verdana" w:cs="Calibri"/>
                <w:sz w:val="20"/>
                <w:szCs w:val="20"/>
              </w:rPr>
            </w:pPr>
            <w:r>
              <w:rPr>
                <w:rFonts w:ascii="Verdana" w:hAnsi="Verdana" w:cs="Calibri"/>
                <w:sz w:val="20"/>
                <w:szCs w:val="20"/>
              </w:rPr>
              <w:t>Min 2x USB 4.0 Gen3 typu USB-C z Thunderbolt 4, sygnałem Display Port 1.4 umożliwiające zasilanie urządzeń do 15 W (z możliwością ładowania baterii laptopa)</w:t>
            </w:r>
          </w:p>
          <w:p>
            <w:pPr>
              <w:pStyle w:val="14"/>
              <w:numPr>
                <w:ilvl w:val="2"/>
                <w:numId w:val="3"/>
              </w:numPr>
              <w:contextualSpacing/>
              <w:rPr>
                <w:rFonts w:ascii="Verdana" w:hAnsi="Verdana" w:cs="Calibri"/>
                <w:sz w:val="20"/>
                <w:szCs w:val="20"/>
              </w:rPr>
            </w:pPr>
            <w:r>
              <w:rPr>
                <w:rFonts w:ascii="Verdana" w:hAnsi="Verdana" w:cs="Calibri"/>
                <w:sz w:val="20"/>
                <w:szCs w:val="20"/>
              </w:rPr>
              <w:t>Min. 3x USB 3.2 Gen1 (1 z możliwością ładowania zewnętrznych urządzeń bezpośrednio z portu USB komputera nawet przy wyłączonym laptopie).</w:t>
            </w:r>
          </w:p>
          <w:p>
            <w:pPr>
              <w:pStyle w:val="14"/>
              <w:numPr>
                <w:ilvl w:val="2"/>
                <w:numId w:val="3"/>
              </w:numPr>
              <w:contextualSpacing/>
              <w:rPr>
                <w:rFonts w:ascii="Verdana" w:hAnsi="Verdana" w:cs="Calibri"/>
                <w:sz w:val="20"/>
                <w:szCs w:val="20"/>
              </w:rPr>
            </w:pPr>
            <w:r>
              <w:rPr>
                <w:rFonts w:ascii="Verdana" w:hAnsi="Verdana" w:cs="Calibri"/>
                <w:sz w:val="20"/>
                <w:szCs w:val="20"/>
              </w:rPr>
              <w:t>HDMI 2.0b</w:t>
            </w:r>
          </w:p>
          <w:p>
            <w:pPr>
              <w:pStyle w:val="14"/>
              <w:numPr>
                <w:ilvl w:val="2"/>
                <w:numId w:val="3"/>
              </w:numPr>
              <w:contextualSpacing/>
              <w:rPr>
                <w:rFonts w:ascii="Verdana" w:hAnsi="Verdana" w:cs="Calibri"/>
                <w:sz w:val="20"/>
                <w:szCs w:val="20"/>
              </w:rPr>
            </w:pPr>
            <w:r>
              <w:rPr>
                <w:rFonts w:ascii="Verdana" w:hAnsi="Verdana" w:cs="Calibri"/>
                <w:sz w:val="20"/>
                <w:szCs w:val="20"/>
              </w:rPr>
              <w:t>Czytnik kart multimedialnych (SD 3.0, SDHC do 32 GB, SDXC do 2 TB, prędkość do UHS-I)</w:t>
            </w:r>
          </w:p>
          <w:p>
            <w:pPr>
              <w:pStyle w:val="14"/>
              <w:numPr>
                <w:ilvl w:val="2"/>
                <w:numId w:val="3"/>
              </w:numPr>
              <w:contextualSpacing/>
              <w:rPr>
                <w:rFonts w:ascii="Verdana" w:hAnsi="Verdana" w:cs="Calibri"/>
                <w:sz w:val="20"/>
                <w:szCs w:val="20"/>
              </w:rPr>
            </w:pPr>
            <w:r>
              <w:rPr>
                <w:rFonts w:ascii="Verdana" w:hAnsi="Verdana" w:cs="Calibri"/>
                <w:bCs/>
                <w:sz w:val="20"/>
                <w:szCs w:val="20"/>
              </w:rPr>
              <w:t>Czytnik kart mikroprocesorowych</w:t>
            </w:r>
          </w:p>
          <w:p>
            <w:pPr>
              <w:pStyle w:val="14"/>
              <w:numPr>
                <w:ilvl w:val="2"/>
                <w:numId w:val="3"/>
              </w:numPr>
              <w:contextualSpacing/>
              <w:rPr>
                <w:rFonts w:ascii="Verdana" w:hAnsi="Verdana" w:cs="Calibri"/>
                <w:sz w:val="20"/>
                <w:szCs w:val="20"/>
                <w:lang w:val="en-US"/>
              </w:rPr>
            </w:pPr>
            <w:r>
              <w:rPr>
                <w:rFonts w:ascii="Verdana" w:hAnsi="Verdana" w:cs="Calibri"/>
                <w:sz w:val="20"/>
                <w:szCs w:val="20"/>
                <w:lang w:val="en-US"/>
              </w:rPr>
              <w:t>Audio: line-in/mikrofon (combo z Audio line-out)</w:t>
            </w:r>
          </w:p>
          <w:p>
            <w:pPr>
              <w:pStyle w:val="14"/>
              <w:numPr>
                <w:ilvl w:val="2"/>
                <w:numId w:val="3"/>
              </w:numPr>
              <w:contextualSpacing/>
              <w:rPr>
                <w:rFonts w:ascii="Verdana" w:hAnsi="Verdana" w:cs="Calibri"/>
                <w:sz w:val="20"/>
                <w:szCs w:val="20"/>
                <w:lang w:val="en-US"/>
              </w:rPr>
            </w:pPr>
            <w:r>
              <w:rPr>
                <w:rFonts w:ascii="Verdana" w:hAnsi="Verdana" w:cs="Calibri"/>
                <w:sz w:val="20"/>
                <w:szCs w:val="20"/>
                <w:lang w:val="en-US"/>
              </w:rPr>
              <w:t>Audio: line-out/słuchawki (combo z Audio line-in)</w:t>
            </w:r>
          </w:p>
          <w:p>
            <w:pPr>
              <w:pStyle w:val="14"/>
              <w:numPr>
                <w:ilvl w:val="2"/>
                <w:numId w:val="3"/>
              </w:numPr>
              <w:contextualSpacing/>
              <w:rPr>
                <w:rFonts w:ascii="Verdana" w:hAnsi="Verdana" w:cs="Calibri"/>
                <w:sz w:val="20"/>
                <w:szCs w:val="20"/>
              </w:rPr>
            </w:pPr>
            <w:r>
              <w:rPr>
                <w:rFonts w:ascii="Verdana" w:hAnsi="Verdana" w:cs="Calibri"/>
                <w:sz w:val="20"/>
                <w:szCs w:val="20"/>
              </w:rPr>
              <w:t xml:space="preserve">Karta sieciowa LAN 10/100/1000 Ethernet RJ 45 zintegrowana z płytą główną z diodami sygnalizującymi status. </w:t>
            </w:r>
          </w:p>
          <w:p>
            <w:pPr>
              <w:pStyle w:val="14"/>
              <w:numPr>
                <w:ilvl w:val="2"/>
                <w:numId w:val="3"/>
              </w:numPr>
              <w:contextualSpacing/>
              <w:rPr>
                <w:rFonts w:ascii="Verdana" w:hAnsi="Verdana" w:cs="Calibri"/>
                <w:sz w:val="20"/>
                <w:szCs w:val="20"/>
              </w:rPr>
            </w:pPr>
            <w:r>
              <w:rPr>
                <w:rFonts w:ascii="Verdana" w:hAnsi="Verdana" w:cs="Calibri"/>
                <w:sz w:val="20"/>
                <w:szCs w:val="20"/>
              </w:rPr>
              <w:t>Zintegrowana w postaci wewnętrznego modułu mini-PCI Express karta sieci WLAN obsługująca łącznie standardy IEEE 802.11ax w konfiguracji anten 2x2.</w:t>
            </w:r>
          </w:p>
          <w:p>
            <w:pPr>
              <w:pStyle w:val="14"/>
              <w:numPr>
                <w:ilvl w:val="2"/>
                <w:numId w:val="3"/>
              </w:numPr>
              <w:contextualSpacing/>
              <w:rPr>
                <w:rFonts w:ascii="Verdana" w:hAnsi="Verdana" w:cs="Calibri"/>
                <w:sz w:val="20"/>
                <w:szCs w:val="20"/>
              </w:rPr>
            </w:pPr>
            <w:r>
              <w:rPr>
                <w:rFonts w:ascii="Verdana" w:hAnsi="Verdana" w:cs="Calibri"/>
                <w:sz w:val="20"/>
                <w:szCs w:val="20"/>
              </w:rPr>
              <w:t>Bluetooth 5.2,</w:t>
            </w:r>
          </w:p>
          <w:p>
            <w:pPr>
              <w:pStyle w:val="14"/>
              <w:numPr>
                <w:ilvl w:val="2"/>
                <w:numId w:val="3"/>
              </w:numPr>
              <w:contextualSpacing/>
              <w:rPr>
                <w:rFonts w:ascii="Verdana" w:hAnsi="Verdana" w:cs="Calibri"/>
                <w:sz w:val="20"/>
                <w:szCs w:val="20"/>
              </w:rPr>
            </w:pPr>
            <w:r>
              <w:rPr>
                <w:rFonts w:ascii="Verdana" w:hAnsi="Verdana" w:cs="Calibri"/>
                <w:sz w:val="20"/>
                <w:szCs w:val="20"/>
              </w:rPr>
              <w:t>Dedykowane złącze do stacji dokującej (nie dopuszcza się USB – nawet dedykowanego)</w:t>
            </w:r>
          </w:p>
          <w:p>
            <w:pPr>
              <w:pStyle w:val="14"/>
              <w:ind w:left="1800"/>
              <w:contextualSpacing/>
              <w:rPr>
                <w:rFonts w:ascii="Verdana" w:hAnsi="Verdana"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Borders>
              <w:top w:val="single" w:color="auto" w:sz="4" w:space="0"/>
              <w:left w:val="single" w:color="auto" w:sz="4" w:space="0"/>
              <w:bottom w:val="single" w:color="auto" w:sz="4" w:space="0"/>
              <w:right w:val="single" w:color="auto" w:sz="4" w:space="0"/>
            </w:tcBorders>
          </w:tcPr>
          <w:p>
            <w:pPr>
              <w:numPr>
                <w:ilvl w:val="0"/>
                <w:numId w:val="2"/>
              </w:numPr>
              <w:rPr>
                <w:rFonts w:ascii="Verdana" w:hAnsi="Verdana" w:cs="Arial"/>
                <w:bCs/>
                <w:sz w:val="20"/>
              </w:rPr>
            </w:pPr>
          </w:p>
        </w:tc>
        <w:tc>
          <w:tcPr>
            <w:tcW w:w="743" w:type="pct"/>
            <w:tcBorders>
              <w:top w:val="single" w:color="auto" w:sz="4" w:space="0"/>
              <w:left w:val="single" w:color="auto" w:sz="4" w:space="0"/>
              <w:bottom w:val="single" w:color="auto" w:sz="4" w:space="0"/>
              <w:right w:val="single" w:color="auto" w:sz="4" w:space="0"/>
            </w:tcBorders>
          </w:tcPr>
          <w:p>
            <w:pPr>
              <w:rPr>
                <w:rFonts w:ascii="Verdana" w:hAnsi="Verdana" w:cs="Arial"/>
                <w:bCs/>
                <w:sz w:val="20"/>
              </w:rPr>
            </w:pPr>
            <w:r>
              <w:rPr>
                <w:rFonts w:ascii="Verdana" w:hAnsi="Verdana" w:cs="Arial"/>
                <w:bCs/>
                <w:sz w:val="20"/>
                <w:lang w:eastAsia="en-US"/>
              </w:rPr>
              <w:t>Gwarancja</w:t>
            </w:r>
          </w:p>
        </w:tc>
        <w:tc>
          <w:tcPr>
            <w:tcW w:w="4044" w:type="pct"/>
            <w:tcBorders>
              <w:top w:val="single" w:color="auto" w:sz="4" w:space="0"/>
              <w:left w:val="single" w:color="auto" w:sz="4" w:space="0"/>
              <w:bottom w:val="single" w:color="auto" w:sz="4" w:space="0"/>
              <w:right w:val="single" w:color="auto" w:sz="4" w:space="0"/>
            </w:tcBorders>
          </w:tcPr>
          <w:p>
            <w:pPr>
              <w:pStyle w:val="14"/>
              <w:ind w:left="0"/>
              <w:jc w:val="both"/>
              <w:rPr>
                <w:rFonts w:ascii="Verdana" w:hAnsi="Verdana" w:cs="Calibri"/>
                <w:sz w:val="20"/>
                <w:szCs w:val="20"/>
              </w:rPr>
            </w:pPr>
            <w:r>
              <w:rPr>
                <w:rFonts w:ascii="Verdana" w:hAnsi="Verdana" w:cs="Arial"/>
                <w:sz w:val="20"/>
                <w:szCs w:val="20"/>
              </w:rPr>
              <w:t xml:space="preserve"> </w:t>
            </w:r>
            <w:r>
              <w:rPr>
                <w:rFonts w:ascii="Verdana" w:hAnsi="Verdana" w:cs="Calibri"/>
                <w:sz w:val="20"/>
                <w:szCs w:val="20"/>
              </w:rPr>
              <w:t>Gwarancj</w:t>
            </w:r>
            <w:r>
              <w:rPr>
                <w:rFonts w:hint="default" w:ascii="Verdana" w:hAnsi="Verdana" w:cs="Calibri"/>
                <w:sz w:val="20"/>
                <w:szCs w:val="20"/>
                <w:lang w:val="pl-PL"/>
              </w:rPr>
              <w:t>a</w:t>
            </w:r>
            <w:r>
              <w:rPr>
                <w:rFonts w:ascii="Verdana" w:hAnsi="Verdana" w:cs="Calibri"/>
                <w:sz w:val="20"/>
                <w:szCs w:val="20"/>
              </w:rPr>
              <w:t xml:space="preserve"> jakości producenta:</w:t>
            </w:r>
          </w:p>
          <w:p>
            <w:pPr>
              <w:pStyle w:val="14"/>
              <w:numPr>
                <w:ilvl w:val="1"/>
                <w:numId w:val="3"/>
              </w:numPr>
              <w:contextualSpacing/>
              <w:jc w:val="both"/>
              <w:rPr>
                <w:rFonts w:ascii="Verdana" w:hAnsi="Verdana" w:cs="Calibri"/>
                <w:sz w:val="20"/>
                <w:szCs w:val="20"/>
              </w:rPr>
            </w:pPr>
            <w:r>
              <w:rPr>
                <w:rFonts w:hint="default" w:ascii="Verdana" w:hAnsi="Verdana" w:cs="Calibri"/>
                <w:sz w:val="20"/>
                <w:szCs w:val="20"/>
                <w:lang w:val="pl-PL"/>
              </w:rPr>
              <w:t>Gwarancja</w:t>
            </w:r>
            <w:r>
              <w:rPr>
                <w:rFonts w:ascii="Verdana" w:hAnsi="Verdana" w:cs="Calibri"/>
                <w:sz w:val="20"/>
                <w:szCs w:val="20"/>
              </w:rPr>
              <w:t xml:space="preserve"> świadczon</w:t>
            </w:r>
            <w:r>
              <w:rPr>
                <w:rFonts w:hint="default" w:ascii="Verdana" w:hAnsi="Verdana" w:cs="Calibri"/>
                <w:sz w:val="20"/>
                <w:szCs w:val="20"/>
                <w:lang w:val="pl-PL"/>
              </w:rPr>
              <w:t>a</w:t>
            </w:r>
            <w:r>
              <w:rPr>
                <w:rFonts w:ascii="Verdana" w:hAnsi="Verdana" w:cs="Calibri"/>
                <w:sz w:val="20"/>
                <w:szCs w:val="20"/>
              </w:rPr>
              <w:t xml:space="preserve"> w siedzibie Zamawiającego, chyba że niezbędne będzie naprawa sprzętu w siedzibie producenta ,lub autoryzowanym przez niego punkcie serwisowym - wówczas koszt transportu do i z naprawy pokrywa Wykonawca,</w:t>
            </w:r>
          </w:p>
          <w:p>
            <w:pPr>
              <w:pStyle w:val="14"/>
              <w:numPr>
                <w:ilvl w:val="1"/>
                <w:numId w:val="3"/>
              </w:numPr>
              <w:contextualSpacing/>
              <w:jc w:val="both"/>
              <w:rPr>
                <w:rFonts w:ascii="Verdana" w:hAnsi="Verdana" w:cs="Calibri"/>
                <w:sz w:val="20"/>
                <w:szCs w:val="20"/>
              </w:rPr>
            </w:pPr>
            <w:r>
              <w:rPr>
                <w:rFonts w:ascii="Verdana" w:hAnsi="Verdana" w:cs="Calibri"/>
                <w:sz w:val="20"/>
                <w:szCs w:val="20"/>
              </w:rPr>
              <w:t>Możliwość telefonicznego sprawdzenia konfiguracji sprzętowej komputera oraz warunków gwarancji po podaniu numeru seryjnego bezpośrednio u producenta lub jego przedstawiciela</w:t>
            </w:r>
          </w:p>
          <w:p>
            <w:pPr>
              <w:pStyle w:val="14"/>
              <w:ind w:left="1080"/>
              <w:contextualSpacing/>
              <w:jc w:val="both"/>
              <w:rPr>
                <w:rFonts w:ascii="Verdana" w:hAnsi="Verdana" w:cs="Calibri"/>
                <w:sz w:val="20"/>
                <w:szCs w:val="20"/>
              </w:rPr>
            </w:pPr>
          </w:p>
        </w:tc>
      </w:tr>
    </w:tbl>
    <w:p>
      <w:pPr>
        <w:pStyle w:val="14"/>
        <w:spacing w:after="160" w:line="259" w:lineRule="auto"/>
        <w:ind w:left="0" w:leftChars="0" w:firstLine="0" w:firstLineChars="0"/>
        <w:contextualSpacing/>
        <w:jc w:val="both"/>
        <w:rPr>
          <w:rFonts w:hint="default" w:ascii="Times New Roman" w:hAnsi="Times New Roman"/>
          <w:b/>
          <w:bCs/>
          <w:sz w:val="28"/>
          <w:szCs w:val="28"/>
          <w:lang w:val="pl-PL"/>
        </w:rPr>
      </w:pPr>
    </w:p>
    <w:p>
      <w:pPr>
        <w:pStyle w:val="14"/>
        <w:numPr>
          <w:ilvl w:val="0"/>
          <w:numId w:val="1"/>
        </w:numPr>
        <w:spacing w:after="160" w:line="259" w:lineRule="auto"/>
        <w:ind w:left="0" w:leftChars="0" w:firstLine="0" w:firstLineChars="0"/>
        <w:contextualSpacing/>
        <w:jc w:val="both"/>
        <w:rPr>
          <w:rFonts w:hint="default" w:ascii="Times New Roman" w:hAnsi="Times New Roman"/>
          <w:b/>
          <w:bCs/>
          <w:sz w:val="28"/>
          <w:szCs w:val="28"/>
          <w:lang w:val="pl-PL"/>
        </w:rPr>
      </w:pPr>
      <w:r>
        <w:rPr>
          <w:rFonts w:hint="default" w:ascii="Times New Roman" w:hAnsi="Times New Roman"/>
          <w:b/>
          <w:bCs/>
          <w:sz w:val="28"/>
          <w:szCs w:val="28"/>
          <w:lang w:val="pl-PL"/>
        </w:rPr>
        <w:t>Zestaw komputerowy</w:t>
      </w:r>
    </w:p>
    <w:p>
      <w:pPr>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Style w:val="3"/>
        <w:tblW w:w="5029" w:type="pct"/>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1" w:type="dxa"/>
          <w:bottom w:w="0" w:type="dxa"/>
          <w:right w:w="71" w:type="dxa"/>
        </w:tblCellMar>
      </w:tblPr>
      <w:tblGrid>
        <w:gridCol w:w="471"/>
        <w:gridCol w:w="1585"/>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5000" w:type="pct"/>
            <w:gridSpan w:val="3"/>
            <w:shd w:val="clear" w:color="auto" w:fill="auto"/>
            <w:vAlign w:val="center"/>
          </w:tcPr>
          <w:p>
            <w:pPr>
              <w:rPr>
                <w:rFonts w:ascii="Verdana" w:hAnsi="Verdana" w:cs="Arial"/>
                <w:b/>
                <w:sz w:val="20"/>
              </w:rPr>
            </w:pPr>
            <w:bookmarkStart w:id="0" w:name="_Hlk138835502"/>
            <w:r>
              <w:rPr>
                <w:rFonts w:ascii="Verdana" w:hAnsi="Verdana" w:cs="Arial"/>
                <w:b/>
                <w:sz w:val="20"/>
              </w:rPr>
              <w:t>Szczegółowy opis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5000" w:type="pct"/>
            <w:gridSpan w:val="3"/>
            <w:shd w:val="clear" w:color="auto" w:fill="auto"/>
            <w:vAlign w:val="center"/>
          </w:tcPr>
          <w:p>
            <w:pPr>
              <w:spacing w:line="360" w:lineRule="auto"/>
              <w:jc w:val="both"/>
              <w:outlineLvl w:val="0"/>
              <w:rPr>
                <w:rFonts w:ascii="Verdana" w:hAnsi="Verdana" w:cs="Arial"/>
                <w:color w:val="00B050"/>
                <w:sz w:val="20"/>
              </w:rPr>
            </w:pPr>
            <w:r>
              <w:rPr>
                <w:rFonts w:ascii="Verdana" w:hAnsi="Verdana" w:cs="Arial"/>
                <w:color w:val="000000" w:themeColor="text1"/>
                <w:sz w:val="20"/>
                <w14:textFill>
                  <w14:solidFill>
                    <w14:schemeClr w14:val="tx1"/>
                  </w14:solidFill>
                </w14:textFill>
              </w:rPr>
              <w:t xml:space="preserve">Komputer stacjonarny: </w:t>
            </w:r>
            <w:r>
              <w:rPr>
                <w:rFonts w:ascii="Verdana" w:hAnsi="Verdana" w:cs="Arial"/>
                <w:sz w:val="20"/>
              </w:rPr>
              <w:t>Komputer będzie wykorzystywany dla potrzeb aplikacji biurowych, dostępu do zasobów lokalnej sieci komputerowej oraz usług sieci Internet, aplikacji graficznych wektorowych oraz rastrowych, a także danych multimedialnych.</w:t>
            </w:r>
          </w:p>
          <w:p>
            <w:pPr>
              <w:jc w:val="both"/>
              <w:rPr>
                <w:rFonts w:ascii="Verdana" w:hAnsi="Verdana" w:cs="Arial"/>
                <w:sz w:val="20"/>
              </w:rPr>
            </w:pPr>
          </w:p>
          <w:p>
            <w:pPr>
              <w:jc w:val="both"/>
              <w:rPr>
                <w:rFonts w:ascii="Verdana" w:hAnsi="Verdana" w:cs="Arial"/>
                <w:sz w:val="20"/>
              </w:rPr>
            </w:pPr>
            <w:r>
              <w:rPr>
                <w:rFonts w:ascii="Verdana" w:hAnsi="Verdana" w:cs="Arial"/>
                <w:sz w:val="20"/>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pPr>
              <w:jc w:val="both"/>
              <w:rPr>
                <w:rFonts w:ascii="Verdana" w:hAnsi="Verdana" w:cs="Arial"/>
                <w:bCs/>
                <w:sz w:val="20"/>
              </w:rPr>
            </w:pPr>
            <w:r>
              <w:rPr>
                <w:rFonts w:ascii="Verdana" w:hAnsi="Verdana" w:cs="Arial"/>
                <w:bCs/>
                <w:sz w:val="20"/>
              </w:rPr>
              <w:t>Nie dopuszcza się zaoferowania komputera refurbished.</w:t>
            </w:r>
          </w:p>
          <w:p>
            <w:pPr>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5000" w:type="pct"/>
            <w:gridSpan w:val="3"/>
            <w:shd w:val="clear" w:color="auto" w:fill="auto"/>
            <w:vAlign w:val="center"/>
          </w:tcPr>
          <w:p>
            <w:pPr>
              <w:rPr>
                <w:rFonts w:ascii="Verdana" w:hAnsi="Verdana" w:cs="Arial"/>
                <w:sz w:val="20"/>
              </w:rPr>
            </w:pPr>
            <w:r>
              <w:rPr>
                <w:rFonts w:ascii="Verdana" w:hAnsi="Verdana" w:cs="Arial"/>
                <w:sz w:val="20"/>
              </w:rPr>
              <w:t>Nie dopuszcza się modyfikacji na drodze Producent-Zamawiający.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vAlign w:val="center"/>
          </w:tcPr>
          <w:p>
            <w:pPr>
              <w:rPr>
                <w:rFonts w:ascii="Times New Roman" w:hAnsi="Times New Roman"/>
                <w:bCs/>
                <w:szCs w:val="22"/>
              </w:rPr>
            </w:pPr>
            <w:r>
              <w:rPr>
                <w:rFonts w:ascii="Times New Roman" w:hAnsi="Times New Roman"/>
                <w:b/>
                <w:szCs w:val="22"/>
                <w:lang w:eastAsia="en-US"/>
              </w:rPr>
              <w:t>Lp.</w:t>
            </w:r>
          </w:p>
        </w:tc>
        <w:tc>
          <w:tcPr>
            <w:tcW w:w="817" w:type="pct"/>
            <w:vAlign w:val="center"/>
          </w:tcPr>
          <w:p>
            <w:pPr>
              <w:rPr>
                <w:rFonts w:ascii="Times New Roman" w:hAnsi="Times New Roman"/>
                <w:bCs/>
                <w:szCs w:val="22"/>
              </w:rPr>
            </w:pPr>
            <w:r>
              <w:rPr>
                <w:rFonts w:ascii="Times New Roman" w:hAnsi="Times New Roman"/>
                <w:b/>
                <w:szCs w:val="22"/>
              </w:rPr>
              <w:t>Nazwa komponentu</w:t>
            </w:r>
          </w:p>
        </w:tc>
        <w:tc>
          <w:tcPr>
            <w:tcW w:w="3939" w:type="pct"/>
            <w:vAlign w:val="center"/>
          </w:tcPr>
          <w:p>
            <w:pPr>
              <w:rPr>
                <w:rFonts w:ascii="Times New Roman" w:hAnsi="Times New Roman"/>
                <w:szCs w:val="22"/>
              </w:rPr>
            </w:pPr>
            <w:r>
              <w:rPr>
                <w:rFonts w:ascii="Times New Roman" w:hAnsi="Times New Roman"/>
                <w:b/>
                <w:szCs w:val="22"/>
              </w:rPr>
              <w:t>Wymagane minimalne parametry techniczne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841"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Procesor</w:t>
            </w:r>
          </w:p>
        </w:tc>
        <w:tc>
          <w:tcPr>
            <w:tcW w:w="3939" w:type="pct"/>
          </w:tcPr>
          <w:p>
            <w:pPr>
              <w:spacing w:line="360" w:lineRule="auto"/>
              <w:jc w:val="both"/>
              <w:outlineLvl w:val="0"/>
              <w:rPr>
                <w:rFonts w:ascii="Verdana" w:hAnsi="Verdana" w:cs="Arial"/>
                <w:sz w:val="20"/>
              </w:rPr>
            </w:pPr>
            <w:r>
              <w:rPr>
                <w:rFonts w:ascii="Verdana" w:hAnsi="Verdana"/>
                <w:sz w:val="20"/>
              </w:rPr>
              <w:t>Procesor klasy x86, 64-bitowy, umożliwiający osiągnięcie przez oferowany zestaw komputerowy w teście Passmark 10 CPU Mark wynik co najmniej 19</w:t>
            </w:r>
            <w:r>
              <w:rPr>
                <w:rFonts w:hint="default" w:ascii="Verdana" w:hAnsi="Verdana"/>
                <w:sz w:val="20"/>
                <w:lang w:val="pl-PL"/>
              </w:rPr>
              <w:t>5</w:t>
            </w:r>
            <w:r>
              <w:rPr>
                <w:rFonts w:ascii="Verdana" w:hAnsi="Verdana"/>
                <w:sz w:val="20"/>
              </w:rPr>
              <w:t xml:space="preserve">00 Wynik z testu komputera w zaoferowanej konfiguracji, musi znajdować się na oficjalnej stronie producenta oprogramowania testującego, tj. </w:t>
            </w:r>
            <w:r>
              <w:fldChar w:fldCharType="begin"/>
            </w:r>
            <w:r>
              <w:instrText xml:space="preserve"> HYPERLINK "https://www.cpubenchmark.net/cpu_list.php" </w:instrText>
            </w:r>
            <w:r>
              <w:fldChar w:fldCharType="separate"/>
            </w:r>
            <w:r>
              <w:rPr>
                <w:rStyle w:val="11"/>
                <w:rFonts w:ascii="Verdana" w:hAnsi="Verdana"/>
                <w:color w:val="auto"/>
                <w:sz w:val="20"/>
              </w:rPr>
              <w:t>https://www.cpubenchmark.net/cpu_list.php</w:t>
            </w:r>
            <w:r>
              <w:rPr>
                <w:rStyle w:val="11"/>
                <w:rFonts w:ascii="Verdana" w:hAnsi="Verdana"/>
                <w:color w:val="auto"/>
                <w:sz w:val="20"/>
              </w:rPr>
              <w:fldChar w:fldCharType="end"/>
            </w:r>
            <w:r>
              <w:rPr>
                <w:rFonts w:ascii="Verdana" w:hAnsi="Verdana"/>
                <w:sz w:val="20"/>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841"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Płyta główna</w:t>
            </w:r>
          </w:p>
        </w:tc>
        <w:tc>
          <w:tcPr>
            <w:tcW w:w="3939" w:type="pct"/>
          </w:tcPr>
          <w:p>
            <w:pPr>
              <w:pStyle w:val="14"/>
              <w:numPr>
                <w:ilvl w:val="0"/>
                <w:numId w:val="5"/>
              </w:numPr>
              <w:autoSpaceDE w:val="0"/>
              <w:autoSpaceDN w:val="0"/>
              <w:adjustRightInd w:val="0"/>
              <w:spacing w:line="360" w:lineRule="auto"/>
              <w:contextualSpacing/>
              <w:jc w:val="both"/>
              <w:rPr>
                <w:rFonts w:ascii="Verdana" w:hAnsi="Verdana" w:cstheme="minorHAnsi"/>
                <w:b/>
                <w:bCs/>
                <w:sz w:val="20"/>
                <w:szCs w:val="20"/>
              </w:rPr>
            </w:pPr>
            <w:r>
              <w:rPr>
                <w:rFonts w:ascii="Verdana" w:hAnsi="Verdana" w:cstheme="minorHAnsi"/>
                <w:bCs/>
                <w:sz w:val="20"/>
                <w:szCs w:val="20"/>
              </w:rPr>
              <w:t>chipset dostosowany do oferowanego procesora lub równoważny</w:t>
            </w:r>
          </w:p>
          <w:p>
            <w:pPr>
              <w:pStyle w:val="14"/>
              <w:numPr>
                <w:ilvl w:val="0"/>
                <w:numId w:val="6"/>
              </w:numPr>
              <w:autoSpaceDE w:val="0"/>
              <w:autoSpaceDN w:val="0"/>
              <w:adjustRightInd w:val="0"/>
              <w:spacing w:line="360" w:lineRule="auto"/>
              <w:contextualSpacing/>
              <w:jc w:val="both"/>
              <w:rPr>
                <w:rFonts w:ascii="Verdana" w:hAnsi="Verdana" w:cstheme="minorHAnsi"/>
                <w:b/>
                <w:bCs/>
                <w:sz w:val="20"/>
                <w:szCs w:val="20"/>
              </w:rPr>
            </w:pPr>
            <w:r>
              <w:rPr>
                <w:rFonts w:ascii="Verdana" w:hAnsi="Verdana" w:cstheme="minorHAnsi"/>
                <w:bCs/>
                <w:sz w:val="20"/>
                <w:szCs w:val="20"/>
              </w:rPr>
              <w:t>minimum 4 sloty pamięci lub więcej, obsługującej częstotliwość minimum 3200 MHz lub więcej</w:t>
            </w:r>
          </w:p>
          <w:p>
            <w:pPr>
              <w:pStyle w:val="14"/>
              <w:numPr>
                <w:ilvl w:val="0"/>
                <w:numId w:val="6"/>
              </w:numPr>
              <w:autoSpaceDE w:val="0"/>
              <w:autoSpaceDN w:val="0"/>
              <w:adjustRightInd w:val="0"/>
              <w:spacing w:line="360" w:lineRule="auto"/>
              <w:contextualSpacing/>
              <w:jc w:val="both"/>
              <w:rPr>
                <w:rFonts w:ascii="Verdana" w:hAnsi="Verdana" w:cstheme="minorHAnsi"/>
                <w:b/>
                <w:bCs/>
                <w:sz w:val="20"/>
                <w:szCs w:val="20"/>
                <w:lang w:val="en-US"/>
              </w:rPr>
            </w:pPr>
            <w:r>
              <w:rPr>
                <w:rFonts w:ascii="Verdana" w:hAnsi="Verdana" w:cstheme="minorHAnsi"/>
                <w:sz w:val="20"/>
                <w:szCs w:val="20"/>
                <w:lang w:val="en-US"/>
              </w:rPr>
              <w:t>minimum 1 x PCI Express 3.0 x 16</w:t>
            </w:r>
          </w:p>
          <w:p>
            <w:pPr>
              <w:pStyle w:val="14"/>
              <w:numPr>
                <w:ilvl w:val="0"/>
                <w:numId w:val="6"/>
              </w:numPr>
              <w:autoSpaceDE w:val="0"/>
              <w:autoSpaceDN w:val="0"/>
              <w:adjustRightInd w:val="0"/>
              <w:spacing w:line="360" w:lineRule="auto"/>
              <w:contextualSpacing/>
              <w:jc w:val="both"/>
              <w:rPr>
                <w:rFonts w:ascii="Verdana" w:hAnsi="Verdana" w:cstheme="minorHAnsi"/>
                <w:b/>
                <w:bCs/>
                <w:sz w:val="20"/>
                <w:szCs w:val="20"/>
                <w:lang w:val="en-US"/>
              </w:rPr>
            </w:pPr>
            <w:r>
              <w:rPr>
                <w:rFonts w:ascii="Verdana" w:hAnsi="Verdana" w:cstheme="minorHAnsi"/>
                <w:sz w:val="20"/>
                <w:szCs w:val="20"/>
                <w:lang w:val="en-US"/>
              </w:rPr>
              <w:t>minimum 1 x PCI Express 3.0 x 4 (mechanicznie x16)</w:t>
            </w:r>
          </w:p>
          <w:p>
            <w:pPr>
              <w:pStyle w:val="14"/>
              <w:numPr>
                <w:ilvl w:val="0"/>
                <w:numId w:val="6"/>
              </w:numPr>
              <w:spacing w:line="360" w:lineRule="auto"/>
              <w:contextualSpacing/>
              <w:jc w:val="both"/>
              <w:rPr>
                <w:rFonts w:ascii="Verdana" w:hAnsi="Verdana" w:cstheme="minorHAnsi"/>
                <w:sz w:val="20"/>
                <w:szCs w:val="20"/>
              </w:rPr>
            </w:pPr>
            <w:r>
              <w:rPr>
                <w:rFonts w:ascii="Verdana" w:hAnsi="Verdana" w:cstheme="minorHAnsi"/>
                <w:sz w:val="20"/>
                <w:szCs w:val="20"/>
              </w:rPr>
              <w:t>minimum 4x złącza SATA 6.0 Gb/s</w:t>
            </w:r>
          </w:p>
          <w:p>
            <w:pPr>
              <w:pStyle w:val="14"/>
              <w:numPr>
                <w:ilvl w:val="0"/>
                <w:numId w:val="6"/>
              </w:numPr>
              <w:spacing w:line="360" w:lineRule="auto"/>
              <w:contextualSpacing/>
              <w:jc w:val="both"/>
              <w:rPr>
                <w:rFonts w:ascii="Verdana" w:hAnsi="Verdana" w:cstheme="minorHAnsi"/>
                <w:sz w:val="20"/>
                <w:szCs w:val="20"/>
              </w:rPr>
            </w:pPr>
            <w:r>
              <w:rPr>
                <w:rFonts w:ascii="Verdana" w:hAnsi="Verdana" w:cstheme="minorHAnsi"/>
                <w:sz w:val="20"/>
                <w:szCs w:val="20"/>
              </w:rPr>
              <w:t xml:space="preserve">minimum 1x M.2 dla dysku SSD o parametrach co najmniej PCIe 4.0 x4 </w:t>
            </w:r>
          </w:p>
          <w:p>
            <w:pPr>
              <w:pStyle w:val="14"/>
              <w:numPr>
                <w:ilvl w:val="0"/>
                <w:numId w:val="6"/>
              </w:numPr>
              <w:spacing w:line="360" w:lineRule="auto"/>
              <w:contextualSpacing/>
              <w:jc w:val="both"/>
              <w:rPr>
                <w:rFonts w:ascii="Verdana" w:hAnsi="Verdana" w:cstheme="minorHAnsi"/>
                <w:color w:val="00B050"/>
                <w:sz w:val="20"/>
                <w:szCs w:val="20"/>
              </w:rPr>
            </w:pPr>
            <w:r>
              <w:rPr>
                <w:rFonts w:ascii="Verdana" w:hAnsi="Verdana" w:cstheme="minorHAnsi"/>
                <w:sz w:val="20"/>
              </w:rPr>
              <w:t>minimum 1x M.2 2230 do obsługi karty WLAN</w:t>
            </w:r>
          </w:p>
          <w:p>
            <w:pPr>
              <w:spacing w:line="360" w:lineRule="auto"/>
              <w:contextualSpacing/>
              <w:jc w:val="both"/>
              <w:rPr>
                <w:rFonts w:ascii="Verdana" w:hAnsi="Verdana" w:cstheme="minorHAnsi"/>
                <w:color w:val="00B05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Pamięć operacyjna RAM</w:t>
            </w:r>
          </w:p>
        </w:tc>
        <w:tc>
          <w:tcPr>
            <w:tcW w:w="3939" w:type="pct"/>
          </w:tcPr>
          <w:p>
            <w:pPr>
              <w:pStyle w:val="14"/>
              <w:numPr>
                <w:ilvl w:val="0"/>
                <w:numId w:val="7"/>
              </w:numPr>
              <w:spacing w:line="360" w:lineRule="auto"/>
              <w:contextualSpacing/>
              <w:jc w:val="both"/>
              <w:rPr>
                <w:rFonts w:ascii="Verdana" w:hAnsi="Verdana"/>
                <w:sz w:val="20"/>
                <w:szCs w:val="20"/>
              </w:rPr>
            </w:pPr>
            <w:r>
              <w:rPr>
                <w:rFonts w:ascii="Verdana" w:hAnsi="Verdana"/>
                <w:sz w:val="20"/>
                <w:szCs w:val="20"/>
              </w:rPr>
              <w:t>minimum 16 GB DDR4</w:t>
            </w:r>
          </w:p>
          <w:p>
            <w:pPr>
              <w:pStyle w:val="14"/>
              <w:numPr>
                <w:ilvl w:val="0"/>
                <w:numId w:val="7"/>
              </w:numPr>
              <w:spacing w:line="360" w:lineRule="auto"/>
              <w:contextualSpacing/>
              <w:jc w:val="both"/>
              <w:rPr>
                <w:rFonts w:ascii="Verdana" w:hAnsi="Verdana"/>
                <w:sz w:val="20"/>
                <w:szCs w:val="20"/>
              </w:rPr>
            </w:pPr>
            <w:r>
              <w:rPr>
                <w:rFonts w:ascii="Verdana" w:hAnsi="Verdana"/>
                <w:sz w:val="20"/>
                <w:szCs w:val="20"/>
              </w:rPr>
              <w:t xml:space="preserve">minimum1 wolny slot pamięci na płycie głównej, </w:t>
            </w:r>
          </w:p>
          <w:p>
            <w:pPr>
              <w:pStyle w:val="14"/>
              <w:numPr>
                <w:ilvl w:val="0"/>
                <w:numId w:val="7"/>
              </w:numPr>
              <w:spacing w:line="360" w:lineRule="auto"/>
              <w:contextualSpacing/>
              <w:jc w:val="both"/>
              <w:rPr>
                <w:rFonts w:ascii="Verdana" w:hAnsi="Verdana"/>
                <w:sz w:val="20"/>
                <w:szCs w:val="20"/>
              </w:rPr>
            </w:pPr>
            <w:r>
              <w:rPr>
                <w:rFonts w:ascii="Verdana" w:hAnsi="Verdana"/>
                <w:sz w:val="20"/>
                <w:szCs w:val="20"/>
              </w:rPr>
              <w:t>minimalny rozmiar możliwego rozszerzenia obsługiwanej pamięci, zapewniony i potwierdzony przez producenta komputera: 128 GB</w:t>
            </w:r>
          </w:p>
          <w:p>
            <w:pPr>
              <w:pStyle w:val="14"/>
              <w:numPr>
                <w:ilvl w:val="0"/>
                <w:numId w:val="7"/>
              </w:numPr>
              <w:spacing w:line="360" w:lineRule="auto"/>
              <w:contextualSpacing/>
              <w:jc w:val="both"/>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Porty w tylnej części komputera</w:t>
            </w:r>
          </w:p>
        </w:tc>
        <w:tc>
          <w:tcPr>
            <w:tcW w:w="3939" w:type="pct"/>
          </w:tcPr>
          <w:p>
            <w:pPr>
              <w:spacing w:line="360" w:lineRule="auto"/>
              <w:rPr>
                <w:rFonts w:ascii="Verdana" w:hAnsi="Verdana"/>
                <w:sz w:val="20"/>
              </w:rPr>
            </w:pPr>
            <w:r>
              <w:rPr>
                <w:rFonts w:ascii="Verdana" w:hAnsi="Verdana"/>
                <w:sz w:val="20"/>
              </w:rPr>
              <w:t xml:space="preserve">Komputer musi posiadać: </w:t>
            </w:r>
          </w:p>
          <w:p>
            <w:pPr>
              <w:pStyle w:val="14"/>
              <w:numPr>
                <w:ilvl w:val="0"/>
                <w:numId w:val="8"/>
              </w:numPr>
              <w:spacing w:line="360" w:lineRule="auto"/>
              <w:contextualSpacing/>
              <w:rPr>
                <w:rFonts w:ascii="Verdana" w:hAnsi="Verdana"/>
                <w:sz w:val="20"/>
                <w:szCs w:val="20"/>
              </w:rPr>
            </w:pPr>
            <w:r>
              <w:rPr>
                <w:rFonts w:ascii="Verdana" w:hAnsi="Verdana"/>
                <w:sz w:val="20"/>
                <w:szCs w:val="20"/>
              </w:rPr>
              <w:t>minimum 2 x Display Port 1.4 z obsługą funkcji Multi-Stream,</w:t>
            </w:r>
          </w:p>
          <w:p>
            <w:pPr>
              <w:pStyle w:val="14"/>
              <w:numPr>
                <w:ilvl w:val="0"/>
                <w:numId w:val="8"/>
              </w:numPr>
              <w:spacing w:line="360" w:lineRule="auto"/>
              <w:contextualSpacing/>
              <w:rPr>
                <w:rFonts w:ascii="Verdana" w:hAnsi="Verdana"/>
                <w:sz w:val="20"/>
                <w:szCs w:val="20"/>
              </w:rPr>
            </w:pPr>
            <w:r>
              <w:rPr>
                <w:rFonts w:ascii="Verdana" w:hAnsi="Verdana"/>
                <w:sz w:val="20"/>
                <w:szCs w:val="20"/>
              </w:rPr>
              <w:t>minimum 4 x USB, w tym co najmniej 2x USB 3.2 Gen 1, 2x USB 2.0</w:t>
            </w:r>
          </w:p>
          <w:p>
            <w:pPr>
              <w:pStyle w:val="14"/>
              <w:numPr>
                <w:ilvl w:val="0"/>
                <w:numId w:val="8"/>
              </w:numPr>
              <w:spacing w:line="360" w:lineRule="auto"/>
              <w:contextualSpacing/>
              <w:rPr>
                <w:rFonts w:ascii="Verdana" w:hAnsi="Verdana" w:cstheme="minorHAnsi"/>
                <w:sz w:val="20"/>
                <w:szCs w:val="20"/>
              </w:rPr>
            </w:pPr>
            <w:r>
              <w:rPr>
                <w:rFonts w:ascii="Verdana" w:hAnsi="Verdana" w:cstheme="minorHAnsi"/>
                <w:sz w:val="20"/>
                <w:szCs w:val="20"/>
              </w:rPr>
              <w:t>minimum 1 port sieciowy RJ-45,</w:t>
            </w:r>
          </w:p>
          <w:p>
            <w:pPr>
              <w:pStyle w:val="14"/>
              <w:numPr>
                <w:ilvl w:val="0"/>
                <w:numId w:val="8"/>
              </w:numPr>
              <w:spacing w:line="360" w:lineRule="auto"/>
              <w:contextualSpacing/>
              <w:rPr>
                <w:rFonts w:ascii="Verdana" w:hAnsi="Verdana" w:cstheme="minorHAnsi"/>
                <w:sz w:val="20"/>
                <w:szCs w:val="20"/>
                <w:lang w:val="en-US"/>
              </w:rPr>
            </w:pPr>
            <w:r>
              <w:rPr>
                <w:rFonts w:ascii="Verdana" w:hAnsi="Verdana"/>
                <w:sz w:val="20"/>
                <w:szCs w:val="20"/>
                <w:lang w:val="cs-CZ"/>
              </w:rPr>
              <w:t xml:space="preserve">osobne porty audio line-in i line-out </w:t>
            </w:r>
          </w:p>
          <w:p>
            <w:pPr>
              <w:spacing w:line="360" w:lineRule="auto"/>
              <w:contextualSpacing/>
              <w:jc w:val="both"/>
              <w:rPr>
                <w:rFonts w:ascii="Verdana" w:hAnsi="Verdana" w:cstheme="minorHAnsi"/>
                <w:sz w:val="20"/>
              </w:rPr>
            </w:pPr>
            <w:r>
              <w:rPr>
                <w:rFonts w:ascii="Verdana" w:hAnsi="Verdana" w:cstheme="minorHAnsi"/>
                <w:sz w:val="20"/>
              </w:rPr>
              <w:t>Wymagana ilość i rozmieszczenie (na zewnątrz obudowy komputera) portów USB oraz VIDEO nie może być osiągnięta w wyniku stosowania konwerterów, przejściówek itp.</w:t>
            </w:r>
          </w:p>
          <w:p>
            <w:pPr>
              <w:spacing w:line="360" w:lineRule="auto"/>
              <w:contextualSpacing/>
              <w:jc w:val="both"/>
              <w:rPr>
                <w:rFonts w:ascii="Verdana" w:hAnsi="Verdan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Porty w przedniej części komputera</w:t>
            </w:r>
          </w:p>
        </w:tc>
        <w:tc>
          <w:tcPr>
            <w:tcW w:w="3939" w:type="pct"/>
          </w:tcPr>
          <w:p>
            <w:pPr>
              <w:spacing w:line="360" w:lineRule="auto"/>
              <w:rPr>
                <w:rFonts w:ascii="Verdana" w:hAnsi="Verdana"/>
                <w:sz w:val="20"/>
                <w:lang w:val="cs-CZ"/>
              </w:rPr>
            </w:pPr>
            <w:r>
              <w:rPr>
                <w:rFonts w:ascii="Verdana" w:hAnsi="Verdana"/>
                <w:sz w:val="20"/>
                <w:lang w:val="cs-CZ"/>
              </w:rPr>
              <w:t>Komputer musi posiadać:</w:t>
            </w:r>
          </w:p>
          <w:p>
            <w:pPr>
              <w:pStyle w:val="14"/>
              <w:numPr>
                <w:ilvl w:val="0"/>
                <w:numId w:val="9"/>
              </w:numPr>
              <w:spacing w:line="360" w:lineRule="auto"/>
              <w:ind w:left="320" w:hanging="141"/>
              <w:contextualSpacing/>
              <w:rPr>
                <w:rFonts w:ascii="Verdana" w:hAnsi="Verdana"/>
                <w:sz w:val="20"/>
                <w:szCs w:val="20"/>
                <w:lang w:val="cs-CZ"/>
              </w:rPr>
            </w:pPr>
            <w:r>
              <w:rPr>
                <w:rFonts w:ascii="Verdana" w:hAnsi="Verdana"/>
                <w:sz w:val="20"/>
                <w:szCs w:val="20"/>
                <w:lang w:val="cs-CZ"/>
              </w:rPr>
              <w:t>min. 5 x USB, w tym min. 2 porty USB 3.2 Gen 2, 2</w:t>
            </w:r>
            <w:r>
              <w:rPr>
                <w:rFonts w:ascii="Verdana" w:hAnsi="Verdana"/>
                <w:sz w:val="20"/>
                <w:szCs w:val="20"/>
              </w:rPr>
              <w:t xml:space="preserve"> porty USB 2.0 oraz 1 port USB 3.2 Gen 1 Typ C (ładownie do 15 W)</w:t>
            </w:r>
          </w:p>
          <w:p>
            <w:pPr>
              <w:pStyle w:val="14"/>
              <w:numPr>
                <w:ilvl w:val="0"/>
                <w:numId w:val="9"/>
              </w:numPr>
              <w:spacing w:line="360" w:lineRule="auto"/>
              <w:ind w:left="320" w:hanging="141"/>
              <w:contextualSpacing/>
              <w:rPr>
                <w:rFonts w:ascii="Verdana" w:hAnsi="Verdana"/>
                <w:sz w:val="20"/>
                <w:szCs w:val="20"/>
                <w:lang w:val="cs-CZ"/>
              </w:rPr>
            </w:pPr>
            <w:r>
              <w:rPr>
                <w:rFonts w:ascii="Verdana" w:hAnsi="Verdana"/>
                <w:sz w:val="20"/>
                <w:szCs w:val="20"/>
                <w:lang w:val="cs-CZ"/>
              </w:rPr>
              <w:t>port audio do podłączenia słuchawek z mikrofonem</w:t>
            </w:r>
          </w:p>
          <w:p>
            <w:pPr>
              <w:pStyle w:val="14"/>
              <w:numPr>
                <w:ilvl w:val="0"/>
                <w:numId w:val="9"/>
              </w:numPr>
              <w:spacing w:line="360" w:lineRule="auto"/>
              <w:ind w:left="320" w:hanging="141"/>
              <w:contextualSpacing/>
              <w:rPr>
                <w:rFonts w:ascii="Verdana" w:hAnsi="Verdana"/>
                <w:sz w:val="20"/>
                <w:szCs w:val="20"/>
                <w:lang w:val="cs-C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Dysk twardy</w:t>
            </w:r>
          </w:p>
        </w:tc>
        <w:tc>
          <w:tcPr>
            <w:tcW w:w="3939" w:type="pct"/>
          </w:tcPr>
          <w:p>
            <w:pPr>
              <w:pStyle w:val="14"/>
              <w:numPr>
                <w:ilvl w:val="0"/>
                <w:numId w:val="10"/>
              </w:numPr>
              <w:spacing w:line="360" w:lineRule="auto"/>
              <w:ind w:left="320" w:right="-20"/>
              <w:contextualSpacing/>
              <w:jc w:val="both"/>
              <w:rPr>
                <w:rFonts w:ascii="Verdana" w:hAnsi="Verdana" w:cstheme="minorHAnsi"/>
                <w:sz w:val="20"/>
                <w:szCs w:val="20"/>
              </w:rPr>
            </w:pPr>
            <w:r>
              <w:rPr>
                <w:rFonts w:ascii="Verdana" w:hAnsi="Verdana"/>
                <w:sz w:val="20"/>
                <w:szCs w:val="20"/>
              </w:rPr>
              <w:t xml:space="preserve">Minimum 256GB SSD z interfejsem M.2 NVMe (wymagany wbudowany w dysk sprzętowy mechanizm szyfrujący: SED), </w:t>
            </w:r>
            <w:r>
              <w:rPr>
                <w:rFonts w:ascii="Verdana" w:hAnsi="Verdana" w:cstheme="minorHAnsi"/>
                <w:sz w:val="20"/>
                <w:szCs w:val="20"/>
              </w:rPr>
              <w:t>zawierający partycję RECOVERY umożliwiającą odtworzenie systemu operacyjnego zainstalowanego na komputerze przez producenta, po awarii, do stanu fabrycznego (tryb OOBE dla systemu MS Windows)</w:t>
            </w:r>
          </w:p>
          <w:p>
            <w:pPr>
              <w:pStyle w:val="14"/>
              <w:numPr>
                <w:ilvl w:val="0"/>
                <w:numId w:val="10"/>
              </w:numPr>
              <w:spacing w:line="360" w:lineRule="auto"/>
              <w:ind w:left="320" w:right="-20"/>
              <w:contextualSpacing/>
              <w:jc w:val="both"/>
              <w:rPr>
                <w:rFonts w:ascii="Verdana" w:hAnsi="Verdana" w:cstheme="minorHAnsi"/>
                <w:sz w:val="20"/>
                <w:szCs w:val="20"/>
              </w:rPr>
            </w:pPr>
            <w:r>
              <w:rPr>
                <w:rFonts w:ascii="Verdana" w:hAnsi="Verdana" w:cstheme="minorHAnsi"/>
                <w:sz w:val="20"/>
                <w:szCs w:val="20"/>
              </w:rPr>
              <w:t>Fabrycznie zamontowany dodatkowy dysk 3,5” 1TB 7200 (serwisowany bez narzędziowo)</w:t>
            </w:r>
          </w:p>
          <w:p>
            <w:pPr>
              <w:pStyle w:val="14"/>
              <w:numPr>
                <w:ilvl w:val="0"/>
                <w:numId w:val="10"/>
              </w:numPr>
              <w:spacing w:line="360" w:lineRule="auto"/>
              <w:ind w:left="320" w:right="-20"/>
              <w:contextualSpacing/>
              <w:jc w:val="both"/>
              <w:rPr>
                <w:rFonts w:ascii="Verdana" w:hAnsi="Verdana" w:cstheme="minorHAnsi"/>
                <w:color w:val="000000" w:themeColor="text1"/>
                <w:sz w:val="20"/>
                <w:szCs w:val="20"/>
                <w14:textFill>
                  <w14:solidFill>
                    <w14:schemeClr w14:val="tx1"/>
                  </w14:solidFill>
                </w14:textFill>
              </w:rPr>
            </w:pPr>
            <w:r>
              <w:rPr>
                <w:rFonts w:ascii="Verdana" w:hAnsi="Verdana" w:cstheme="minorHAnsi"/>
                <w:sz w:val="20"/>
                <w:szCs w:val="20"/>
              </w:rPr>
              <w:t>Fabryczne miejsce na drugi taki dysk 3,5” wraz z kompletem kabli i szyn umożliwiającymi szybki demontaż/montaż</w:t>
            </w:r>
          </w:p>
          <w:p>
            <w:pPr>
              <w:pStyle w:val="14"/>
              <w:spacing w:line="360" w:lineRule="auto"/>
              <w:ind w:left="320" w:right="-20"/>
              <w:contextualSpacing/>
              <w:jc w:val="both"/>
              <w:rPr>
                <w:rFonts w:ascii="Verdana" w:hAnsi="Verdana" w:cstheme="minorHAnsi"/>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Napęd optyczny</w:t>
            </w:r>
          </w:p>
        </w:tc>
        <w:tc>
          <w:tcPr>
            <w:tcW w:w="3939" w:type="pct"/>
          </w:tcPr>
          <w:p>
            <w:pPr>
              <w:pStyle w:val="14"/>
              <w:numPr>
                <w:ilvl w:val="0"/>
                <w:numId w:val="10"/>
              </w:numPr>
              <w:spacing w:line="360" w:lineRule="auto"/>
              <w:ind w:left="320" w:right="-20"/>
              <w:contextualSpacing/>
              <w:jc w:val="both"/>
              <w:rPr>
                <w:rFonts w:ascii="Verdana" w:hAnsi="Verdana"/>
                <w:sz w:val="20"/>
                <w:szCs w:val="20"/>
              </w:rPr>
            </w:pPr>
            <w:r>
              <w:rPr>
                <w:rFonts w:ascii="Verdana" w:hAnsi="Verdana"/>
                <w:sz w:val="20"/>
                <w:szCs w:val="20"/>
              </w:rPr>
              <w:t>Możliwość instalacji napędu</w:t>
            </w:r>
          </w:p>
          <w:p>
            <w:pPr>
              <w:pStyle w:val="14"/>
              <w:spacing w:line="360" w:lineRule="auto"/>
              <w:ind w:left="320" w:right="-20"/>
              <w:contextualSpacing/>
              <w:jc w:val="both"/>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Karta dźwiękowa</w:t>
            </w:r>
          </w:p>
        </w:tc>
        <w:tc>
          <w:tcPr>
            <w:tcW w:w="3939" w:type="pct"/>
          </w:tcPr>
          <w:p>
            <w:pPr>
              <w:pStyle w:val="14"/>
              <w:numPr>
                <w:ilvl w:val="0"/>
                <w:numId w:val="10"/>
              </w:numPr>
              <w:spacing w:line="360" w:lineRule="auto"/>
              <w:ind w:left="320" w:right="-20"/>
              <w:contextualSpacing/>
              <w:jc w:val="both"/>
              <w:rPr>
                <w:rFonts w:ascii="Verdana" w:hAnsi="Verdana"/>
                <w:sz w:val="20"/>
                <w:szCs w:val="20"/>
              </w:rPr>
            </w:pPr>
            <w:r>
              <w:rPr>
                <w:rFonts w:ascii="Verdana" w:hAnsi="Verdana" w:cstheme="minorHAnsi"/>
                <w:sz w:val="20"/>
                <w:szCs w:val="20"/>
              </w:rPr>
              <w:t>Karta dźwiękowa zintegrowana z płytą główną, zgodna ze standardem High Definition 5.1</w:t>
            </w:r>
          </w:p>
          <w:p>
            <w:pPr>
              <w:pStyle w:val="14"/>
              <w:spacing w:line="360" w:lineRule="auto"/>
              <w:ind w:left="320" w:right="-20"/>
              <w:contextualSpacing/>
              <w:jc w:val="both"/>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Karta graficzna</w:t>
            </w:r>
          </w:p>
        </w:tc>
        <w:tc>
          <w:tcPr>
            <w:tcW w:w="3939" w:type="pct"/>
          </w:tcPr>
          <w:p>
            <w:pPr>
              <w:pStyle w:val="14"/>
              <w:numPr>
                <w:ilvl w:val="0"/>
                <w:numId w:val="10"/>
              </w:numPr>
              <w:spacing w:line="360" w:lineRule="auto"/>
              <w:ind w:left="320" w:right="-20"/>
              <w:contextualSpacing/>
              <w:jc w:val="both"/>
              <w:rPr>
                <w:rFonts w:ascii="Verdana" w:hAnsi="Verdana" w:cstheme="minorHAnsi"/>
                <w:sz w:val="20"/>
                <w:szCs w:val="20"/>
              </w:rPr>
            </w:pPr>
            <w:r>
              <w:rPr>
                <w:rFonts w:ascii="Verdana" w:hAnsi="Verdana" w:cstheme="minorHAnsi"/>
                <w:sz w:val="20"/>
                <w:szCs w:val="20"/>
              </w:rPr>
              <w:t>Zintegrowana karta graficzna wykorzystująca pamięć RAM systemu dynamicznie przydzielaną na potrzeby grafiki. Pełna obsługa funkcji i standardów DX12, OpenGL 4.5, OpenCL 2.1. Możliwość fabrycznego zainstalowania dodatkowej, dedykowanej karty graficznej z pamięcią własną min. 4 GB. Grafika zintegrowana w procesorze musi umożliwiać jednoczesną obsługę co najmniej dwóch monitorów. Na potrzeby obsługi większej liczby monitorów oferowany komputer musi umożliwiać jednoczesną obsługę monitorów podłączonych do grafiki zintegrowanej w procesorze oraz zainstalowanej osobnej karty graficznej (jeśli jest ona wymagana).</w:t>
            </w:r>
          </w:p>
          <w:p>
            <w:pPr>
              <w:pStyle w:val="14"/>
              <w:spacing w:line="360" w:lineRule="auto"/>
              <w:ind w:left="320" w:right="-20"/>
              <w:contextualSpacing/>
              <w:jc w:val="both"/>
              <w:rPr>
                <w:rFonts w:ascii="Verdana" w:hAnsi="Verdana"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Karta sieciowa</w:t>
            </w:r>
          </w:p>
        </w:tc>
        <w:tc>
          <w:tcPr>
            <w:tcW w:w="3939" w:type="pct"/>
          </w:tcPr>
          <w:p>
            <w:pPr>
              <w:pStyle w:val="14"/>
              <w:numPr>
                <w:ilvl w:val="0"/>
                <w:numId w:val="10"/>
              </w:numPr>
              <w:spacing w:line="360" w:lineRule="auto"/>
              <w:ind w:left="320" w:right="-20"/>
              <w:contextualSpacing/>
              <w:jc w:val="both"/>
              <w:rPr>
                <w:rFonts w:ascii="Verdana" w:hAnsi="Verdana" w:cstheme="minorHAnsi"/>
                <w:sz w:val="20"/>
                <w:szCs w:val="20"/>
              </w:rPr>
            </w:pPr>
            <w:r>
              <w:rPr>
                <w:rFonts w:ascii="Verdana" w:hAnsi="Verdana" w:cstheme="minorHAnsi"/>
                <w:sz w:val="20"/>
                <w:szCs w:val="20"/>
              </w:rPr>
              <w:t>Karta sieciowa 10/100/1000 Ethernet RJ-45, zintegrowana z płytą główną wspierająca obsługę technologii WoL oraz PXE. Zintegrowana karta sieciowa musi być wyposażona w diodę statusu informującą a aktywności połączenia oraz diodę informującą o prędkości połączenia.</w:t>
            </w:r>
          </w:p>
          <w:p>
            <w:pPr>
              <w:pStyle w:val="14"/>
              <w:spacing w:line="360" w:lineRule="auto"/>
              <w:ind w:left="320" w:right="-20"/>
              <w:contextualSpacing/>
              <w:jc w:val="both"/>
              <w:rPr>
                <w:rFonts w:ascii="Verdana" w:hAnsi="Verdana" w:cstheme="minorHAnsi"/>
                <w:color w:val="00B05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Bios</w:t>
            </w:r>
          </w:p>
        </w:tc>
        <w:tc>
          <w:tcPr>
            <w:tcW w:w="3939" w:type="pct"/>
          </w:tcPr>
          <w:p>
            <w:pPr>
              <w:spacing w:line="360" w:lineRule="auto"/>
              <w:rPr>
                <w:rFonts w:ascii="Verdana" w:hAnsi="Verdana" w:cs="Arial" w:eastAsiaTheme="minorEastAsia"/>
                <w:b/>
                <w:bCs/>
                <w:sz w:val="20"/>
              </w:rPr>
            </w:pPr>
            <w:r>
              <w:rPr>
                <w:rFonts w:ascii="Verdana" w:hAnsi="Verdana" w:cs="Arial"/>
                <w:b/>
                <w:bCs/>
                <w:sz w:val="20"/>
              </w:rPr>
              <w:t>BIOS UEFI w wersji 2.6 lub wyższej. Możliwość odczytania z BIOS informacji o:</w:t>
            </w:r>
          </w:p>
          <w:p>
            <w:pPr>
              <w:pStyle w:val="14"/>
              <w:numPr>
                <w:ilvl w:val="0"/>
                <w:numId w:val="11"/>
              </w:numPr>
              <w:spacing w:line="360" w:lineRule="auto"/>
              <w:contextualSpacing/>
              <w:jc w:val="both"/>
              <w:rPr>
                <w:rFonts w:ascii="Verdana" w:hAnsi="Verdana" w:cs="Arial"/>
                <w:sz w:val="20"/>
                <w:szCs w:val="20"/>
              </w:rPr>
            </w:pPr>
            <w:r>
              <w:rPr>
                <w:rFonts w:ascii="Verdana" w:hAnsi="Verdana" w:cs="Arial"/>
                <w:sz w:val="20"/>
                <w:szCs w:val="20"/>
              </w:rPr>
              <w:t>modelu komputera,</w:t>
            </w:r>
          </w:p>
          <w:p>
            <w:pPr>
              <w:pStyle w:val="14"/>
              <w:numPr>
                <w:ilvl w:val="0"/>
                <w:numId w:val="11"/>
              </w:numPr>
              <w:spacing w:line="360" w:lineRule="auto"/>
              <w:contextualSpacing/>
              <w:jc w:val="both"/>
              <w:rPr>
                <w:rFonts w:ascii="Verdana" w:hAnsi="Verdana" w:cs="Arial"/>
                <w:sz w:val="20"/>
                <w:szCs w:val="20"/>
              </w:rPr>
            </w:pPr>
            <w:r>
              <w:rPr>
                <w:rFonts w:ascii="Verdana" w:hAnsi="Verdana" w:cs="Arial"/>
                <w:sz w:val="20"/>
                <w:szCs w:val="20"/>
              </w:rPr>
              <w:t>numerze seryjnym,</w:t>
            </w:r>
          </w:p>
          <w:p>
            <w:pPr>
              <w:pStyle w:val="14"/>
              <w:numPr>
                <w:ilvl w:val="0"/>
                <w:numId w:val="11"/>
              </w:numPr>
              <w:spacing w:line="360" w:lineRule="auto"/>
              <w:contextualSpacing/>
              <w:jc w:val="both"/>
              <w:rPr>
                <w:rFonts w:ascii="Verdana" w:hAnsi="Verdana" w:cs="Arial"/>
                <w:sz w:val="20"/>
                <w:szCs w:val="20"/>
              </w:rPr>
            </w:pPr>
            <w:r>
              <w:rPr>
                <w:rFonts w:ascii="Verdana" w:hAnsi="Verdana" w:cs="Arial"/>
                <w:sz w:val="20"/>
                <w:szCs w:val="20"/>
              </w:rPr>
              <w:t>AssetTag/IDTag</w:t>
            </w:r>
          </w:p>
          <w:p>
            <w:pPr>
              <w:pStyle w:val="14"/>
              <w:numPr>
                <w:ilvl w:val="0"/>
                <w:numId w:val="11"/>
              </w:numPr>
              <w:spacing w:line="360" w:lineRule="auto"/>
              <w:contextualSpacing/>
              <w:jc w:val="both"/>
              <w:rPr>
                <w:rFonts w:ascii="Verdana" w:hAnsi="Verdana" w:cs="Arial"/>
                <w:sz w:val="20"/>
                <w:szCs w:val="20"/>
              </w:rPr>
            </w:pPr>
            <w:r>
              <w:rPr>
                <w:rFonts w:ascii="Verdana" w:hAnsi="Verdana" w:cs="Arial"/>
                <w:sz w:val="20"/>
                <w:szCs w:val="20"/>
              </w:rPr>
              <w:t>MAC Adres karty sieciowej,</w:t>
            </w:r>
          </w:p>
          <w:p>
            <w:pPr>
              <w:pStyle w:val="14"/>
              <w:numPr>
                <w:ilvl w:val="0"/>
                <w:numId w:val="11"/>
              </w:numPr>
              <w:spacing w:line="360" w:lineRule="auto"/>
              <w:contextualSpacing/>
              <w:jc w:val="both"/>
              <w:rPr>
                <w:rFonts w:ascii="Verdana" w:hAnsi="Verdana" w:cs="Arial"/>
                <w:sz w:val="20"/>
                <w:szCs w:val="20"/>
              </w:rPr>
            </w:pPr>
            <w:r>
              <w:rPr>
                <w:rFonts w:ascii="Verdana" w:hAnsi="Verdana" w:cs="Arial"/>
                <w:sz w:val="20"/>
                <w:szCs w:val="20"/>
              </w:rPr>
              <w:t>wersja Biosu wraz z datą jego produkcji,</w:t>
            </w:r>
          </w:p>
          <w:p>
            <w:pPr>
              <w:pStyle w:val="14"/>
              <w:numPr>
                <w:ilvl w:val="0"/>
                <w:numId w:val="11"/>
              </w:numPr>
              <w:spacing w:line="360" w:lineRule="auto"/>
              <w:contextualSpacing/>
              <w:jc w:val="both"/>
              <w:rPr>
                <w:rFonts w:ascii="Verdana" w:hAnsi="Verdana" w:cs="Arial"/>
                <w:sz w:val="20"/>
                <w:szCs w:val="20"/>
              </w:rPr>
            </w:pPr>
            <w:r>
              <w:rPr>
                <w:rFonts w:ascii="Verdana" w:hAnsi="Verdana" w:cs="Arial"/>
                <w:sz w:val="20"/>
                <w:szCs w:val="20"/>
              </w:rPr>
              <w:t xml:space="preserve">zainstalowanym procesorze, jego taktowaniu </w:t>
            </w:r>
          </w:p>
          <w:p>
            <w:pPr>
              <w:pStyle w:val="14"/>
              <w:numPr>
                <w:ilvl w:val="0"/>
                <w:numId w:val="11"/>
              </w:numPr>
              <w:spacing w:line="360" w:lineRule="auto"/>
              <w:contextualSpacing/>
              <w:jc w:val="both"/>
              <w:rPr>
                <w:rFonts w:ascii="Verdana" w:hAnsi="Verdana" w:cs="Arial"/>
                <w:sz w:val="20"/>
                <w:szCs w:val="20"/>
              </w:rPr>
            </w:pPr>
            <w:r>
              <w:rPr>
                <w:rFonts w:ascii="Verdana" w:hAnsi="Verdana" w:cs="Arial"/>
                <w:sz w:val="20"/>
                <w:szCs w:val="20"/>
              </w:rPr>
              <w:t>ilości pamięci RAM wraz z taktowaniem i obłożeniem slotów</w:t>
            </w:r>
          </w:p>
          <w:p>
            <w:pPr>
              <w:spacing w:line="360" w:lineRule="auto"/>
              <w:rPr>
                <w:rFonts w:ascii="Verdana" w:hAnsi="Verdana" w:cs="Arial"/>
                <w:b/>
                <w:bCs/>
                <w:sz w:val="20"/>
              </w:rPr>
            </w:pPr>
            <w:r>
              <w:rPr>
                <w:rFonts w:ascii="Verdana" w:hAnsi="Verdana" w:cs="Arial"/>
                <w:b/>
                <w:bCs/>
                <w:sz w:val="20"/>
              </w:rPr>
              <w:t>Możliwość z poziomu BIOS:</w:t>
            </w:r>
          </w:p>
          <w:p>
            <w:pPr>
              <w:pStyle w:val="14"/>
              <w:numPr>
                <w:ilvl w:val="0"/>
                <w:numId w:val="12"/>
              </w:numPr>
              <w:spacing w:line="360" w:lineRule="auto"/>
              <w:contextualSpacing/>
              <w:jc w:val="both"/>
              <w:rPr>
                <w:rFonts w:ascii="Verdana" w:hAnsi="Verdana" w:cs="Arial"/>
                <w:sz w:val="20"/>
                <w:szCs w:val="20"/>
              </w:rPr>
            </w:pPr>
            <w:r>
              <w:rPr>
                <w:rFonts w:ascii="Verdana" w:hAnsi="Verdana" w:cs="Arial"/>
                <w:sz w:val="20"/>
                <w:szCs w:val="20"/>
              </w:rPr>
              <w:t>wyłączenia selektywnego portów USB, minimum wyłączanie portów z przodu oraz wyłączanie portów z tyłu jako grup</w:t>
            </w:r>
          </w:p>
          <w:p>
            <w:pPr>
              <w:pStyle w:val="14"/>
              <w:numPr>
                <w:ilvl w:val="0"/>
                <w:numId w:val="12"/>
              </w:numPr>
              <w:spacing w:line="360" w:lineRule="auto"/>
              <w:contextualSpacing/>
              <w:jc w:val="both"/>
              <w:rPr>
                <w:rFonts w:ascii="Verdana" w:hAnsi="Verdana" w:cs="Arial"/>
                <w:sz w:val="20"/>
                <w:szCs w:val="20"/>
              </w:rPr>
            </w:pPr>
            <w:r>
              <w:rPr>
                <w:rFonts w:ascii="Verdana" w:hAnsi="Verdana" w:cs="Arial"/>
                <w:sz w:val="20"/>
                <w:szCs w:val="20"/>
              </w:rPr>
              <w:t>wyłączenia selektywnego (pojedynczego) portów SATA,</w:t>
            </w:r>
          </w:p>
          <w:p>
            <w:pPr>
              <w:pStyle w:val="14"/>
              <w:numPr>
                <w:ilvl w:val="0"/>
                <w:numId w:val="12"/>
              </w:numPr>
              <w:spacing w:line="360" w:lineRule="auto"/>
              <w:contextualSpacing/>
              <w:jc w:val="both"/>
              <w:rPr>
                <w:rFonts w:ascii="Verdana" w:hAnsi="Verdana" w:cs="Arial"/>
                <w:sz w:val="20"/>
                <w:szCs w:val="20"/>
              </w:rPr>
            </w:pPr>
            <w:r>
              <w:rPr>
                <w:rFonts w:ascii="Verdana" w:hAnsi="Verdana" w:cs="Arial"/>
                <w:sz w:val="20"/>
                <w:szCs w:val="20"/>
              </w:rPr>
              <w:t>zmiany pracy wentylatorów między trybem optymalizacji głośności lub temperatury,</w:t>
            </w:r>
          </w:p>
          <w:p>
            <w:pPr>
              <w:pStyle w:val="14"/>
              <w:numPr>
                <w:ilvl w:val="0"/>
                <w:numId w:val="12"/>
              </w:numPr>
              <w:spacing w:line="360" w:lineRule="auto"/>
              <w:contextualSpacing/>
              <w:jc w:val="both"/>
              <w:rPr>
                <w:rFonts w:ascii="Verdana" w:hAnsi="Verdana" w:cs="Arial"/>
                <w:sz w:val="20"/>
                <w:szCs w:val="20"/>
              </w:rPr>
            </w:pPr>
            <w:r>
              <w:rPr>
                <w:rFonts w:ascii="Verdana" w:hAnsi="Verdana" w:cs="Arial"/>
                <w:sz w:val="20"/>
                <w:szCs w:val="20"/>
              </w:rPr>
              <w:t>ustawienia hasła: administratora, Power-On, HDD,</w:t>
            </w:r>
          </w:p>
          <w:p>
            <w:pPr>
              <w:pStyle w:val="14"/>
              <w:numPr>
                <w:ilvl w:val="0"/>
                <w:numId w:val="12"/>
              </w:numPr>
              <w:spacing w:line="360" w:lineRule="auto"/>
              <w:contextualSpacing/>
              <w:rPr>
                <w:rFonts w:ascii="Verdana" w:hAnsi="Verdana"/>
                <w:sz w:val="20"/>
                <w:szCs w:val="20"/>
              </w:rPr>
            </w:pPr>
            <w:r>
              <w:rPr>
                <w:rFonts w:ascii="Verdana" w:hAnsi="Verdana" w:cs="Arial"/>
                <w:sz w:val="20"/>
                <w:szCs w:val="20"/>
              </w:rPr>
              <w:t>możliwość zbierania i przeglądania logów zdarzeń z informacją odnośnie godziny, daty i kodu błędu zdarzenia</w:t>
            </w:r>
          </w:p>
          <w:p>
            <w:pPr>
              <w:pStyle w:val="14"/>
              <w:numPr>
                <w:ilvl w:val="0"/>
                <w:numId w:val="12"/>
              </w:numPr>
              <w:spacing w:line="360" w:lineRule="auto"/>
              <w:contextualSpacing/>
              <w:rPr>
                <w:rFonts w:ascii="Verdana" w:hAnsi="Verdana"/>
                <w:sz w:val="20"/>
                <w:szCs w:val="20"/>
              </w:rPr>
            </w:pPr>
            <w:r>
              <w:rPr>
                <w:rFonts w:ascii="Verdana" w:hAnsi="Verdana"/>
                <w:sz w:val="20"/>
                <w:szCs w:val="20"/>
              </w:rPr>
              <w:t>ustawienie automatycznej aktualizacji BIOS z serwera producenta komputera</w:t>
            </w:r>
          </w:p>
          <w:p>
            <w:pPr>
              <w:pStyle w:val="14"/>
              <w:spacing w:line="360" w:lineRule="auto"/>
              <w:contextualSpacing/>
              <w:rPr>
                <w:rFonts w:ascii="Verdana" w:hAnsi="Verdan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Klawiatura</w:t>
            </w:r>
          </w:p>
        </w:tc>
        <w:tc>
          <w:tcPr>
            <w:tcW w:w="3939" w:type="pct"/>
          </w:tcPr>
          <w:p>
            <w:pPr>
              <w:spacing w:line="360" w:lineRule="auto"/>
              <w:rPr>
                <w:rFonts w:ascii="Verdana" w:hAnsi="Verdana"/>
                <w:sz w:val="20"/>
              </w:rPr>
            </w:pPr>
            <w:r>
              <w:rPr>
                <w:rFonts w:ascii="Verdana" w:hAnsi="Verdana"/>
                <w:sz w:val="20"/>
              </w:rPr>
              <w:t>Klawiatura USB w układzie polskim programisty (104 klawisze) z kablem o długości min. 1,8 m.</w:t>
            </w:r>
          </w:p>
          <w:p>
            <w:pPr>
              <w:spacing w:line="360" w:lineRule="auto"/>
              <w:rPr>
                <w:rFonts w:ascii="Verdana" w:hAnsi="Verdana" w:cs="Arial"/>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Mysz</w:t>
            </w:r>
          </w:p>
        </w:tc>
        <w:tc>
          <w:tcPr>
            <w:tcW w:w="3939" w:type="pct"/>
          </w:tcPr>
          <w:p>
            <w:pPr>
              <w:spacing w:line="360" w:lineRule="auto"/>
              <w:rPr>
                <w:rFonts w:ascii="Verdana" w:hAnsi="Verdana"/>
                <w:sz w:val="20"/>
              </w:rPr>
            </w:pPr>
            <w:r>
              <w:rPr>
                <w:rFonts w:ascii="Verdana" w:hAnsi="Verdana"/>
                <w:sz w:val="20"/>
              </w:rPr>
              <w:t>Mysz optyczna USB z klawiszami oraz rolką (scroll) z kablem o długości min. 1,8 m.</w:t>
            </w:r>
          </w:p>
          <w:p>
            <w:pPr>
              <w:spacing w:line="360" w:lineRule="auto"/>
              <w:rPr>
                <w:rFonts w:ascii="Verdana" w:hAnsi="Verdan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Obudowa</w:t>
            </w:r>
          </w:p>
        </w:tc>
        <w:tc>
          <w:tcPr>
            <w:tcW w:w="3939" w:type="pct"/>
          </w:tcPr>
          <w:p>
            <w:pPr>
              <w:pStyle w:val="14"/>
              <w:numPr>
                <w:ilvl w:val="0"/>
                <w:numId w:val="13"/>
              </w:numPr>
              <w:spacing w:line="360" w:lineRule="auto"/>
              <w:contextualSpacing/>
              <w:jc w:val="both"/>
              <w:rPr>
                <w:rFonts w:ascii="Verdana" w:hAnsi="Verdana" w:cstheme="minorHAnsi"/>
                <w:sz w:val="20"/>
                <w:szCs w:val="20"/>
              </w:rPr>
            </w:pPr>
            <w:r>
              <w:rPr>
                <w:rFonts w:ascii="Verdana" w:hAnsi="Verdana" w:cstheme="minorHAnsi"/>
                <w:sz w:val="20"/>
                <w:szCs w:val="20"/>
              </w:rPr>
              <w:t>Typu Microtower przystosowana do pracy w pionie, z obsługą kart PCI Express;</w:t>
            </w:r>
          </w:p>
          <w:p>
            <w:pPr>
              <w:pStyle w:val="14"/>
              <w:numPr>
                <w:ilvl w:val="0"/>
                <w:numId w:val="13"/>
              </w:numPr>
              <w:spacing w:line="360" w:lineRule="auto"/>
              <w:contextualSpacing/>
              <w:jc w:val="both"/>
              <w:rPr>
                <w:rFonts w:ascii="Verdana" w:hAnsi="Verdana"/>
                <w:sz w:val="20"/>
                <w:szCs w:val="20"/>
              </w:rPr>
            </w:pPr>
            <w:r>
              <w:rPr>
                <w:rFonts w:ascii="Verdana" w:hAnsi="Verdana"/>
                <w:sz w:val="20"/>
                <w:szCs w:val="20"/>
              </w:rPr>
              <w:t xml:space="preserve">Wbudowany głośnik do odtwarzania plików multimedialnych. </w:t>
            </w:r>
          </w:p>
          <w:p>
            <w:pPr>
              <w:pStyle w:val="14"/>
              <w:numPr>
                <w:ilvl w:val="0"/>
                <w:numId w:val="13"/>
              </w:numPr>
              <w:spacing w:after="160" w:line="360" w:lineRule="auto"/>
              <w:contextualSpacing/>
              <w:jc w:val="both"/>
              <w:rPr>
                <w:rFonts w:ascii="Verdana" w:hAnsi="Verdana"/>
                <w:sz w:val="20"/>
                <w:szCs w:val="20"/>
              </w:rPr>
            </w:pPr>
            <w:r>
              <w:rPr>
                <w:rFonts w:ascii="Verdana" w:hAnsi="Verdana" w:cstheme="minorHAnsi"/>
                <w:sz w:val="20"/>
                <w:szCs w:val="20"/>
              </w:rPr>
              <w:t>Suma wymiarów obudowy, nie może przekroczyć: 860 mm, najkrótszy z wymiarów nie większy niż: 180 mm</w:t>
            </w:r>
          </w:p>
          <w:p>
            <w:pPr>
              <w:pStyle w:val="14"/>
              <w:numPr>
                <w:ilvl w:val="0"/>
                <w:numId w:val="13"/>
              </w:numPr>
              <w:spacing w:before="60" w:after="60" w:line="360" w:lineRule="auto"/>
              <w:contextualSpacing/>
              <w:jc w:val="both"/>
              <w:rPr>
                <w:rFonts w:ascii="Verdana" w:hAnsi="Verdana" w:cstheme="minorHAnsi"/>
                <w:sz w:val="20"/>
                <w:szCs w:val="20"/>
              </w:rPr>
            </w:pPr>
            <w:r>
              <w:rPr>
                <w:rFonts w:ascii="Verdana" w:hAnsi="Verdana" w:cstheme="minorHAnsi"/>
                <w:sz w:val="20"/>
                <w:szCs w:val="20"/>
              </w:rPr>
              <w:t>Obudowa jednostki centralnej beznarzędziowa, pozwalająca na demontaż komponentów i kart rozszerzeń (PCIe) oraz napędu optycznego i dysków twardych (co najmniej 3,5 cala) bez użycia narzędzi, z obiegiem powietrza tylko przód-tył - brak perforacji na bokach obudowy.</w:t>
            </w:r>
          </w:p>
          <w:p>
            <w:pPr>
              <w:spacing w:line="360" w:lineRule="auto"/>
              <w:rPr>
                <w:rFonts w:ascii="Verdana" w:hAnsi="Verdan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Zasilanie</w:t>
            </w:r>
          </w:p>
        </w:tc>
        <w:tc>
          <w:tcPr>
            <w:tcW w:w="3939" w:type="pct"/>
          </w:tcPr>
          <w:p>
            <w:pPr>
              <w:pStyle w:val="14"/>
              <w:numPr>
                <w:ilvl w:val="0"/>
                <w:numId w:val="13"/>
              </w:numPr>
              <w:spacing w:line="360" w:lineRule="auto"/>
              <w:contextualSpacing/>
              <w:jc w:val="both"/>
              <w:rPr>
                <w:rStyle w:val="11"/>
                <w:rFonts w:ascii="Verdana" w:hAnsi="Verdana" w:cstheme="minorHAnsi"/>
                <w:color w:val="auto"/>
                <w:sz w:val="20"/>
                <w:szCs w:val="20"/>
                <w:u w:val="none"/>
              </w:rPr>
            </w:pPr>
            <w:r>
              <w:rPr>
                <w:rFonts w:ascii="Verdana" w:hAnsi="Verdana" w:cstheme="minorHAnsi"/>
                <w:sz w:val="20"/>
                <w:szCs w:val="20"/>
              </w:rPr>
              <w:t xml:space="preserve">Zasilacz o mocy nie mniejszej niż 280 W i nie większej niż 300 W, o sprawności 94% przy obciążeniu 50%. Roczny pobór mocy jednostki centralnej, nie większy niż w specyfikacji energetycznej dla Energy Star w wersji 8.0. Zasilacz spełniający kryteria 80Plus PLATINUM według informacji podanej na stronie: </w:t>
            </w:r>
            <w:r>
              <w:fldChar w:fldCharType="begin"/>
            </w:r>
            <w:r>
              <w:instrText xml:space="preserve"> HYPERLINK "https://www.clearesult.com/80plus/" </w:instrText>
            </w:r>
            <w:r>
              <w:fldChar w:fldCharType="separate"/>
            </w:r>
            <w:r>
              <w:rPr>
                <w:rStyle w:val="11"/>
                <w:rFonts w:ascii="Verdana" w:hAnsi="Verdana" w:cstheme="minorHAnsi"/>
                <w:color w:val="auto"/>
                <w:sz w:val="20"/>
                <w:szCs w:val="20"/>
              </w:rPr>
              <w:t>https://www.clearesult.com/80plus/</w:t>
            </w:r>
            <w:r>
              <w:rPr>
                <w:rStyle w:val="11"/>
                <w:rFonts w:ascii="Verdana" w:hAnsi="Verdana" w:cstheme="minorHAnsi"/>
                <w:color w:val="auto"/>
                <w:sz w:val="20"/>
                <w:szCs w:val="20"/>
              </w:rPr>
              <w:fldChar w:fldCharType="end"/>
            </w:r>
          </w:p>
          <w:p>
            <w:pPr>
              <w:pStyle w:val="14"/>
              <w:spacing w:line="360" w:lineRule="auto"/>
              <w:contextualSpacing/>
              <w:jc w:val="both"/>
              <w:rPr>
                <w:rFonts w:ascii="Verdana" w:hAnsi="Verdana" w:cstheme="minorHAnsi"/>
                <w:color w:val="00B05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Bezpieczeństwo i funkcje zarządzania</w:t>
            </w:r>
          </w:p>
        </w:tc>
        <w:tc>
          <w:tcPr>
            <w:tcW w:w="3939" w:type="pct"/>
          </w:tcPr>
          <w:p>
            <w:pPr>
              <w:pStyle w:val="14"/>
              <w:numPr>
                <w:ilvl w:val="0"/>
                <w:numId w:val="14"/>
              </w:numPr>
              <w:suppressAutoHyphens/>
              <w:spacing w:line="360" w:lineRule="auto"/>
              <w:ind w:left="215" w:hanging="215"/>
              <w:contextualSpacing/>
              <w:rPr>
                <w:rFonts w:ascii="Verdana" w:hAnsi="Verdana" w:cstheme="minorHAnsi"/>
                <w:sz w:val="20"/>
                <w:szCs w:val="20"/>
              </w:rPr>
            </w:pPr>
            <w:r>
              <w:rPr>
                <w:rFonts w:ascii="Verdana" w:hAnsi="Verdana" w:cstheme="minorHAnsi"/>
                <w:sz w:val="20"/>
                <w:szCs w:val="20"/>
              </w:rPr>
              <w:t>Możliwość zastosowania mechanicznego zabezpieczenia przed kradzieżą komputera.</w:t>
            </w:r>
          </w:p>
          <w:p>
            <w:pPr>
              <w:pStyle w:val="14"/>
              <w:numPr>
                <w:ilvl w:val="0"/>
                <w:numId w:val="14"/>
              </w:numPr>
              <w:spacing w:line="360" w:lineRule="auto"/>
              <w:ind w:left="215" w:hanging="215"/>
              <w:contextualSpacing/>
              <w:jc w:val="both"/>
              <w:rPr>
                <w:rFonts w:ascii="Verdana" w:hAnsi="Verdana" w:cstheme="minorHAnsi"/>
                <w:bCs/>
                <w:sz w:val="20"/>
                <w:szCs w:val="20"/>
              </w:rPr>
            </w:pPr>
            <w:r>
              <w:rPr>
                <w:rFonts w:ascii="Verdana" w:hAnsi="Verdana" w:cstheme="minorHAnsi"/>
                <w:sz w:val="20"/>
                <w:szCs w:val="20"/>
              </w:rPr>
              <w:t>Zamek zatrzaskowy z kluczem, nie wystający poza obrys obudowy zabezpieczający przed niepowołanym dostępem do wnętrza obudowy.</w:t>
            </w:r>
          </w:p>
          <w:p>
            <w:pPr>
              <w:pStyle w:val="14"/>
              <w:numPr>
                <w:ilvl w:val="0"/>
                <w:numId w:val="14"/>
              </w:numPr>
              <w:spacing w:line="360" w:lineRule="auto"/>
              <w:ind w:left="215" w:hanging="215"/>
              <w:contextualSpacing/>
              <w:jc w:val="both"/>
              <w:rPr>
                <w:rFonts w:ascii="Verdana" w:hAnsi="Verdana" w:cstheme="minorHAnsi"/>
                <w:bCs/>
                <w:sz w:val="20"/>
                <w:szCs w:val="20"/>
              </w:rPr>
            </w:pPr>
            <w:r>
              <w:rPr>
                <w:rFonts w:ascii="Verdana" w:hAnsi="Verdana" w:cstheme="minorHAnsi"/>
                <w:bCs/>
                <w:sz w:val="20"/>
                <w:szCs w:val="20"/>
              </w:rPr>
              <w:t>Funkcjonalność TPM 2.0.</w:t>
            </w:r>
          </w:p>
          <w:p>
            <w:pPr>
              <w:pStyle w:val="14"/>
              <w:numPr>
                <w:ilvl w:val="0"/>
                <w:numId w:val="14"/>
              </w:numPr>
              <w:spacing w:line="360" w:lineRule="auto"/>
              <w:ind w:left="215" w:hanging="215"/>
              <w:contextualSpacing/>
              <w:jc w:val="both"/>
              <w:rPr>
                <w:rFonts w:ascii="Verdana" w:hAnsi="Verdana" w:cstheme="minorHAnsi"/>
                <w:bCs/>
                <w:sz w:val="20"/>
                <w:szCs w:val="20"/>
              </w:rPr>
            </w:pPr>
            <w:r>
              <w:rPr>
                <w:rFonts w:ascii="Verdana" w:hAnsi="Verdana" w:cstheme="minorHAnsi"/>
                <w:bCs/>
                <w:sz w:val="20"/>
                <w:szCs w:val="20"/>
              </w:rPr>
              <w:t>Certyfikowane oprogramowanie umożliwiające – bez względu na stan czy obecność systemu operacyjnego w bezpieczny (bezpowrotny) sposób usunięcie danych z dysku twardego - w ofercie należy podać nazwę i producenta oprogramowania.</w:t>
            </w:r>
          </w:p>
          <w:p>
            <w:pPr>
              <w:pStyle w:val="14"/>
              <w:numPr>
                <w:ilvl w:val="0"/>
                <w:numId w:val="14"/>
              </w:numPr>
              <w:spacing w:line="360" w:lineRule="auto"/>
              <w:ind w:left="215" w:hanging="215"/>
              <w:contextualSpacing/>
              <w:jc w:val="both"/>
              <w:rPr>
                <w:rFonts w:ascii="Verdana" w:hAnsi="Verdana" w:cstheme="minorHAnsi"/>
                <w:sz w:val="20"/>
                <w:szCs w:val="20"/>
              </w:rPr>
            </w:pPr>
            <w:r>
              <w:rPr>
                <w:rFonts w:ascii="Verdana" w:hAnsi="Verdana" w:cstheme="minorHAnsi"/>
                <w:sz w:val="20"/>
                <w:szCs w:val="20"/>
              </w:rPr>
              <w:t>System diagnostyczny działający bez udziału systemu operacyjnego, czy też jakichkolwiek dołączonych urządzeń na zewnątrz czy też wewnątrz komputera, umożliwiający otrzymanie informacji o:</w:t>
            </w:r>
          </w:p>
          <w:p>
            <w:pPr>
              <w:spacing w:line="360" w:lineRule="auto"/>
              <w:ind w:left="215" w:hanging="215"/>
              <w:rPr>
                <w:rFonts w:ascii="Verdana" w:hAnsi="Verdana" w:cstheme="minorHAnsi"/>
                <w:sz w:val="20"/>
              </w:rPr>
            </w:pPr>
            <w:r>
              <w:rPr>
                <w:rFonts w:ascii="Verdana" w:hAnsi="Verdana" w:cstheme="minorHAnsi"/>
                <w:sz w:val="20"/>
              </w:rPr>
              <w:t>-       modelu, oznaczeniu i numerze seryjnym komputera, pojemności zainstalowanej pamięci RAM</w:t>
            </w:r>
          </w:p>
          <w:p>
            <w:pPr>
              <w:spacing w:line="360" w:lineRule="auto"/>
              <w:rPr>
                <w:rFonts w:ascii="Verdana" w:hAnsi="Verdana" w:eastAsiaTheme="minorEastAsia" w:cstheme="minorHAnsi"/>
                <w:b/>
                <w:bCs/>
                <w:sz w:val="20"/>
              </w:rPr>
            </w:pPr>
            <w:r>
              <w:rPr>
                <w:rFonts w:ascii="Verdana" w:hAnsi="Verdana" w:cstheme="minorHAnsi"/>
                <w:b/>
                <w:bCs/>
                <w:sz w:val="20"/>
              </w:rPr>
              <w:t>Oprogramowanie diagnostyczne musi umożliwiać:</w:t>
            </w:r>
          </w:p>
          <w:p>
            <w:pPr>
              <w:pStyle w:val="14"/>
              <w:numPr>
                <w:ilvl w:val="0"/>
                <w:numId w:val="15"/>
              </w:numPr>
              <w:spacing w:line="360" w:lineRule="auto"/>
              <w:contextualSpacing/>
              <w:jc w:val="both"/>
              <w:rPr>
                <w:rFonts w:ascii="Verdana" w:hAnsi="Verdana" w:cstheme="minorHAnsi"/>
                <w:sz w:val="20"/>
                <w:szCs w:val="20"/>
              </w:rPr>
            </w:pPr>
            <w:r>
              <w:rPr>
                <w:rFonts w:ascii="Verdana" w:hAnsi="Verdana" w:cstheme="minorHAnsi"/>
                <w:sz w:val="20"/>
                <w:szCs w:val="20"/>
              </w:rPr>
              <w:t>wykonanie testu pamięci RAM,</w:t>
            </w:r>
          </w:p>
          <w:p>
            <w:pPr>
              <w:pStyle w:val="14"/>
              <w:numPr>
                <w:ilvl w:val="0"/>
                <w:numId w:val="15"/>
              </w:numPr>
              <w:spacing w:line="360" w:lineRule="auto"/>
              <w:contextualSpacing/>
              <w:jc w:val="both"/>
              <w:rPr>
                <w:rFonts w:ascii="Verdana" w:hAnsi="Verdana" w:cstheme="minorHAnsi"/>
                <w:sz w:val="20"/>
                <w:szCs w:val="20"/>
              </w:rPr>
            </w:pPr>
            <w:r>
              <w:rPr>
                <w:rFonts w:ascii="Verdana" w:hAnsi="Verdana" w:cstheme="minorHAnsi"/>
                <w:sz w:val="20"/>
                <w:szCs w:val="20"/>
              </w:rPr>
              <w:t>wykonanie podstawowego testu prawidłowej pracy CPU</w:t>
            </w:r>
          </w:p>
          <w:p>
            <w:pPr>
              <w:pStyle w:val="14"/>
              <w:numPr>
                <w:ilvl w:val="0"/>
                <w:numId w:val="15"/>
              </w:numPr>
              <w:spacing w:line="360" w:lineRule="auto"/>
              <w:contextualSpacing/>
              <w:jc w:val="both"/>
              <w:rPr>
                <w:rFonts w:ascii="Verdana" w:hAnsi="Verdana" w:cstheme="minorHAnsi"/>
                <w:sz w:val="20"/>
                <w:szCs w:val="20"/>
              </w:rPr>
            </w:pPr>
            <w:r>
              <w:rPr>
                <w:rFonts w:ascii="Verdana" w:hAnsi="Verdana" w:cstheme="minorHAnsi"/>
                <w:sz w:val="20"/>
                <w:szCs w:val="20"/>
              </w:rPr>
              <w:t>wykonanie testu dysku twardego.</w:t>
            </w:r>
          </w:p>
          <w:p>
            <w:pPr>
              <w:pStyle w:val="14"/>
              <w:numPr>
                <w:ilvl w:val="0"/>
                <w:numId w:val="13"/>
              </w:numPr>
              <w:spacing w:line="360" w:lineRule="auto"/>
              <w:contextualSpacing/>
              <w:jc w:val="both"/>
              <w:rPr>
                <w:rFonts w:ascii="Verdana" w:hAnsi="Verdana" w:cstheme="minorHAnsi"/>
                <w:sz w:val="20"/>
                <w:szCs w:val="20"/>
              </w:rPr>
            </w:pPr>
            <w:r>
              <w:rPr>
                <w:rFonts w:ascii="Verdana" w:hAnsi="Verdana" w:cstheme="minorHAnsi"/>
                <w:sz w:val="20"/>
                <w:szCs w:val="20"/>
              </w:rPr>
              <w:t>System Diagnostyczny działający nawet w przypadku uszkodzenia dysku twardego z systemem operacyjnym komputera (Zaimplementowany w sprzętowym mikro kodzie płyty głównej)</w:t>
            </w:r>
          </w:p>
          <w:p>
            <w:pPr>
              <w:pStyle w:val="14"/>
              <w:spacing w:line="360" w:lineRule="auto"/>
              <w:contextualSpacing/>
              <w:jc w:val="both"/>
              <w:rPr>
                <w:rFonts w:ascii="Verdana" w:hAnsi="Verdana"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Sterowniki i oprogramowanie</w:t>
            </w:r>
          </w:p>
        </w:tc>
        <w:tc>
          <w:tcPr>
            <w:tcW w:w="3939" w:type="pct"/>
          </w:tcPr>
          <w:p>
            <w:pPr>
              <w:tabs>
                <w:tab w:val="left" w:pos="12"/>
              </w:tabs>
              <w:suppressAutoHyphens/>
              <w:spacing w:line="360" w:lineRule="auto"/>
              <w:ind w:left="12"/>
              <w:jc w:val="both"/>
              <w:rPr>
                <w:rFonts w:ascii="Verdana" w:hAnsi="Verdana"/>
                <w:sz w:val="20"/>
              </w:rPr>
            </w:pPr>
            <w:r>
              <w:rPr>
                <w:rFonts w:ascii="Verdana" w:hAnsi="Verdana"/>
                <w:sz w:val="20"/>
              </w:rPr>
              <w:t xml:space="preserve">Zapewnienie na dedykowanej stronie internetowej producenta dostępu do najnowszych sterowników i uaktualnień, realizowane poprzez podanie numeru seryjnego/modelu urządzenia, podać link strony www. </w:t>
            </w:r>
          </w:p>
          <w:p>
            <w:pPr>
              <w:tabs>
                <w:tab w:val="left" w:pos="12"/>
              </w:tabs>
              <w:suppressAutoHyphens/>
              <w:spacing w:line="360" w:lineRule="auto"/>
              <w:ind w:left="12"/>
              <w:jc w:val="both"/>
              <w:rPr>
                <w:rFonts w:ascii="Verdana" w:hAnsi="Verdana"/>
                <w:sz w:val="20"/>
              </w:rPr>
            </w:pPr>
            <w:r>
              <w:rPr>
                <w:rFonts w:ascii="Verdana" w:hAnsi="Verdana"/>
                <w:sz w:val="20"/>
              </w:rPr>
              <w:t>Oprogramowanie producenta komputera posiadające funkcje zarządzania sterownikami (wykrywanie i instalowanie aktualizacji).</w:t>
            </w:r>
          </w:p>
          <w:p>
            <w:pPr>
              <w:suppressAutoHyphens/>
              <w:spacing w:line="360" w:lineRule="auto"/>
              <w:contextualSpacing/>
              <w:jc w:val="both"/>
              <w:rPr>
                <w:rFonts w:ascii="Verdana" w:hAnsi="Verdana"/>
                <w:sz w:val="20"/>
              </w:rPr>
            </w:pPr>
            <w:r>
              <w:rPr>
                <w:rFonts w:ascii="Verdana" w:hAnsi="Verdana"/>
                <w:sz w:val="20"/>
              </w:rPr>
              <w:t>Oprogramowanie umożliwiające – bez względu na stan czy obecność systemu operacyjnego oraz bez podłączania żadnych urządzeń czy nośników zewnętrznych - w bezpieczny (bezpowrotny) sposób usunięcie danych z dysku twardego. Usuwanie danych z dysku twardego musi odbywać się przy wykorzystaniu certyfikowanych algorytmów a wynikiem pracy oprogramowania musi być protokół zawierający dane kasowanego dysku oraz informacje o zastosowanym algorytmie kasowania. W ofercie należy podać nazwę i producenta oprogramowania.</w:t>
            </w:r>
          </w:p>
          <w:p>
            <w:pPr>
              <w:suppressAutoHyphens/>
              <w:spacing w:line="360" w:lineRule="auto"/>
              <w:contextualSpacing/>
              <w:jc w:val="both"/>
              <w:rPr>
                <w:rFonts w:ascii="Verdana" w:hAnsi="Verdana" w:cstheme="minorHAnsi"/>
                <w:color w:val="00B05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Certyfikaty i oświadczenia</w:t>
            </w:r>
          </w:p>
        </w:tc>
        <w:tc>
          <w:tcPr>
            <w:tcW w:w="3939" w:type="pct"/>
          </w:tcPr>
          <w:p>
            <w:pPr>
              <w:pStyle w:val="14"/>
              <w:numPr>
                <w:ilvl w:val="0"/>
                <w:numId w:val="16"/>
              </w:numPr>
              <w:spacing w:line="360" w:lineRule="auto"/>
              <w:ind w:left="322"/>
              <w:rPr>
                <w:rFonts w:ascii="Verdana" w:hAnsi="Verdana" w:cstheme="minorHAnsi"/>
                <w:sz w:val="20"/>
                <w:szCs w:val="20"/>
              </w:rPr>
            </w:pPr>
            <w:r>
              <w:rPr>
                <w:rFonts w:ascii="Verdana" w:hAnsi="Verdana"/>
                <w:sz w:val="20"/>
                <w:szCs w:val="20"/>
              </w:rPr>
              <w:t>Producent komputera musi posiadać ISO 9001 co najmniej w zakresie projektowania, produkcji i serwisu komputerów.</w:t>
            </w:r>
          </w:p>
          <w:p>
            <w:pPr>
              <w:pStyle w:val="14"/>
              <w:numPr>
                <w:ilvl w:val="0"/>
                <w:numId w:val="16"/>
              </w:numPr>
              <w:spacing w:line="360" w:lineRule="auto"/>
              <w:ind w:left="322"/>
              <w:contextualSpacing/>
              <w:rPr>
                <w:rFonts w:ascii="Verdana" w:hAnsi="Verdana"/>
                <w:color w:val="FF0000"/>
                <w:sz w:val="20"/>
                <w:szCs w:val="20"/>
              </w:rPr>
            </w:pPr>
            <w:r>
              <w:rPr>
                <w:rFonts w:ascii="Verdana" w:hAnsi="Verdana" w:cstheme="minorHAnsi"/>
                <w:sz w:val="20"/>
                <w:szCs w:val="20"/>
              </w:rPr>
              <w:t xml:space="preserve">Producent komputera musi posiadać ISO 14001, co </w:t>
            </w:r>
            <w:r>
              <w:rPr>
                <w:rFonts w:ascii="Verdana" w:hAnsi="Verdana" w:cstheme="minorHAnsi"/>
                <w:color w:val="FF0000"/>
                <w:sz w:val="20"/>
                <w:szCs w:val="20"/>
              </w:rPr>
              <w:t>najmniej w zakresie projektowania i produkcji.</w:t>
            </w:r>
          </w:p>
          <w:p>
            <w:pPr>
              <w:pStyle w:val="14"/>
              <w:numPr>
                <w:ilvl w:val="0"/>
                <w:numId w:val="16"/>
              </w:numPr>
              <w:spacing w:line="360" w:lineRule="auto"/>
              <w:ind w:left="322"/>
              <w:rPr>
                <w:rFonts w:ascii="Verdana" w:hAnsi="Verdana" w:cstheme="minorHAnsi"/>
                <w:color w:val="FF0000"/>
                <w:sz w:val="20"/>
                <w:szCs w:val="20"/>
              </w:rPr>
            </w:pPr>
            <w:r>
              <w:rPr>
                <w:rFonts w:ascii="Verdana" w:hAnsi="Verdana" w:cstheme="minorHAnsi"/>
                <w:color w:val="FF0000"/>
                <w:sz w:val="20"/>
                <w:szCs w:val="20"/>
              </w:rPr>
              <w:t>Oferowane komputery stacjonarne muszą posiadać europejską deklarację zgodności CE.</w:t>
            </w:r>
          </w:p>
          <w:p>
            <w:pPr>
              <w:pStyle w:val="14"/>
              <w:numPr>
                <w:ilvl w:val="0"/>
                <w:numId w:val="16"/>
              </w:numPr>
              <w:spacing w:line="360" w:lineRule="auto"/>
              <w:ind w:left="322"/>
              <w:contextualSpacing/>
              <w:rPr>
                <w:rFonts w:ascii="Verdana" w:hAnsi="Verdana"/>
                <w:color w:val="FF0000"/>
                <w:sz w:val="20"/>
                <w:szCs w:val="20"/>
              </w:rPr>
            </w:pPr>
            <w:r>
              <w:rPr>
                <w:rFonts w:ascii="Verdana" w:hAnsi="Verdana"/>
                <w:color w:val="FF0000"/>
                <w:sz w:val="20"/>
                <w:szCs w:val="20"/>
              </w:rPr>
              <w:t>Certyfikat poprawnej współpracy z zaoferowanym systemem operacyjnym - do oferty dołączyć wydruk ze strony producenta oprogramowania systemowego.</w:t>
            </w:r>
          </w:p>
          <w:p>
            <w:pPr>
              <w:pStyle w:val="14"/>
              <w:numPr>
                <w:ilvl w:val="0"/>
                <w:numId w:val="16"/>
              </w:numPr>
              <w:spacing w:line="360" w:lineRule="auto"/>
              <w:ind w:left="322"/>
              <w:contextualSpacing/>
              <w:rPr>
                <w:rFonts w:ascii="Verdana" w:hAnsi="Verdana"/>
                <w:color w:val="FF0000"/>
                <w:sz w:val="20"/>
                <w:szCs w:val="20"/>
              </w:rPr>
            </w:pPr>
            <w:r>
              <w:rPr>
                <w:rFonts w:ascii="Verdana" w:hAnsi="Verdana"/>
                <w:color w:val="FF0000"/>
                <w:sz w:val="20"/>
                <w:szCs w:val="20"/>
              </w:rPr>
              <w:t>Producent komputera/fabryka producenta musi posiadać normę ISO 50001.</w:t>
            </w:r>
          </w:p>
          <w:p>
            <w:pPr>
              <w:pStyle w:val="14"/>
              <w:numPr>
                <w:ilvl w:val="0"/>
                <w:numId w:val="16"/>
              </w:numPr>
              <w:spacing w:line="360" w:lineRule="auto"/>
              <w:ind w:left="322"/>
              <w:contextualSpacing/>
              <w:rPr>
                <w:rFonts w:ascii="Verdana" w:hAnsi="Verdana"/>
                <w:color w:val="FF0000"/>
                <w:sz w:val="20"/>
                <w:szCs w:val="20"/>
              </w:rPr>
            </w:pPr>
            <w:r>
              <w:rPr>
                <w:rFonts w:ascii="Verdana" w:hAnsi="Verdana"/>
                <w:color w:val="FF0000"/>
                <w:sz w:val="20"/>
                <w:szCs w:val="20"/>
              </w:rPr>
              <w:t>Producent komputera musi posiadać normę ISO 27001.</w:t>
            </w:r>
          </w:p>
          <w:p>
            <w:pPr>
              <w:pStyle w:val="14"/>
              <w:numPr>
                <w:ilvl w:val="0"/>
                <w:numId w:val="16"/>
              </w:numPr>
              <w:suppressAutoHyphens/>
              <w:spacing w:line="360" w:lineRule="auto"/>
              <w:ind w:left="322"/>
              <w:contextualSpacing/>
              <w:rPr>
                <w:rFonts w:ascii="Verdana" w:hAnsi="Verdana" w:cstheme="minorHAnsi"/>
                <w:color w:val="FF0000"/>
                <w:sz w:val="20"/>
                <w:szCs w:val="20"/>
              </w:rPr>
            </w:pPr>
            <w:r>
              <w:rPr>
                <w:rFonts w:ascii="Verdana" w:hAnsi="Verdana"/>
                <w:color w:val="FF0000"/>
                <w:sz w:val="20"/>
                <w:szCs w:val="20"/>
              </w:rPr>
              <w:t xml:space="preserve">Oferowane komputery stacjonarne muszą posiadać certyfikat TCO 9.0 – obecność modelu na stronie </w:t>
            </w:r>
            <w:r>
              <w:rPr>
                <w:color w:val="FF0000"/>
              </w:rPr>
              <w:fldChar w:fldCharType="begin"/>
            </w:r>
            <w:r>
              <w:rPr>
                <w:color w:val="FF0000"/>
              </w:rPr>
              <w:instrText xml:space="preserve"> HYPERLINK "https://tcocertified.com/product-finder/" </w:instrText>
            </w:r>
            <w:r>
              <w:rPr>
                <w:color w:val="FF0000"/>
              </w:rPr>
              <w:fldChar w:fldCharType="separate"/>
            </w:r>
            <w:r>
              <w:rPr>
                <w:rStyle w:val="11"/>
                <w:rFonts w:ascii="Verdana" w:hAnsi="Verdana"/>
                <w:color w:val="FF0000"/>
                <w:sz w:val="20"/>
                <w:szCs w:val="20"/>
              </w:rPr>
              <w:t>https://tcocertified.com/product-finder/</w:t>
            </w:r>
            <w:r>
              <w:rPr>
                <w:rStyle w:val="11"/>
                <w:rFonts w:ascii="Verdana" w:hAnsi="Verdana"/>
                <w:color w:val="FF0000"/>
                <w:sz w:val="20"/>
                <w:szCs w:val="20"/>
              </w:rPr>
              <w:fldChar w:fldCharType="end"/>
            </w:r>
          </w:p>
          <w:p>
            <w:pPr>
              <w:pStyle w:val="14"/>
              <w:numPr>
                <w:ilvl w:val="0"/>
                <w:numId w:val="16"/>
              </w:numPr>
              <w:suppressAutoHyphens/>
              <w:spacing w:line="360" w:lineRule="auto"/>
              <w:ind w:left="322"/>
              <w:contextualSpacing/>
              <w:rPr>
                <w:rFonts w:ascii="Verdana" w:hAnsi="Verdana" w:cstheme="minorHAnsi"/>
                <w:color w:val="FF0000"/>
                <w:sz w:val="20"/>
                <w:szCs w:val="20"/>
              </w:rPr>
            </w:pPr>
            <w:r>
              <w:rPr>
                <w:rFonts w:ascii="Verdana" w:hAnsi="Verdana" w:cstheme="minorHAnsi"/>
                <w:color w:val="FF0000"/>
                <w:sz w:val="20"/>
                <w:szCs w:val="20"/>
              </w:rPr>
              <w:t xml:space="preserve">Oferowane komputery stacjonarne muszą posiadać certyfikat EPEAT dla standardu IEEE 1680.1 - 2018 – obecność modelu na stronie </w:t>
            </w:r>
            <w:r>
              <w:rPr>
                <w:color w:val="FF0000"/>
              </w:rPr>
              <w:fldChar w:fldCharType="begin"/>
            </w:r>
            <w:r>
              <w:rPr>
                <w:color w:val="FF0000"/>
              </w:rPr>
              <w:instrText xml:space="preserve"> HYPERLINK "https://www.epeat.net/?category=pcsdisplays" </w:instrText>
            </w:r>
            <w:r>
              <w:rPr>
                <w:color w:val="FF0000"/>
              </w:rPr>
              <w:fldChar w:fldCharType="separate"/>
            </w:r>
            <w:r>
              <w:rPr>
                <w:rStyle w:val="11"/>
                <w:rFonts w:ascii="Verdana" w:hAnsi="Verdana" w:cstheme="minorHAnsi"/>
                <w:color w:val="FF0000"/>
                <w:sz w:val="20"/>
                <w:szCs w:val="20"/>
              </w:rPr>
              <w:t>https://www.epeat.net/?category=pcsdisplays</w:t>
            </w:r>
            <w:r>
              <w:rPr>
                <w:rStyle w:val="11"/>
                <w:rFonts w:ascii="Verdana" w:hAnsi="Verdana" w:cstheme="minorHAnsi"/>
                <w:color w:val="FF0000"/>
                <w:sz w:val="20"/>
                <w:szCs w:val="20"/>
              </w:rPr>
              <w:fldChar w:fldCharType="end"/>
            </w:r>
            <w:r>
              <w:rPr>
                <w:rFonts w:ascii="Verdana" w:hAnsi="Verdana" w:cstheme="minorHAnsi"/>
                <w:color w:val="FF0000"/>
                <w:sz w:val="20"/>
                <w:szCs w:val="20"/>
              </w:rPr>
              <w:t xml:space="preserve"> </w:t>
            </w:r>
          </w:p>
          <w:p>
            <w:pPr>
              <w:tabs>
                <w:tab w:val="left" w:pos="12"/>
              </w:tabs>
              <w:suppressAutoHyphens/>
              <w:spacing w:line="360" w:lineRule="auto"/>
              <w:ind w:left="12"/>
              <w:jc w:val="both"/>
              <w:rPr>
                <w:rFonts w:ascii="Verdana" w:hAnsi="Verdana" w:cstheme="minorHAnsi"/>
                <w:color w:val="FF0000"/>
                <w:sz w:val="20"/>
              </w:rPr>
            </w:pPr>
            <w:r>
              <w:rPr>
                <w:rFonts w:ascii="Verdana" w:hAnsi="Verdana" w:cstheme="minorHAnsi"/>
                <w:color w:val="FF0000"/>
                <w:sz w:val="20"/>
              </w:rPr>
              <w:t>Wszystkie ww dokumenty należy załączyć do oferty.</w:t>
            </w:r>
          </w:p>
          <w:p>
            <w:pPr>
              <w:tabs>
                <w:tab w:val="left" w:pos="12"/>
              </w:tabs>
              <w:suppressAutoHyphens/>
              <w:spacing w:line="360" w:lineRule="auto"/>
              <w:ind w:left="12"/>
              <w:jc w:val="both"/>
              <w:rPr>
                <w:rFonts w:ascii="Verdana" w:hAnsi="Verdana"/>
                <w:color w:val="00B05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wAfter w:w="0" w:type="auto"/>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Zainstalowane oprogramowanie systemowe</w:t>
            </w:r>
          </w:p>
        </w:tc>
        <w:tc>
          <w:tcPr>
            <w:tcW w:w="3939" w:type="pct"/>
          </w:tcPr>
          <w:p>
            <w:pPr>
              <w:spacing w:line="360" w:lineRule="auto"/>
              <w:rPr>
                <w:rFonts w:ascii="Verdana" w:hAnsi="Verdana" w:cs="Arial"/>
                <w:sz w:val="20"/>
              </w:rPr>
            </w:pPr>
            <w:r>
              <w:rPr>
                <w:rFonts w:ascii="Verdana" w:hAnsi="Verdana" w:cs="Arial"/>
                <w:sz w:val="20"/>
              </w:rPr>
              <w:t>Zainstalowany system operacyjny co najmniej Windows 10 Pro lub 11 Pro 64-bitowy w polskiej wersji językowej lub system równoważny wraz z nośnikiem instalacyjnym.</w:t>
            </w:r>
          </w:p>
          <w:p>
            <w:pPr>
              <w:spacing w:line="360" w:lineRule="auto"/>
              <w:rPr>
                <w:rFonts w:ascii="Verdana" w:hAnsi="Verdana" w:cs="Arial"/>
                <w:sz w:val="20"/>
              </w:rPr>
            </w:pPr>
            <w:r>
              <w:rPr>
                <w:rFonts w:ascii="Verdana" w:hAnsi="Verdana" w:cs="Arial"/>
                <w:sz w:val="20"/>
              </w:rPr>
              <w:t xml:space="preserve">Klucz licencyjny systemu musi być zapisany trwale w BIOS i umożliwiać jego instalację bez potrzeby ręcznego wpisywania klucza licencyjnego. </w:t>
            </w:r>
          </w:p>
          <w:p>
            <w:pPr>
              <w:spacing w:line="360" w:lineRule="auto"/>
              <w:rPr>
                <w:rFonts w:ascii="Verdana" w:hAnsi="Verdana" w:cs="Arial"/>
                <w:sz w:val="20"/>
                <w:u w:val="single"/>
              </w:rPr>
            </w:pPr>
            <w:r>
              <w:rPr>
                <w:rFonts w:ascii="Verdana" w:hAnsi="Verdana"/>
                <w:i/>
                <w:sz w:val="20"/>
                <w:u w:val="single"/>
              </w:rPr>
              <w:t>Zamawiający nie dopuszcza zaoferowania systemu operacyjnego pochodzącego z rynku wtórnego, reaktywowanego systemu.</w:t>
            </w:r>
            <w:r>
              <w:rPr>
                <w:rFonts w:ascii="Verdana" w:hAnsi="Verdana" w:cs="Arial"/>
                <w:sz w:val="20"/>
                <w:u w:val="single"/>
              </w:rPr>
              <w:t xml:space="preserve"> </w:t>
            </w:r>
          </w:p>
          <w:p>
            <w:pPr>
              <w:spacing w:line="360" w:lineRule="auto"/>
              <w:rPr>
                <w:rFonts w:ascii="Verdana" w:hAnsi="Verdana" w:cs="Arial"/>
                <w:sz w:val="20"/>
              </w:rPr>
            </w:pPr>
          </w:p>
          <w:p>
            <w:pPr>
              <w:spacing w:line="360" w:lineRule="auto"/>
              <w:rPr>
                <w:rFonts w:ascii="Verdana" w:hAnsi="Verdana" w:cs="Calibri"/>
                <w:sz w:val="20"/>
              </w:rPr>
            </w:pPr>
            <w:r>
              <w:rPr>
                <w:rFonts w:ascii="Verdana" w:hAnsi="Verdana" w:cs="Arial"/>
                <w:sz w:val="20"/>
              </w:rPr>
              <w:t xml:space="preserve">System równoważny musi spełniać </w:t>
            </w:r>
            <w:r>
              <w:rPr>
                <w:rFonts w:ascii="Verdana" w:hAnsi="Verdana" w:cs="Calibri"/>
                <w:sz w:val="20"/>
              </w:rPr>
              <w:t>następujące wymagania poprzez wbudowane mechanizmy, bez użycia dodatkowych aplikacji:</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Dostępne dwa rodzaje graficznego interfejsu użytkownika:</w:t>
            </w:r>
          </w:p>
          <w:p>
            <w:pPr>
              <w:numPr>
                <w:ilvl w:val="1"/>
                <w:numId w:val="17"/>
              </w:numPr>
              <w:spacing w:line="360" w:lineRule="auto"/>
              <w:ind w:left="825"/>
              <w:contextualSpacing/>
              <w:jc w:val="both"/>
              <w:rPr>
                <w:rFonts w:ascii="Verdana" w:hAnsi="Verdana" w:cs="Calibri"/>
                <w:sz w:val="20"/>
              </w:rPr>
            </w:pPr>
            <w:r>
              <w:rPr>
                <w:rFonts w:ascii="Verdana" w:hAnsi="Verdana" w:cs="Calibri"/>
                <w:sz w:val="20"/>
              </w:rPr>
              <w:t>Klasyczny, umożliwiający obsługę przy pomocy klawiatury i myszy,</w:t>
            </w:r>
          </w:p>
          <w:p>
            <w:pPr>
              <w:numPr>
                <w:ilvl w:val="1"/>
                <w:numId w:val="17"/>
              </w:numPr>
              <w:spacing w:line="360" w:lineRule="auto"/>
              <w:ind w:left="825"/>
              <w:contextualSpacing/>
              <w:jc w:val="both"/>
              <w:rPr>
                <w:rFonts w:ascii="Verdana" w:hAnsi="Verdana" w:cs="Calibri"/>
                <w:sz w:val="20"/>
              </w:rPr>
            </w:pPr>
            <w:r>
              <w:rPr>
                <w:rFonts w:ascii="Verdana" w:hAnsi="Verdana" w:cs="Calibri"/>
                <w:sz w:val="20"/>
              </w:rPr>
              <w:t>Dotykowy umożliwiający sterowanie dotykiem na urządzeniach typu tablet lub monitorach dotykowych.</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Interfejsy użytkownika dostępne w wielu językach do wyboru – w tym polskim i angielskim.</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 xml:space="preserve">Zlokalizowane w języku polskim, co najmniej następujące elementy: menu, odtwarzacz multimediów, pomoc, komunikaty systemowe. </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Wbudowany system pomocy w języku polskim.</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Graficzne środowisko instalacji i konfiguracji dostępne w języku polskim.</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Funkcje związane z obsługą komputerów typu tablet, z wbudowanym modułem „uczenia się” pisma użytkownika – obsługa języka polskiego.</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Funkcjonalność rozpoznawania mowy, pozwalającą na sterowanie komputerem głosowo, wraz z modułem „uczenia się” głosu użytkownika.</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Możliwość dokonywania aktualizacji i poprawek systemu poprzez mechanizm zarządzany przez administratora systemu Zamawiającego.</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Dostępność bezpłatnych biuletynów bezpieczeństwa związanych z działaniem systemu operacyjnego.</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 xml:space="preserve">Wbudowana zapora internetowa (firewall) dla ochrony połączeń internetowych; zintegrowana z systemem konsola do zarządzania ustawieniami zapory i regułami IP v4 i v6. </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Wbudowane mechanizmy ochrony antywirusowej i przeciw złośliwemu oprogramowaniu z zapewnionymi bezpłatnymi aktualizacjami.</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Wsparcie dla większości powszechnie używanych urządzeń peryferyjnych (drukarek, urządzeń sieciowych, standardów USB, Plug&amp;Play, Wi-Fi).</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Funkcjonalność automatycznej zmiany domyślnej drukarki w zależności od sieci, do której podłączony jest komputer.</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Możliwość zarządzania stacją roboczą poprzez polityki grupowe – przez politykę rozumiemy zestaw reguł definiujących lub ograniczających funkcjonalność systemu lub aplikacji.</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Rozbudowane, definiowalne polityki bezpieczeństwa – polityki dla systemu operacyjnego i dla wskazanych aplikacji.</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 xml:space="preserve">Możliwość zdalnej automatycznej instalacji, konfiguracji, administrowania oraz aktualizowania systemu, zgodnie z określonymi uprawnieniami poprzez polityki grupowe.   </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Zabezpieczony hasłem hierarchiczny dostęp do systemu, konta i profile użytkowników zarządzane zdalnie; praca systemu w trybie ochrony kont użytkowników.</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Mechanizm pozwalający użytkownikowi zarejestrowanego w systemie przedsiębiorstwa/instytucji urządzenia na uprawniony dostęp do zasobów tego systemu.</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 xml:space="preserve">Zintegrowany z systemem operacyjnym moduł synchronizacji komputera z urządzeniami zewnętrznymi.  </w:t>
            </w:r>
          </w:p>
          <w:p>
            <w:pPr>
              <w:numPr>
                <w:ilvl w:val="0"/>
                <w:numId w:val="17"/>
              </w:numPr>
              <w:spacing w:line="360" w:lineRule="auto"/>
              <w:ind w:left="399"/>
              <w:contextualSpacing/>
              <w:jc w:val="both"/>
              <w:rPr>
                <w:rFonts w:ascii="Verdana" w:hAnsi="Verdana" w:cs="Calibri"/>
                <w:sz w:val="20"/>
                <w:lang w:val="en-US"/>
              </w:rPr>
            </w:pPr>
            <w:r>
              <w:rPr>
                <w:rFonts w:ascii="Verdana" w:hAnsi="Verdana" w:cs="Calibri"/>
                <w:sz w:val="20"/>
                <w:lang w:val="en-US"/>
              </w:rPr>
              <w:t>Obsługa standardu NFC (near field communication).</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 xml:space="preserve">Możliwość przystosowania stanowiska dla osób niepełnosprawnych (np. słabo widzących). </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Wsparcie dla IPSEC oparte na politykach – wdrażanie IPSEC oparte na zestawach reguł definiujących ustawienia zarządzanych w sposób centralny.</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Automatyczne występowanie i używanie (wystawianie) certyfikatów PKI X.509.</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Mechanizmy logowania do domeny w oparciu o:</w:t>
            </w:r>
          </w:p>
          <w:p>
            <w:pPr>
              <w:numPr>
                <w:ilvl w:val="1"/>
                <w:numId w:val="17"/>
              </w:numPr>
              <w:spacing w:line="360" w:lineRule="auto"/>
              <w:ind w:left="683" w:hanging="284"/>
              <w:contextualSpacing/>
              <w:jc w:val="both"/>
              <w:rPr>
                <w:rFonts w:ascii="Verdana" w:hAnsi="Verdana" w:cs="Calibri"/>
                <w:sz w:val="20"/>
              </w:rPr>
            </w:pPr>
            <w:r>
              <w:rPr>
                <w:rFonts w:ascii="Verdana" w:hAnsi="Verdana" w:cs="Calibri"/>
                <w:sz w:val="20"/>
              </w:rPr>
              <w:t>Login i hasło,</w:t>
            </w:r>
          </w:p>
          <w:p>
            <w:pPr>
              <w:numPr>
                <w:ilvl w:val="1"/>
                <w:numId w:val="17"/>
              </w:numPr>
              <w:spacing w:line="360" w:lineRule="auto"/>
              <w:ind w:left="683" w:hanging="284"/>
              <w:contextualSpacing/>
              <w:jc w:val="both"/>
              <w:rPr>
                <w:rFonts w:ascii="Verdana" w:hAnsi="Verdana" w:cs="Calibri"/>
                <w:sz w:val="20"/>
              </w:rPr>
            </w:pPr>
            <w:r>
              <w:rPr>
                <w:rFonts w:ascii="Verdana" w:hAnsi="Verdana" w:cs="Calibri"/>
                <w:sz w:val="20"/>
              </w:rPr>
              <w:t>Karty z certyfikatami (smartcard),</w:t>
            </w:r>
          </w:p>
          <w:p>
            <w:pPr>
              <w:numPr>
                <w:ilvl w:val="1"/>
                <w:numId w:val="17"/>
              </w:numPr>
              <w:spacing w:line="360" w:lineRule="auto"/>
              <w:ind w:left="683" w:hanging="284"/>
              <w:contextualSpacing/>
              <w:jc w:val="both"/>
              <w:rPr>
                <w:rFonts w:ascii="Verdana" w:hAnsi="Verdana" w:cs="Calibri"/>
                <w:sz w:val="20"/>
              </w:rPr>
            </w:pPr>
            <w:r>
              <w:rPr>
                <w:rFonts w:ascii="Verdana" w:hAnsi="Verdana" w:cs="Calibri"/>
                <w:sz w:val="20"/>
              </w:rPr>
              <w:t>Wirtualne karty (logowanie w oparciu o certyfikat chroniony poprzez moduł TPM).</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Mechanizmy wieloelementowego uwierzytelniania.</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Wsparcie dla uwierzytelniania na bazie Kerberos v. 5.</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Wsparcie do uwierzytelnienia urządzenia na bazie certyfikatu.</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Wsparcie dla algorytmów Suite B (RFC 4869).</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Wsparcie wbudowanej zapory ogniowej dla Internet Key Exchange v. 2 (IKEv2) dla warstwy transportowej IPsec.</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Wbudowane narzędzia służące do administracji, do wykonywania kopii zapasowych polityk i ich odtwarzania oraz generowania raportów z ustawień polityk.</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Wsparcie dla środowisk Java i .NET Framework 4.x – możliwość uruchomienia aplikacji działających we wskazanych środowiskach.</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Wsparcie dla JScript i VBScript – możliwość uruchamiania interpretera poleceń.</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Zdalna pomoc i współdzielenie aplikacji – możliwość zdalnego przejęcia sesji zalogowanego użytkownika celem rozwiązania problemu z komputerem,</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Rozwiązanie służące do automatycznego zbudowania obrazu systemu wraz z aplikacjami. Obraz systemu służyć ma do automatycznego upowszechnienia systemu operacyjnego inicjowanego i wykonywanego w całości poprzez sieć komputerową.</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Rozwiązanie ma umożliwiające wdrożenie nowego obrazu poprzez zdalną instalację.</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Transakcyjny system plików pozwalający na stosowanie przydziałów (ang. quota) na dysku dla użytkowników oraz zapewniający większą niezawodność i pozwalający tworzyć kopie zapasowe.</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Zarządzanie kontami użytkowników sieci oraz urządzeniami sieciowymi tj. drukarki, modemy, woluminy dyskowe, usługi katalogowe.</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Udostępnianie modemu.</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Oprogramowanie dla tworzenia kopii zapasowych (Backup); automatyczne wykonywanie kopii plików z możliwością automatycznego przywrócenia wersji wcześniejszej.</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Możliwość przywracania obrazu plików systemowych do uprzednio zapisanej postaci.</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 xml:space="preserve">Identyfikacja sieci komputerowych, do których jest podłączony system operacyjny, zapamiętywanie ustawień i przypisywanie do min. 3 kategorii bezpieczeństwa </w:t>
            </w:r>
            <w:r>
              <w:rPr>
                <w:rFonts w:ascii="Verdana" w:hAnsi="Verdana" w:cs="Calibri"/>
                <w:sz w:val="20"/>
              </w:rPr>
              <w:br w:type="textWrapping"/>
            </w:r>
            <w:r>
              <w:rPr>
                <w:rFonts w:ascii="Verdana" w:hAnsi="Verdana" w:cs="Calibri"/>
                <w:sz w:val="20"/>
              </w:rPr>
              <w:t>(z predefiniowanymi odpowiednio do kategorii ustawieniami zapory sieciowej, udostępniania plików itp.).</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Możliwość blokowania lub dopuszczania dowolnych urządzeń peryferyjnych za pomocą polityk grupowych (np. przy użyciu numerów identyfikacyjnych sprzętu).</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 xml:space="preserve">Wbudowany mechanizm wirtualizacji typu hypervisor, umożliwiający, zgodnie </w:t>
            </w:r>
            <w:r>
              <w:rPr>
                <w:rFonts w:ascii="Verdana" w:hAnsi="Verdana" w:cs="Calibri"/>
                <w:sz w:val="20"/>
              </w:rPr>
              <w:br w:type="textWrapping"/>
            </w:r>
            <w:r>
              <w:rPr>
                <w:rFonts w:ascii="Verdana" w:hAnsi="Verdana" w:cs="Calibri"/>
                <w:sz w:val="20"/>
              </w:rPr>
              <w:t>z uprawnieniami licencyjnymi, uruchomienie do 4 maszyn wirtualnych.</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Mechanizm szyfrowania dysków wewnętrznych i zewnętrznych z możliwością szyfrowania ograniczonego do danych użytkownika.</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 xml:space="preserve">Wbudowane w system narzędzie do szyfrowania partycji systemowych komputera, </w:t>
            </w:r>
            <w:r>
              <w:rPr>
                <w:rFonts w:ascii="Verdana" w:hAnsi="Verdana" w:cs="Calibri"/>
                <w:sz w:val="20"/>
              </w:rPr>
              <w:br w:type="textWrapping"/>
            </w:r>
            <w:r>
              <w:rPr>
                <w:rFonts w:ascii="Verdana" w:hAnsi="Verdana" w:cs="Calibri"/>
                <w:sz w:val="20"/>
              </w:rPr>
              <w:t>z możliwością przechowywania certyfikatów w mikrochipie TPM (Trusted Platform Module) w wersji minimum 1.2 lub na kluczach pamięci przenośnej USB.</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Wbudowane w system narzędzie do szyfrowania dysków przenośnych, z możliwością centralnego zarządzania poprzez polityki grupowe, pozwalające na wymuszenie szyfrowania dysków przenośnych.</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Możliwość tworzenia i przechowywania kopii zapasowych kluczy odzyskiwania do szyfrowania partycji w usługach katalogowych.</w:t>
            </w:r>
          </w:p>
          <w:p>
            <w:pPr>
              <w:numPr>
                <w:ilvl w:val="0"/>
                <w:numId w:val="17"/>
              </w:numPr>
              <w:spacing w:line="360" w:lineRule="auto"/>
              <w:ind w:left="399"/>
              <w:contextualSpacing/>
              <w:jc w:val="both"/>
              <w:rPr>
                <w:rFonts w:ascii="Verdana" w:hAnsi="Verdana" w:cs="Calibri"/>
                <w:sz w:val="20"/>
              </w:rPr>
            </w:pPr>
            <w:r>
              <w:rPr>
                <w:rFonts w:ascii="Verdana" w:hAnsi="Verdana" w:cs="Calibri"/>
                <w:sz w:val="20"/>
              </w:rPr>
              <w:t>Możliwość instalowania dodatkowych języków interfejsu systemu operacyjnego oraz możliwość zmiany języka bez konieczności reinstalacji systemu.</w:t>
            </w:r>
          </w:p>
          <w:p>
            <w:pPr>
              <w:spacing w:line="360" w:lineRule="auto"/>
              <w:ind w:left="399"/>
              <w:contextualSpacing/>
              <w:jc w:val="both"/>
              <w:rPr>
                <w:rFonts w:ascii="Verdana" w:hAnsi="Verdana" w:cs="Calibr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Gwarancja – zgodnie z wymaganiami i kryteriami</w:t>
            </w:r>
          </w:p>
        </w:tc>
        <w:tc>
          <w:tcPr>
            <w:tcW w:w="3939" w:type="pct"/>
          </w:tcPr>
          <w:p>
            <w:pPr>
              <w:spacing w:line="360" w:lineRule="auto"/>
              <w:rPr>
                <w:rFonts w:ascii="Verdana" w:hAnsi="Verdana"/>
                <w:sz w:val="20"/>
              </w:rPr>
            </w:pPr>
            <w:r>
              <w:rPr>
                <w:rFonts w:ascii="Verdana" w:hAnsi="Verdana"/>
                <w:sz w:val="20"/>
              </w:rPr>
              <w:t>Gwarancja jakości producenta:</w:t>
            </w:r>
          </w:p>
          <w:p>
            <w:pPr>
              <w:spacing w:line="360" w:lineRule="auto"/>
              <w:rPr>
                <w:rFonts w:ascii="Verdana" w:hAnsi="Verdana" w:cs="Arial"/>
                <w:color w:val="00B050"/>
                <w:sz w:val="20"/>
              </w:rPr>
            </w:pPr>
            <w:r>
              <w:rPr>
                <w:rFonts w:ascii="Verdana" w:hAnsi="Verdana" w:cs="Calibri"/>
                <w:sz w:val="20"/>
              </w:rPr>
              <w:t xml:space="preserve">Serwis w miejscu instalacji z czasem reakcji następy dzień roboczy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42" w:type="pct"/>
          </w:tcPr>
          <w:p>
            <w:pPr>
              <w:numPr>
                <w:ilvl w:val="0"/>
                <w:numId w:val="4"/>
              </w:numPr>
              <w:rPr>
                <w:rFonts w:ascii="Verdana" w:hAnsi="Verdana" w:cs="Arial"/>
                <w:bCs/>
                <w:sz w:val="20"/>
              </w:rPr>
            </w:pPr>
          </w:p>
        </w:tc>
        <w:tc>
          <w:tcPr>
            <w:tcW w:w="817" w:type="pct"/>
          </w:tcPr>
          <w:p>
            <w:pPr>
              <w:rPr>
                <w:rFonts w:ascii="Verdana" w:hAnsi="Verdana" w:cs="Arial"/>
                <w:bCs/>
                <w:sz w:val="20"/>
              </w:rPr>
            </w:pPr>
            <w:r>
              <w:rPr>
                <w:rFonts w:ascii="Verdana" w:hAnsi="Verdana" w:cs="Arial"/>
                <w:bCs/>
                <w:sz w:val="20"/>
              </w:rPr>
              <w:t>Monitor</w:t>
            </w:r>
          </w:p>
        </w:tc>
        <w:tc>
          <w:tcPr>
            <w:tcW w:w="3939" w:type="pct"/>
          </w:tcPr>
          <w:p>
            <w:pPr>
              <w:jc w:val="both"/>
              <w:outlineLvl w:val="0"/>
              <w:rPr>
                <w:rFonts w:ascii="Verdana" w:hAnsi="Verdana"/>
                <w:sz w:val="20"/>
              </w:rPr>
            </w:pPr>
            <w:r>
              <w:rPr>
                <w:rFonts w:ascii="Verdana" w:hAnsi="Verdana" w:cs="Arial"/>
                <w:bCs/>
                <w:sz w:val="20"/>
              </w:rPr>
              <w:t>Proporcje obrazu</w:t>
            </w:r>
            <w:r>
              <w:rPr>
                <w:rFonts w:ascii="Verdana" w:hAnsi="Verdana"/>
                <w:bCs/>
                <w:sz w:val="20"/>
              </w:rPr>
              <w:t xml:space="preserve">: </w:t>
            </w:r>
            <w:r>
              <w:rPr>
                <w:rFonts w:ascii="Verdana" w:hAnsi="Verdana"/>
                <w:sz w:val="20"/>
              </w:rPr>
              <w:t>16:9</w:t>
            </w:r>
          </w:p>
          <w:p>
            <w:pPr>
              <w:jc w:val="both"/>
              <w:outlineLvl w:val="0"/>
              <w:rPr>
                <w:rFonts w:ascii="Verdana" w:hAnsi="Verdana" w:cstheme="minorHAnsi"/>
                <w:sz w:val="20"/>
              </w:rPr>
            </w:pPr>
            <w:r>
              <w:rPr>
                <w:rFonts w:ascii="Verdana" w:hAnsi="Verdana" w:cs="Arial"/>
                <w:bCs/>
                <w:sz w:val="20"/>
              </w:rPr>
              <w:t xml:space="preserve">Przekątna ekranu: </w:t>
            </w:r>
            <w:r>
              <w:rPr>
                <w:rFonts w:ascii="Verdana" w:hAnsi="Verdana" w:cstheme="minorHAnsi"/>
                <w:sz w:val="20"/>
              </w:rPr>
              <w:t>Min. 23.8''</w:t>
            </w:r>
          </w:p>
          <w:p>
            <w:pPr>
              <w:jc w:val="both"/>
              <w:outlineLvl w:val="0"/>
              <w:rPr>
                <w:rFonts w:ascii="Verdana" w:hAnsi="Verdana" w:cstheme="minorHAnsi"/>
                <w:sz w:val="20"/>
              </w:rPr>
            </w:pPr>
            <w:r>
              <w:rPr>
                <w:rFonts w:ascii="Verdana" w:hAnsi="Verdana" w:cs="Arial"/>
                <w:bCs/>
                <w:sz w:val="20"/>
              </w:rPr>
              <w:t xml:space="preserve">Typ matrycy: </w:t>
            </w:r>
            <w:r>
              <w:rPr>
                <w:rFonts w:ascii="Verdana" w:hAnsi="Verdana" w:cstheme="minorHAnsi"/>
                <w:sz w:val="20"/>
              </w:rPr>
              <w:t>TFT IPS lub równoważny</w:t>
            </w:r>
          </w:p>
          <w:p>
            <w:pPr>
              <w:jc w:val="both"/>
              <w:outlineLvl w:val="0"/>
              <w:rPr>
                <w:rFonts w:ascii="Verdana" w:hAnsi="Verdana" w:cs="Arial"/>
                <w:bCs/>
                <w:sz w:val="20"/>
              </w:rPr>
            </w:pPr>
            <w:r>
              <w:rPr>
                <w:rFonts w:ascii="Verdana" w:hAnsi="Verdana" w:cs="Arial"/>
                <w:bCs/>
                <w:sz w:val="20"/>
              </w:rPr>
              <w:t>Powierzchnia matrycy: matowa</w:t>
            </w:r>
          </w:p>
          <w:p>
            <w:pPr>
              <w:jc w:val="both"/>
              <w:outlineLvl w:val="0"/>
              <w:rPr>
                <w:rFonts w:ascii="Verdana" w:hAnsi="Verdana" w:cstheme="minorHAnsi"/>
                <w:sz w:val="20"/>
              </w:rPr>
            </w:pPr>
            <w:r>
              <w:rPr>
                <w:rFonts w:ascii="Verdana" w:hAnsi="Verdana" w:cs="Arial"/>
                <w:bCs/>
                <w:sz w:val="20"/>
              </w:rPr>
              <w:t xml:space="preserve">Rozdzielczość: </w:t>
            </w:r>
            <w:r>
              <w:rPr>
                <w:rFonts w:ascii="Verdana" w:hAnsi="Verdana" w:cstheme="minorHAnsi"/>
                <w:sz w:val="20"/>
              </w:rPr>
              <w:t>1920 x 1080 (FHD 1080)</w:t>
            </w:r>
          </w:p>
          <w:p>
            <w:pPr>
              <w:jc w:val="both"/>
              <w:outlineLvl w:val="0"/>
              <w:rPr>
                <w:rFonts w:ascii="Verdana" w:hAnsi="Verdana" w:cs="Arial"/>
                <w:bCs/>
                <w:sz w:val="20"/>
              </w:rPr>
            </w:pPr>
            <w:r>
              <w:rPr>
                <w:rFonts w:ascii="Verdana" w:hAnsi="Verdana" w:cs="Arial"/>
                <w:bCs/>
                <w:sz w:val="20"/>
              </w:rPr>
              <w:t>Czas reakcji: 5ms</w:t>
            </w:r>
          </w:p>
          <w:p>
            <w:pPr>
              <w:jc w:val="both"/>
              <w:outlineLvl w:val="0"/>
              <w:rPr>
                <w:rFonts w:ascii="Verdana" w:hAnsi="Verdana" w:cstheme="minorHAnsi"/>
                <w:sz w:val="20"/>
              </w:rPr>
            </w:pPr>
            <w:r>
              <w:rPr>
                <w:rFonts w:ascii="Verdana" w:hAnsi="Verdana" w:cs="Arial"/>
                <w:bCs/>
                <w:sz w:val="20"/>
              </w:rPr>
              <w:t xml:space="preserve">Jasność: </w:t>
            </w:r>
            <w:r>
              <w:rPr>
                <w:rFonts w:ascii="Verdana" w:hAnsi="Verdana" w:cstheme="minorHAnsi"/>
                <w:sz w:val="20"/>
              </w:rPr>
              <w:t>250 cd/m²</w:t>
            </w:r>
          </w:p>
          <w:p>
            <w:pPr>
              <w:jc w:val="both"/>
              <w:outlineLvl w:val="0"/>
              <w:rPr>
                <w:rFonts w:ascii="Verdana" w:hAnsi="Verdana" w:cstheme="minorHAnsi"/>
                <w:sz w:val="20"/>
              </w:rPr>
            </w:pPr>
            <w:r>
              <w:rPr>
                <w:rFonts w:ascii="Verdana" w:hAnsi="Verdana" w:cs="Arial"/>
                <w:bCs/>
                <w:sz w:val="20"/>
              </w:rPr>
              <w:t xml:space="preserve">Kontrast statyczny: </w:t>
            </w:r>
            <w:r>
              <w:rPr>
                <w:rFonts w:ascii="Verdana" w:hAnsi="Verdana" w:cstheme="minorHAnsi"/>
                <w:sz w:val="20"/>
              </w:rPr>
              <w:t>1 000:1</w:t>
            </w:r>
          </w:p>
          <w:p>
            <w:pPr>
              <w:jc w:val="both"/>
              <w:outlineLvl w:val="0"/>
              <w:rPr>
                <w:rFonts w:ascii="Verdana" w:hAnsi="Verdana" w:cstheme="minorHAnsi"/>
                <w:sz w:val="20"/>
              </w:rPr>
            </w:pPr>
            <w:r>
              <w:rPr>
                <w:rFonts w:ascii="Verdana" w:hAnsi="Verdana" w:cs="Arial"/>
                <w:bCs/>
                <w:sz w:val="20"/>
              </w:rPr>
              <w:t xml:space="preserve">Kąt widzenia poziomy: </w:t>
            </w:r>
            <w:r>
              <w:rPr>
                <w:rFonts w:ascii="Verdana" w:hAnsi="Verdana" w:cstheme="minorHAnsi"/>
                <w:sz w:val="20"/>
              </w:rPr>
              <w:t>178 °</w:t>
            </w:r>
          </w:p>
          <w:p>
            <w:pPr>
              <w:jc w:val="both"/>
              <w:outlineLvl w:val="0"/>
              <w:rPr>
                <w:rFonts w:ascii="Verdana" w:hAnsi="Verdana" w:cstheme="minorHAnsi"/>
                <w:sz w:val="20"/>
              </w:rPr>
            </w:pPr>
            <w:r>
              <w:rPr>
                <w:rFonts w:ascii="Verdana" w:hAnsi="Verdana" w:cs="Arial"/>
                <w:bCs/>
                <w:sz w:val="20"/>
              </w:rPr>
              <w:t>Kat widzenia pionowy:</w:t>
            </w:r>
            <w:r>
              <w:rPr>
                <w:rFonts w:ascii="Verdana" w:hAnsi="Verdana" w:cstheme="minorHAnsi"/>
                <w:sz w:val="20"/>
              </w:rPr>
              <w:t xml:space="preserve"> 178 °</w:t>
            </w:r>
          </w:p>
          <w:p>
            <w:pPr>
              <w:jc w:val="both"/>
              <w:outlineLvl w:val="0"/>
              <w:rPr>
                <w:rFonts w:ascii="Verdana" w:hAnsi="Verdana" w:cs="Arial"/>
                <w:bCs/>
                <w:sz w:val="20"/>
              </w:rPr>
            </w:pPr>
            <w:r>
              <w:rPr>
                <w:rFonts w:ascii="Verdana" w:hAnsi="Verdana" w:cs="Arial"/>
                <w:bCs/>
                <w:sz w:val="20"/>
              </w:rPr>
              <w:t xml:space="preserve">Gniazda we/wy: </w:t>
            </w:r>
          </w:p>
          <w:p>
            <w:pPr>
              <w:pStyle w:val="14"/>
              <w:numPr>
                <w:ilvl w:val="0"/>
                <w:numId w:val="18"/>
              </w:numPr>
              <w:jc w:val="both"/>
              <w:outlineLvl w:val="0"/>
              <w:rPr>
                <w:rFonts w:ascii="Verdana" w:hAnsi="Verdana" w:cstheme="minorHAnsi"/>
                <w:sz w:val="20"/>
              </w:rPr>
            </w:pPr>
            <w:r>
              <w:rPr>
                <w:rFonts w:ascii="Verdana" w:hAnsi="Verdana" w:cstheme="minorHAnsi"/>
                <w:sz w:val="20"/>
              </w:rPr>
              <w:t>1 x 3,5 mm minijack</w:t>
            </w:r>
          </w:p>
          <w:p>
            <w:pPr>
              <w:pStyle w:val="14"/>
              <w:numPr>
                <w:ilvl w:val="0"/>
                <w:numId w:val="18"/>
              </w:numPr>
              <w:jc w:val="both"/>
              <w:outlineLvl w:val="0"/>
              <w:rPr>
                <w:rFonts w:ascii="Verdana" w:hAnsi="Verdana" w:cstheme="minorHAnsi"/>
                <w:sz w:val="20"/>
              </w:rPr>
            </w:pPr>
            <w:r>
              <w:rPr>
                <w:rFonts w:ascii="Verdana" w:hAnsi="Verdana" w:cstheme="minorHAnsi"/>
                <w:sz w:val="20"/>
              </w:rPr>
              <w:t>1 x 15-pin D-Sub</w:t>
            </w:r>
          </w:p>
          <w:p>
            <w:pPr>
              <w:pStyle w:val="14"/>
              <w:numPr>
                <w:ilvl w:val="0"/>
                <w:numId w:val="18"/>
              </w:numPr>
              <w:jc w:val="both"/>
              <w:outlineLvl w:val="0"/>
              <w:rPr>
                <w:rFonts w:ascii="Verdana" w:hAnsi="Verdana" w:cstheme="minorHAnsi"/>
                <w:sz w:val="20"/>
              </w:rPr>
            </w:pPr>
            <w:r>
              <w:rPr>
                <w:rFonts w:ascii="Verdana" w:hAnsi="Verdana" w:cstheme="minorHAnsi"/>
                <w:sz w:val="20"/>
              </w:rPr>
              <w:t>1 x HDMI</w:t>
            </w:r>
          </w:p>
          <w:p>
            <w:pPr>
              <w:pStyle w:val="14"/>
              <w:numPr>
                <w:ilvl w:val="0"/>
                <w:numId w:val="18"/>
              </w:numPr>
              <w:jc w:val="both"/>
              <w:outlineLvl w:val="0"/>
              <w:rPr>
                <w:rFonts w:ascii="Verdana" w:hAnsi="Verdana" w:cstheme="minorHAnsi"/>
                <w:sz w:val="20"/>
              </w:rPr>
            </w:pPr>
            <w:r>
              <w:rPr>
                <w:rFonts w:ascii="Verdana" w:hAnsi="Verdana" w:cstheme="minorHAnsi"/>
                <w:sz w:val="20"/>
              </w:rPr>
              <w:t>1 x DisplayPort</w:t>
            </w:r>
          </w:p>
          <w:p>
            <w:pPr>
              <w:pStyle w:val="14"/>
              <w:numPr>
                <w:ilvl w:val="0"/>
                <w:numId w:val="18"/>
              </w:numPr>
              <w:jc w:val="both"/>
              <w:outlineLvl w:val="0"/>
              <w:rPr>
                <w:rFonts w:ascii="Verdana" w:hAnsi="Verdana" w:cstheme="minorHAnsi"/>
                <w:sz w:val="20"/>
              </w:rPr>
            </w:pPr>
            <w:r>
              <w:rPr>
                <w:rFonts w:ascii="Verdana" w:hAnsi="Verdana" w:cstheme="minorHAnsi"/>
                <w:sz w:val="20"/>
              </w:rPr>
              <w:t>1 x Audio in</w:t>
            </w:r>
          </w:p>
          <w:p>
            <w:pPr>
              <w:spacing w:line="360" w:lineRule="auto"/>
              <w:rPr>
                <w:rFonts w:ascii="Verdana" w:hAnsi="Verdana" w:cstheme="minorHAnsi"/>
                <w:sz w:val="20"/>
              </w:rPr>
            </w:pPr>
            <w:r>
              <w:rPr>
                <w:rFonts w:ascii="Verdana" w:hAnsi="Verdana" w:cstheme="minorHAnsi"/>
                <w:sz w:val="20"/>
              </w:rPr>
              <w:t>Wbudowane głośniki: Tak</w:t>
            </w:r>
          </w:p>
          <w:p>
            <w:pPr>
              <w:spacing w:line="360" w:lineRule="auto"/>
              <w:rPr>
                <w:rFonts w:ascii="Verdana" w:hAnsi="Verdana"/>
                <w:sz w:val="20"/>
              </w:rPr>
            </w:pPr>
          </w:p>
        </w:tc>
      </w:tr>
    </w:tbl>
    <w:p/>
    <w:p/>
    <w:p/>
    <w:p/>
    <w:p>
      <w:pPr>
        <w:pStyle w:val="14"/>
        <w:numPr>
          <w:ilvl w:val="0"/>
          <w:numId w:val="1"/>
        </w:numPr>
        <w:spacing w:after="160" w:line="259" w:lineRule="auto"/>
        <w:ind w:left="0" w:leftChars="0" w:firstLine="0" w:firstLineChars="0"/>
        <w:contextualSpacing/>
        <w:jc w:val="both"/>
        <w:rPr>
          <w:rFonts w:hint="default" w:ascii="Times New Roman" w:hAnsi="Times New Roman"/>
          <w:sz w:val="28"/>
          <w:szCs w:val="28"/>
          <w:lang w:val="pl-PL"/>
        </w:rPr>
      </w:pPr>
      <w:r>
        <w:rPr>
          <w:rFonts w:hint="default" w:ascii="Times New Roman" w:hAnsi="Times New Roman"/>
          <w:sz w:val="28"/>
          <w:szCs w:val="28"/>
          <w:lang w:val="pl-PL"/>
        </w:rPr>
        <w:t>Serwer backup-u</w:t>
      </w:r>
    </w:p>
    <w:p>
      <w:pPr>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Style w:val="3"/>
        <w:tblW w:w="5011" w:type="pct"/>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1" w:type="dxa"/>
          <w:bottom w:w="0" w:type="dxa"/>
          <w:right w:w="71" w:type="dxa"/>
        </w:tblCellMar>
      </w:tblPr>
      <w:tblGrid>
        <w:gridCol w:w="409"/>
        <w:gridCol w:w="1436"/>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5000" w:type="pct"/>
            <w:gridSpan w:val="3"/>
            <w:shd w:val="clear" w:color="auto" w:fill="auto"/>
            <w:vAlign w:val="center"/>
          </w:tcPr>
          <w:p>
            <w:pPr>
              <w:rPr>
                <w:rFonts w:ascii="Verdana" w:hAnsi="Verdana" w:cs="Arial"/>
                <w:b/>
                <w:sz w:val="20"/>
              </w:rPr>
            </w:pPr>
            <w:r>
              <w:rPr>
                <w:rFonts w:ascii="Verdana" w:hAnsi="Verdana" w:cs="Arial"/>
                <w:b/>
                <w:sz w:val="20"/>
              </w:rPr>
              <w:t>Szczegółowy opis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5000" w:type="pct"/>
            <w:gridSpan w:val="3"/>
            <w:shd w:val="clear" w:color="auto" w:fill="auto"/>
            <w:vAlign w:val="center"/>
          </w:tcPr>
          <w:p>
            <w:pPr>
              <w:rPr>
                <w:rFonts w:ascii="Verdana" w:hAnsi="Verdana" w:cs="Arial"/>
                <w:sz w:val="20"/>
              </w:rPr>
            </w:pPr>
            <w:r>
              <w:rPr>
                <w:rFonts w:ascii="Verdana" w:hAnsi="Verdana" w:cs="Arial"/>
                <w:sz w:val="20"/>
              </w:rPr>
              <w:t>Serwer</w:t>
            </w:r>
          </w:p>
          <w:p>
            <w:pPr>
              <w:jc w:val="both"/>
              <w:rPr>
                <w:rFonts w:ascii="Verdana" w:hAnsi="Verdana" w:cs="Arial"/>
                <w:sz w:val="20"/>
              </w:rPr>
            </w:pPr>
          </w:p>
          <w:p>
            <w:pPr>
              <w:jc w:val="both"/>
              <w:rPr>
                <w:rFonts w:ascii="Verdana" w:hAnsi="Verdana" w:cs="Arial"/>
                <w:sz w:val="20"/>
              </w:rPr>
            </w:pPr>
            <w:r>
              <w:rPr>
                <w:rFonts w:ascii="Verdana" w:hAnsi="Verdana" w:cs="Arial"/>
                <w:sz w:val="20"/>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pPr>
              <w:jc w:val="both"/>
              <w:rPr>
                <w:rFonts w:ascii="Verdana" w:hAnsi="Verdana" w:cs="Arial"/>
                <w:sz w:val="20"/>
              </w:rPr>
            </w:pPr>
            <w:r>
              <w:rPr>
                <w:rFonts w:ascii="Verdana" w:hAnsi="Verdana" w:cs="Arial"/>
                <w:bCs/>
                <w:sz w:val="20"/>
              </w:rPr>
              <w:t>Nie dopuszcza się zaoferowania komputera refurbished.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5000" w:type="pct"/>
            <w:gridSpan w:val="3"/>
            <w:shd w:val="clear" w:color="auto" w:fill="auto"/>
            <w:vAlign w:val="center"/>
          </w:tcPr>
          <w:p>
            <w:pPr>
              <w:rPr>
                <w:rFonts w:ascii="Verdana" w:hAnsi="Verdana" w:cs="Arial"/>
                <w:sz w:val="20"/>
              </w:rPr>
            </w:pPr>
            <w:r>
              <w:rPr>
                <w:rFonts w:ascii="Verdana" w:hAnsi="Verdana" w:cs="Arial"/>
                <w:sz w:val="20"/>
              </w:rPr>
              <w:t>Nie dopuszcza się modyfikacji na drodze Producent-Zamawiający.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vAlign w:val="center"/>
          </w:tcPr>
          <w:p>
            <w:pPr>
              <w:rPr>
                <w:rFonts w:ascii="Times New Roman" w:hAnsi="Times New Roman"/>
                <w:bCs/>
                <w:szCs w:val="22"/>
              </w:rPr>
            </w:pPr>
            <w:r>
              <w:rPr>
                <w:rFonts w:ascii="Times New Roman" w:hAnsi="Times New Roman"/>
                <w:b/>
                <w:szCs w:val="22"/>
                <w:lang w:eastAsia="en-US"/>
              </w:rPr>
              <w:t>Lp.</w:t>
            </w:r>
          </w:p>
        </w:tc>
        <w:tc>
          <w:tcPr>
            <w:tcW w:w="743" w:type="pct"/>
            <w:vAlign w:val="center"/>
          </w:tcPr>
          <w:p>
            <w:pPr>
              <w:rPr>
                <w:rFonts w:ascii="Times New Roman" w:hAnsi="Times New Roman"/>
                <w:bCs/>
                <w:szCs w:val="22"/>
              </w:rPr>
            </w:pPr>
            <w:r>
              <w:rPr>
                <w:rFonts w:ascii="Times New Roman" w:hAnsi="Times New Roman"/>
                <w:b/>
                <w:szCs w:val="22"/>
              </w:rPr>
              <w:t>Nazwa komponentu</w:t>
            </w:r>
          </w:p>
        </w:tc>
        <w:tc>
          <w:tcPr>
            <w:tcW w:w="4045" w:type="pct"/>
            <w:vAlign w:val="center"/>
          </w:tcPr>
          <w:p>
            <w:pPr>
              <w:rPr>
                <w:rFonts w:ascii="Times New Roman" w:hAnsi="Times New Roman"/>
                <w:szCs w:val="22"/>
              </w:rPr>
            </w:pPr>
            <w:r>
              <w:rPr>
                <w:rFonts w:ascii="Times New Roman" w:hAnsi="Times New Roman"/>
                <w:b/>
                <w:szCs w:val="22"/>
              </w:rPr>
              <w:t>Wymagane minimalne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436"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Obudowa</w:t>
            </w:r>
          </w:p>
        </w:tc>
        <w:tc>
          <w:tcPr>
            <w:tcW w:w="4045" w:type="pct"/>
          </w:tcPr>
          <w:p>
            <w:pPr>
              <w:jc w:val="both"/>
              <w:outlineLvl w:val="0"/>
              <w:rPr>
                <w:rFonts w:ascii="Verdana" w:hAnsi="Verdana"/>
                <w:color w:val="000000"/>
                <w:sz w:val="20"/>
              </w:rPr>
            </w:pPr>
            <w:r>
              <w:rPr>
                <w:rFonts w:ascii="Verdana" w:hAnsi="Verdana"/>
                <w:color w:val="000000"/>
                <w:sz w:val="20"/>
              </w:rPr>
              <w:t>Obudowa: Maksymalna wysokość 2U. Minimalna ilość zatok hot-plug 3.5": 12.</w:t>
            </w:r>
          </w:p>
          <w:p>
            <w:pPr>
              <w:jc w:val="both"/>
              <w:outlineLvl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Płyta główna</w:t>
            </w:r>
          </w:p>
        </w:tc>
        <w:tc>
          <w:tcPr>
            <w:tcW w:w="4045" w:type="pct"/>
            <w:tcBorders>
              <w:top w:val="nil"/>
              <w:left w:val="nil"/>
              <w:bottom w:val="single" w:color="auto" w:sz="8" w:space="0"/>
              <w:right w:val="single" w:color="auto" w:sz="8" w:space="0"/>
            </w:tcBorders>
            <w:shd w:val="clear" w:color="auto" w:fill="auto"/>
          </w:tcPr>
          <w:p>
            <w:pPr>
              <w:autoSpaceDE w:val="0"/>
              <w:autoSpaceDN w:val="0"/>
              <w:adjustRightInd w:val="0"/>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Klasy serwerowej, z naniesionym fabrycznie logo producenta serwera.</w:t>
            </w:r>
          </w:p>
          <w:p>
            <w:pPr>
              <w:autoSpaceDE w:val="0"/>
              <w:autoSpaceDN w:val="0"/>
              <w:adjustRightInd w:val="0"/>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547"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Procesor (CPU)</w:t>
            </w:r>
          </w:p>
        </w:tc>
        <w:tc>
          <w:tcPr>
            <w:tcW w:w="4045" w:type="pct"/>
          </w:tcPr>
          <w:tbl>
            <w:tblPr>
              <w:tblStyle w:val="3"/>
              <w:tblW w:w="10468" w:type="dxa"/>
              <w:tblInd w:w="0" w:type="dxa"/>
              <w:tblLayout w:type="fixed"/>
              <w:tblCellMar>
                <w:top w:w="0" w:type="dxa"/>
                <w:left w:w="70" w:type="dxa"/>
                <w:bottom w:w="0" w:type="dxa"/>
                <w:right w:w="70" w:type="dxa"/>
              </w:tblCellMar>
            </w:tblPr>
            <w:tblGrid>
              <w:gridCol w:w="10468"/>
            </w:tblGrid>
            <w:tr>
              <w:tblPrEx>
                <w:tblCellMar>
                  <w:top w:w="0" w:type="dxa"/>
                  <w:left w:w="70" w:type="dxa"/>
                  <w:bottom w:w="0" w:type="dxa"/>
                  <w:right w:w="70" w:type="dxa"/>
                </w:tblCellMar>
              </w:tblPrEx>
              <w:trPr>
                <w:trHeight w:val="80" w:hRule="atLeast"/>
              </w:trPr>
              <w:tc>
                <w:tcPr>
                  <w:tcW w:w="10468" w:type="dxa"/>
                  <w:tcBorders>
                    <w:top w:val="nil"/>
                    <w:left w:val="nil"/>
                    <w:bottom w:val="nil"/>
                    <w:right w:val="single" w:color="auto" w:sz="8" w:space="0"/>
                  </w:tcBorders>
                  <w:shd w:val="clear" w:color="auto" w:fill="auto"/>
                </w:tcPr>
                <w:p>
                  <w:pPr>
                    <w:jc w:val="both"/>
                    <w:rPr>
                      <w:rFonts w:ascii="Verdana" w:hAnsi="Verdana"/>
                      <w:color w:val="000000" w:themeColor="text1"/>
                      <w:sz w:val="20"/>
                      <w14:textFill>
                        <w14:solidFill>
                          <w14:schemeClr w14:val="tx1"/>
                        </w14:solidFill>
                      </w14:textFill>
                    </w:rPr>
                  </w:pPr>
                </w:p>
              </w:tc>
            </w:tr>
          </w:tbl>
          <w:p>
            <w:pPr>
              <w:autoSpaceDE w:val="0"/>
              <w:autoSpaceDN w:val="0"/>
              <w:adjustRightInd w:val="0"/>
              <w:spacing w:line="360" w:lineRule="auto"/>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Serwer wyposażony w 1 procesor typu x86; min. 12 rdzeni, min. 2.10 GHz bazowej częstotliwości, ze wsparciem do 6 TB pamięci.</w:t>
            </w:r>
          </w:p>
          <w:p>
            <w:pPr>
              <w:autoSpaceDE w:val="0"/>
              <w:autoSpaceDN w:val="0"/>
              <w:adjustRightInd w:val="0"/>
              <w:spacing w:line="360" w:lineRule="auto"/>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Procesor ze wsparcie</w:t>
            </w:r>
            <w:bookmarkStart w:id="1" w:name="_GoBack"/>
            <w:bookmarkEnd w:id="1"/>
            <w:r>
              <w:rPr>
                <w:rFonts w:ascii="Verdana" w:hAnsi="Verdana"/>
                <w:color w:val="000000" w:themeColor="text1"/>
                <w:sz w:val="20"/>
                <w14:textFill>
                  <w14:solidFill>
                    <w14:schemeClr w14:val="tx1"/>
                  </w14:solidFill>
                </w14:textFill>
              </w:rPr>
              <w:t>m dla 8 kanałów pamięci typu DDR4-</w:t>
            </w:r>
            <w:r>
              <w:rPr>
                <w:rFonts w:ascii="Verdana" w:hAnsi="Verdana"/>
                <w:color w:val="262626"/>
                <w:sz w:val="20"/>
                <w:shd w:val="clear" w:color="auto" w:fill="FFFFFF"/>
              </w:rPr>
              <w:t>2667MHz</w:t>
            </w:r>
          </w:p>
          <w:p>
            <w:pPr>
              <w:autoSpaceDE w:val="0"/>
              <w:autoSpaceDN w:val="0"/>
              <w:adjustRightInd w:val="0"/>
              <w:spacing w:line="360" w:lineRule="auto"/>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Wsparcie dla technologii PCIExpress 4.0</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Osiągający w oferowanym modelu serwera dla konfiguracji 2-procesorowej wynik (potwierdzony publikacją na stronie spec.org w terminie nie późniejszym niż dzień składania oferty) w testach: min. 170 punktów w teście SPECrate®2017_int_base organizacji Standard Performance Evaluation Corporation (</w:t>
            </w:r>
            <w:r>
              <w:fldChar w:fldCharType="begin"/>
            </w:r>
            <w:r>
              <w:instrText xml:space="preserve"> HYPERLINK "http://www.spec.org" </w:instrText>
            </w:r>
            <w:r>
              <w:fldChar w:fldCharType="separate"/>
            </w:r>
            <w:r>
              <w:rPr>
                <w:rStyle w:val="11"/>
                <w:rFonts w:ascii="Verdana" w:hAnsi="Verdana"/>
                <w:color w:val="000000" w:themeColor="text1"/>
                <w:sz w:val="20"/>
                <w14:textFill>
                  <w14:solidFill>
                    <w14:schemeClr w14:val="tx1"/>
                  </w14:solidFill>
                </w14:textFill>
              </w:rPr>
              <w:t>www.spec.org</w:t>
            </w:r>
            <w:r>
              <w:rPr>
                <w:rStyle w:val="11"/>
                <w:rFonts w:ascii="Verdana" w:hAnsi="Verdana"/>
                <w:color w:val="000000" w:themeColor="text1"/>
                <w:sz w:val="20"/>
                <w14:textFill>
                  <w14:solidFill>
                    <w14:schemeClr w14:val="tx1"/>
                  </w14:solidFill>
                </w14:textFill>
              </w:rPr>
              <w:fldChar w:fldCharType="end"/>
            </w:r>
            <w:r>
              <w:rPr>
                <w:rFonts w:ascii="Verdana" w:hAnsi="Verdana"/>
                <w:color w:val="000000" w:themeColor="text1"/>
                <w:sz w:val="20"/>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ascii="Verdana" w:hAnsi="Verdana"/>
                <w:color w:val="auto"/>
                <w:sz w:val="20"/>
              </w:rPr>
            </w:pPr>
            <w:r>
              <w:rPr>
                <w:rFonts w:ascii="Verdana" w:hAnsi="Verdana"/>
                <w:color w:val="auto"/>
                <w:sz w:val="20"/>
              </w:rPr>
              <w:t>Zamawiający żąda przedłożenia dokumentu potwierdzającego spełnienie dla procesora dedykowanego do pracy z zaoferowanym serwerem żądanej przez Zamawiającego wydajności w ramach przedmiotowych środków dowodowych (należy załączyć do oferty).</w:t>
            </w:r>
          </w:p>
          <w:p>
            <w:pPr>
              <w:autoSpaceDE w:val="0"/>
              <w:autoSpaceDN w:val="0"/>
              <w:adjustRightInd w:val="0"/>
              <w:spacing w:line="360" w:lineRule="auto"/>
              <w:jc w:val="both"/>
              <w:rPr>
                <w:rFonts w:ascii="Verdana" w:hAnsi="Verdana" w:cs="Arial"/>
                <w:sz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bCs/>
                <w:sz w:val="20"/>
              </w:rPr>
            </w:pPr>
            <w:r>
              <w:rPr>
                <w:rFonts w:ascii="Verdana" w:hAnsi="Verdana" w:cs="Arial"/>
                <w:bCs/>
                <w:sz w:val="20"/>
              </w:rPr>
              <w:t>Pamięć RAM</w:t>
            </w:r>
          </w:p>
        </w:tc>
        <w:tc>
          <w:tcPr>
            <w:tcW w:w="4045" w:type="pct"/>
          </w:tcPr>
          <w:p>
            <w:pPr>
              <w:autoSpaceDE w:val="0"/>
              <w:autoSpaceDN w:val="0"/>
              <w:adjustRightInd w:val="0"/>
              <w:spacing w:line="360" w:lineRule="auto"/>
              <w:jc w:val="both"/>
              <w:rPr>
                <w:rFonts w:ascii="Verdana" w:hAnsi="Verdana"/>
                <w:color w:val="000000"/>
                <w:sz w:val="20"/>
              </w:rPr>
            </w:pPr>
            <w:r>
              <w:rPr>
                <w:rFonts w:ascii="Verdana" w:hAnsi="Verdana"/>
                <w:color w:val="000000"/>
                <w:sz w:val="20"/>
              </w:rPr>
              <w:t>Minimum 32 sloty na pamięć RAM na płycie głównej. Minimum 32 GB zainstalowanej pamięci RAM z użyciem kości pamięci o maksymalnej pojemności 16GB.</w:t>
            </w:r>
          </w:p>
          <w:p>
            <w:pPr>
              <w:autoSpaceDE w:val="0"/>
              <w:autoSpaceDN w:val="0"/>
              <w:adjustRightInd w:val="0"/>
              <w:spacing w:line="360" w:lineRule="auto"/>
              <w:jc w:val="both"/>
              <w:rPr>
                <w:rFonts w:ascii="Verdana" w:hAnsi="Verdana"/>
                <w:color w:val="000000"/>
                <w:sz w:val="20"/>
                <w:lang w:val="en-US"/>
              </w:rPr>
            </w:pPr>
            <w:r>
              <w:rPr>
                <w:rFonts w:ascii="Verdana" w:hAnsi="Verdana"/>
                <w:color w:val="000000"/>
                <w:sz w:val="20"/>
                <w:lang w:val="en-US"/>
              </w:rPr>
              <w:t>Wspierane technologie korekcji i protekcji pamięci: ECC, Memory Demand and Patrol Scrubbing; Failed DIMM Isolation.</w:t>
            </w:r>
          </w:p>
          <w:p>
            <w:pPr>
              <w:autoSpaceDE w:val="0"/>
              <w:autoSpaceDN w:val="0"/>
              <w:adjustRightInd w:val="0"/>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bCs/>
                <w:sz w:val="20"/>
              </w:rPr>
            </w:pPr>
            <w:r>
              <w:rPr>
                <w:rFonts w:ascii="Verdana" w:hAnsi="Verdana"/>
                <w:color w:val="000000"/>
                <w:sz w:val="20"/>
              </w:rPr>
              <w:t>Sloty</w:t>
            </w:r>
            <w:r>
              <w:rPr>
                <w:rFonts w:ascii="Times New Roman" w:hAnsi="Times New Roman"/>
                <w:color w:val="000000"/>
                <w:sz w:val="20"/>
              </w:rPr>
              <w:t xml:space="preserve"> PCIE</w:t>
            </w:r>
          </w:p>
        </w:tc>
        <w:tc>
          <w:tcPr>
            <w:tcW w:w="4045" w:type="pct"/>
          </w:tcPr>
          <w:p>
            <w:pPr>
              <w:autoSpaceDE w:val="0"/>
              <w:autoSpaceDN w:val="0"/>
              <w:adjustRightInd w:val="0"/>
              <w:spacing w:line="360" w:lineRule="auto"/>
              <w:rPr>
                <w:rFonts w:ascii="Verdana" w:hAnsi="Verdana"/>
                <w:color w:val="000000"/>
                <w:sz w:val="20"/>
              </w:rPr>
            </w:pPr>
            <w:r>
              <w:rPr>
                <w:rFonts w:ascii="Verdana" w:hAnsi="Verdana"/>
                <w:color w:val="000000"/>
                <w:sz w:val="20"/>
              </w:rPr>
              <w:t>Co najmniej 8 aktywnych slotów PCIE generacji 4-tej, z czego min. cztery o przepustowości x16 (ilości określone dla konfiguracji 2-procesorowej)</w:t>
            </w:r>
          </w:p>
          <w:p>
            <w:pPr>
              <w:autoSpaceDE w:val="0"/>
              <w:autoSpaceDN w:val="0"/>
              <w:adjustRightInd w:val="0"/>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sz w:val="20"/>
              </w:rPr>
            </w:pPr>
            <w:r>
              <w:rPr>
                <w:rFonts w:ascii="Verdana" w:hAnsi="Verdana" w:cs="Arial"/>
                <w:sz w:val="20"/>
              </w:rPr>
              <w:t>Przestrzeń dyskowa</w:t>
            </w:r>
          </w:p>
        </w:tc>
        <w:tc>
          <w:tcPr>
            <w:tcW w:w="4045" w:type="pct"/>
          </w:tcPr>
          <w:p>
            <w:pPr>
              <w:spacing w:line="360" w:lineRule="auto"/>
              <w:jc w:val="both"/>
              <w:rPr>
                <w:rFonts w:ascii="Verdana" w:hAnsi="Verdana"/>
                <w:color w:val="000000"/>
                <w:sz w:val="20"/>
              </w:rPr>
            </w:pPr>
            <w:r>
              <w:rPr>
                <w:rFonts w:ascii="Verdana" w:hAnsi="Verdana"/>
                <w:color w:val="000000"/>
                <w:sz w:val="20"/>
              </w:rPr>
              <w:t>Zainstalowane 2 dyski SATA SSD w formacie/rozmiarze M.2 lub 2.5 cala, klasy enterprise/serwerowej, o pojemności minimum 240GB każdy, skonfigurowane w RAID1 za pomocą sprzętowego kontrolera w celu bezpiecznego bootowania systemu operacyjnego.</w:t>
            </w:r>
          </w:p>
          <w:p>
            <w:pPr>
              <w:spacing w:line="360" w:lineRule="auto"/>
              <w:jc w:val="both"/>
              <w:rPr>
                <w:rFonts w:ascii="Verdana" w:hAnsi="Verdana"/>
                <w:color w:val="000000"/>
                <w:sz w:val="20"/>
              </w:rPr>
            </w:pPr>
            <w:r>
              <w:rPr>
                <w:rFonts w:ascii="Verdana" w:hAnsi="Verdana"/>
                <w:color w:val="000000"/>
                <w:sz w:val="20"/>
              </w:rPr>
              <w:t>Zainstalowane 8 dysków SATA HDD w formacie/rozmiarze 3.5 cala, klasy enterprise/serwerowej, o pojemności minimum 8000GB każdy, skonfigurowane w RAID6 za pomocą sprzętowego kontrolera z min 2GB cache i podtrzymaniem tejże pamięci.</w:t>
            </w:r>
          </w:p>
          <w:p>
            <w:pPr>
              <w:spacing w:line="360" w:lineRule="auto"/>
              <w:jc w:val="both"/>
              <w:rPr>
                <w:rFonts w:ascii="Verdana" w:hAnsi="Verdana"/>
                <w:color w:val="000000"/>
                <w:sz w:val="20"/>
              </w:rPr>
            </w:pPr>
            <w:r>
              <w:rPr>
                <w:rFonts w:ascii="Verdana" w:hAnsi="Verdana"/>
                <w:color w:val="000000"/>
                <w:sz w:val="20"/>
              </w:rPr>
              <w:t>Możliwość rozbudowy o dodatkowe minimum 2 dyski 3.5” SATA/SAS bez konieczności dokładania innych elementów serwera niż same dyski twarde.</w:t>
            </w:r>
          </w:p>
          <w:p>
            <w:pPr>
              <w:spacing w:line="360" w:lineRule="auto"/>
              <w:jc w:val="both"/>
              <w:rPr>
                <w:rFonts w:ascii="Verdana" w:hAnsi="Verdana"/>
                <w:color w:val="000000"/>
                <w:sz w:val="20"/>
              </w:rPr>
            </w:pPr>
            <w:r>
              <w:rPr>
                <w:rFonts w:ascii="Verdana" w:hAnsi="Verdana"/>
                <w:color w:val="000000"/>
                <w:sz w:val="20"/>
              </w:rPr>
              <w:t>Łącznie dla wszystkich dysków jeden kontroler sprzętowy RAID wspierający poziomy RAID minimum 0/1/5/6, posiadający minimum 2GB nieulotnej pamięci cache z podtrzymaniem na wypadek zaniku zasilania.</w:t>
            </w:r>
          </w:p>
          <w:p>
            <w:pPr>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sz w:val="20"/>
              </w:rPr>
            </w:pPr>
            <w:r>
              <w:rPr>
                <w:rFonts w:ascii="Verdana" w:hAnsi="Verdana" w:cs="Arial"/>
                <w:sz w:val="20"/>
              </w:rPr>
              <w:t>Karty sieciowe LAN</w:t>
            </w:r>
          </w:p>
        </w:tc>
        <w:tc>
          <w:tcPr>
            <w:tcW w:w="4045" w:type="pct"/>
          </w:tcPr>
          <w:p>
            <w:pPr>
              <w:spacing w:line="360" w:lineRule="auto"/>
              <w:jc w:val="both"/>
              <w:rPr>
                <w:rFonts w:ascii="Verdana" w:hAnsi="Verdana"/>
                <w:color w:val="000000"/>
                <w:sz w:val="20"/>
              </w:rPr>
            </w:pPr>
            <w:r>
              <w:rPr>
                <w:rFonts w:ascii="Verdana" w:hAnsi="Verdana"/>
                <w:color w:val="000000"/>
                <w:sz w:val="20"/>
              </w:rPr>
              <w:t>Minimum 1 karta sieciowa, udostępniająca minimum 4 porty 1GbEthernet Base-T.</w:t>
            </w:r>
          </w:p>
          <w:p>
            <w:pPr>
              <w:spacing w:line="360" w:lineRule="auto"/>
              <w:jc w:val="both"/>
              <w:rPr>
                <w:rFonts w:ascii="Verdana" w:hAnsi="Verdana"/>
                <w:color w:val="000000"/>
                <w:sz w:val="20"/>
              </w:rPr>
            </w:pPr>
            <w:r>
              <w:rPr>
                <w:rFonts w:ascii="Verdana" w:hAnsi="Verdana"/>
                <w:color w:val="000000"/>
                <w:sz w:val="20"/>
              </w:rPr>
              <w:t>Minimum 1 zintegrowana (wbudowana w płytę, typu LOM; lub w dedykowanym slocie OCP 3.0) karta sieciowa niezajmująca żadnego z ww. 8 slotów PCIE, udostępniająca minimum 2 porty 10GbEthernet LC SFP+.</w:t>
            </w:r>
          </w:p>
          <w:p>
            <w:pPr>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sz w:val="20"/>
              </w:rPr>
            </w:pPr>
            <w:r>
              <w:rPr>
                <w:rFonts w:ascii="Verdana" w:hAnsi="Verdana" w:cs="Arial"/>
                <w:sz w:val="20"/>
              </w:rPr>
              <w:t>Port obudowy</w:t>
            </w:r>
          </w:p>
        </w:tc>
        <w:tc>
          <w:tcPr>
            <w:tcW w:w="4045" w:type="pct"/>
          </w:tcPr>
          <w:p>
            <w:pPr>
              <w:spacing w:line="360" w:lineRule="auto"/>
              <w:jc w:val="both"/>
              <w:rPr>
                <w:rFonts w:ascii="Verdana" w:hAnsi="Verdana"/>
                <w:color w:val="000000"/>
                <w:sz w:val="20"/>
              </w:rPr>
            </w:pPr>
            <w:r>
              <w:rPr>
                <w:rFonts w:ascii="Verdana" w:hAnsi="Verdana"/>
                <w:color w:val="000000"/>
                <w:sz w:val="20"/>
              </w:rPr>
              <w:t>Co najmniej 2 porty USB (z których min. 1 to USB 3.0) dostępne na przodzie obudowy serwera.</w:t>
            </w:r>
          </w:p>
          <w:p>
            <w:pPr>
              <w:spacing w:line="360" w:lineRule="auto"/>
              <w:jc w:val="both"/>
              <w:rPr>
                <w:rFonts w:ascii="Verdana" w:hAnsi="Verdana"/>
                <w:color w:val="000000"/>
                <w:sz w:val="20"/>
              </w:rPr>
            </w:pPr>
            <w:r>
              <w:rPr>
                <w:rFonts w:ascii="Verdana" w:hAnsi="Verdana"/>
                <w:color w:val="000000"/>
                <w:sz w:val="20"/>
              </w:rPr>
              <w:t>Co najmniej 2 porty USB 3.0 dostępne na tyle obudowy serwera.</w:t>
            </w:r>
          </w:p>
          <w:p>
            <w:pPr>
              <w:spacing w:line="360" w:lineRule="auto"/>
              <w:jc w:val="both"/>
              <w:rPr>
                <w:rFonts w:ascii="Verdana" w:hAnsi="Verdana"/>
                <w:color w:val="000000"/>
                <w:sz w:val="20"/>
              </w:rPr>
            </w:pPr>
            <w:r>
              <w:rPr>
                <w:rFonts w:ascii="Verdana" w:hAnsi="Verdana"/>
                <w:color w:val="000000"/>
                <w:sz w:val="20"/>
              </w:rPr>
              <w:t>2 porty (jeden na tyle, drugi na przodzie obudowy serwera) VGA.</w:t>
            </w:r>
          </w:p>
          <w:p>
            <w:pPr>
              <w:spacing w:line="360" w:lineRule="auto"/>
              <w:jc w:val="both"/>
              <w:rPr>
                <w:rFonts w:ascii="Verdana" w:hAnsi="Verdana"/>
                <w:color w:val="000000"/>
                <w:sz w:val="20"/>
              </w:rPr>
            </w:pPr>
            <w:r>
              <w:rPr>
                <w:rFonts w:ascii="Verdana" w:hAnsi="Verdana"/>
                <w:color w:val="000000"/>
                <w:sz w:val="20"/>
              </w:rPr>
              <w:t>Wymienione porty nie mogą zostać osiągnięte poprzez stosowanie dodatkowych przedłużaczy, rozgałęziaczy, adapterów, czy hub-ów</w:t>
            </w:r>
          </w:p>
          <w:p>
            <w:pPr>
              <w:jc w:val="both"/>
              <w:rPr>
                <w:rFonts w:ascii="Verdana" w:hAnsi="Verdana"/>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6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sz w:val="20"/>
              </w:rPr>
            </w:pPr>
            <w:r>
              <w:rPr>
                <w:rFonts w:ascii="Verdana" w:hAnsi="Verdana" w:cs="Arial"/>
                <w:sz w:val="20"/>
              </w:rPr>
              <w:t>Zarządzanie</w:t>
            </w:r>
          </w:p>
        </w:tc>
        <w:tc>
          <w:tcPr>
            <w:tcW w:w="4045" w:type="pct"/>
          </w:tcPr>
          <w:tbl>
            <w:tblPr>
              <w:tblStyle w:val="3"/>
              <w:tblW w:w="10468" w:type="dxa"/>
              <w:tblInd w:w="0" w:type="dxa"/>
              <w:tblLayout w:type="fixed"/>
              <w:tblCellMar>
                <w:top w:w="0" w:type="dxa"/>
                <w:left w:w="70" w:type="dxa"/>
                <w:bottom w:w="0" w:type="dxa"/>
                <w:right w:w="70" w:type="dxa"/>
              </w:tblCellMar>
            </w:tblPr>
            <w:tblGrid>
              <w:gridCol w:w="10468"/>
            </w:tblGrid>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Dedykowany port zarządzający 1000 Mbps RJ45 dostępny na tyle obudowy serwera.</w:t>
                  </w:r>
                </w:p>
              </w:tc>
            </w:tr>
            <w:tr>
              <w:tblPrEx>
                <w:tblCellMar>
                  <w:top w:w="0" w:type="dxa"/>
                  <w:left w:w="70" w:type="dxa"/>
                  <w:bottom w:w="0" w:type="dxa"/>
                  <w:right w:w="70" w:type="dxa"/>
                </w:tblCellMar>
              </w:tblPrEx>
              <w:trPr>
                <w:trHeight w:val="56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Zintegrowana z płytą główną serwera, niezależna od systemu operacyjnego karta BMC służąca do zdalnego zarządzania serwerem, pozwalająca na:</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zdalną konsolę KVM opartą na HTML5/Java</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Web GUI</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monitoring statusu i stanu zdrowia systemu</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logowanie zdarzeń</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update systemowego firmware-u</w:t>
                  </w:r>
                </w:p>
              </w:tc>
            </w:tr>
            <w:tr>
              <w:tblPrEx>
                <w:tblCellMar>
                  <w:top w:w="0" w:type="dxa"/>
                  <w:left w:w="70" w:type="dxa"/>
                  <w:bottom w:w="0" w:type="dxa"/>
                  <w:right w:w="70" w:type="dxa"/>
                </w:tblCellMar>
              </w:tblPrEx>
              <w:trPr>
                <w:trHeight w:val="309"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zdalną konfigurację serwera</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monitoring poboru prądu</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rPr>
                      <w:rFonts w:ascii="Verdana" w:hAnsi="Verdana"/>
                      <w:color w:val="000000"/>
                      <w:sz w:val="20"/>
                    </w:rPr>
                  </w:pPr>
                  <w:r>
                    <w:rPr>
                      <w:rFonts w:ascii="Verdana" w:hAnsi="Verdana"/>
                      <w:color w:val="000000"/>
                      <w:sz w:val="20"/>
                    </w:rPr>
                    <w:t>- zdalne włączanie, wyłączanie, restart</w:t>
                  </w:r>
                </w:p>
              </w:tc>
            </w:tr>
            <w:tr>
              <w:tblPrEx>
                <w:tblCellMar>
                  <w:top w:w="0" w:type="dxa"/>
                  <w:left w:w="70" w:type="dxa"/>
                  <w:bottom w:w="0" w:type="dxa"/>
                  <w:right w:w="70" w:type="dxa"/>
                </w:tblCellMar>
              </w:tblPrEx>
              <w:trPr>
                <w:trHeight w:val="320" w:hRule="atLeast"/>
              </w:trPr>
              <w:tc>
                <w:tcPr>
                  <w:tcW w:w="8739" w:type="dxa"/>
                  <w:tcBorders>
                    <w:top w:val="nil"/>
                    <w:left w:val="nil"/>
                    <w:bottom w:val="nil"/>
                    <w:right w:val="single" w:color="auto" w:sz="8" w:space="0"/>
                  </w:tcBorders>
                  <w:shd w:val="clear" w:color="auto" w:fill="auto"/>
                </w:tcPr>
                <w:p>
                  <w:pPr>
                    <w:spacing w:line="360" w:lineRule="auto"/>
                    <w:rPr>
                      <w:rFonts w:ascii="Verdana" w:hAnsi="Verdana"/>
                      <w:color w:val="000000"/>
                      <w:sz w:val="20"/>
                    </w:rPr>
                  </w:pPr>
                  <w:r>
                    <w:rPr>
                      <w:rFonts w:ascii="Verdana" w:hAnsi="Verdana"/>
                      <w:color w:val="000000"/>
                      <w:sz w:val="20"/>
                    </w:rPr>
                    <w:t>- przejęcie zdalnego ekranu</w:t>
                  </w:r>
                </w:p>
                <w:p>
                  <w:pPr>
                    <w:spacing w:line="360" w:lineRule="auto"/>
                    <w:rPr>
                      <w:rFonts w:ascii="Verdana" w:hAnsi="Verdana"/>
                      <w:color w:val="000000"/>
                      <w:sz w:val="20"/>
                    </w:rPr>
                  </w:pPr>
                  <w:r>
                    <w:rPr>
                      <w:rFonts w:ascii="Verdana" w:hAnsi="Verdana"/>
                      <w:color w:val="000000"/>
                      <w:sz w:val="20"/>
                    </w:rPr>
                    <w:t>- zdalną instalację systemu operacyjnego</w:t>
                  </w:r>
                </w:p>
                <w:p>
                  <w:pPr>
                    <w:rPr>
                      <w:rFonts w:ascii="Verdana" w:hAnsi="Verdana"/>
                      <w:color w:val="000000"/>
                      <w:sz w:val="20"/>
                    </w:rPr>
                  </w:pPr>
                </w:p>
              </w:tc>
            </w:tr>
          </w:tbl>
          <w:p>
            <w:pPr>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sz w:val="20"/>
              </w:rPr>
            </w:pPr>
            <w:r>
              <w:rPr>
                <w:rFonts w:ascii="Verdana" w:hAnsi="Verdana"/>
                <w:color w:val="000000"/>
                <w:sz w:val="20"/>
              </w:rPr>
              <w:t>Wspierane protokoły/interfejsy</w:t>
            </w:r>
          </w:p>
        </w:tc>
        <w:tc>
          <w:tcPr>
            <w:tcW w:w="4045" w:type="pct"/>
          </w:tcPr>
          <w:p>
            <w:pPr>
              <w:jc w:val="both"/>
              <w:rPr>
                <w:rFonts w:ascii="Verdana" w:hAnsi="Verdana"/>
                <w:color w:val="000000"/>
                <w:sz w:val="20"/>
                <w:lang w:val="en-US"/>
              </w:rPr>
            </w:pPr>
            <w:r>
              <w:rPr>
                <w:rFonts w:ascii="Verdana" w:hAnsi="Verdana"/>
                <w:color w:val="000000"/>
                <w:sz w:val="20"/>
                <w:lang w:val="en-US"/>
              </w:rPr>
              <w:t>Minimum IPMI 2.0, SNMP v3, REST API, RESTful, Redfish 1.8</w:t>
            </w:r>
          </w:p>
          <w:p>
            <w:pPr>
              <w:jc w:val="both"/>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olor w:val="000000"/>
                <w:sz w:val="20"/>
              </w:rPr>
            </w:pPr>
            <w:r>
              <w:rPr>
                <w:rFonts w:ascii="Verdana" w:hAnsi="Verdana"/>
                <w:color w:val="FF0000"/>
                <w:sz w:val="20"/>
              </w:rPr>
              <w:t>Certyfikacje kompatybilności</w:t>
            </w:r>
          </w:p>
        </w:tc>
        <w:tc>
          <w:tcPr>
            <w:tcW w:w="4045" w:type="pct"/>
          </w:tcPr>
          <w:p>
            <w:pPr>
              <w:jc w:val="both"/>
              <w:rPr>
                <w:rFonts w:ascii="Verdana" w:hAnsi="Verdana"/>
                <w:color w:val="FF0000"/>
                <w:sz w:val="20"/>
              </w:rPr>
            </w:pPr>
            <w:r>
              <w:rPr>
                <w:rFonts w:ascii="Verdana" w:hAnsi="Verdana"/>
                <w:color w:val="FF0000"/>
                <w:sz w:val="20"/>
              </w:rPr>
              <w:t>Oferowany model serwera musi znajdować się na stronie </w:t>
            </w:r>
            <w:r>
              <w:fldChar w:fldCharType="begin"/>
            </w:r>
            <w:r>
              <w:instrText xml:space="preserve"> HYPERLINK "https://www.windowsservercatalog.com/" </w:instrText>
            </w:r>
            <w:r>
              <w:fldChar w:fldCharType="separate"/>
            </w:r>
            <w:r>
              <w:rPr>
                <w:rFonts w:ascii="Verdana" w:hAnsi="Verdana"/>
                <w:color w:val="FF0000"/>
                <w:sz w:val="20"/>
                <w:u w:val="single"/>
              </w:rPr>
              <w:t>https://www.windowsservercatalog.com/</w:t>
            </w:r>
            <w:r>
              <w:rPr>
                <w:rFonts w:ascii="Verdana" w:hAnsi="Verdana"/>
                <w:color w:val="FF0000"/>
                <w:sz w:val="20"/>
                <w:u w:val="single"/>
              </w:rPr>
              <w:fldChar w:fldCharType="end"/>
            </w:r>
            <w:r>
              <w:rPr>
                <w:rFonts w:ascii="Verdana" w:hAnsi="Verdana"/>
                <w:color w:val="FF0000"/>
                <w:sz w:val="20"/>
              </w:rPr>
              <w:t> (potwierdzającej kompatybilność z Windows Server) ze statusem Certified dla wersji Windows Server 2016, 2019 i 2022.</w:t>
            </w:r>
          </w:p>
          <w:p>
            <w:pPr>
              <w:jc w:val="both"/>
              <w:rPr>
                <w:rFonts w:ascii="Verdana" w:hAnsi="Verdana"/>
                <w:color w:val="FF0000"/>
                <w:sz w:val="20"/>
              </w:rPr>
            </w:pPr>
            <w:r>
              <w:rPr>
                <w:rFonts w:ascii="Verdana" w:hAnsi="Verdana"/>
                <w:color w:val="FF0000"/>
                <w:sz w:val="20"/>
              </w:rPr>
              <w:t>Oferowany model serwera musi znajdować się na stronie </w:t>
            </w:r>
            <w:r>
              <w:fldChar w:fldCharType="begin"/>
            </w:r>
            <w:r>
              <w:instrText xml:space="preserve"> HYPERLINK "https://www.vmware.com/resources/compatibility/search.php" </w:instrText>
            </w:r>
            <w:r>
              <w:fldChar w:fldCharType="separate"/>
            </w:r>
            <w:r>
              <w:rPr>
                <w:rFonts w:ascii="Verdana" w:hAnsi="Verdana"/>
                <w:color w:val="FF0000"/>
                <w:sz w:val="20"/>
                <w:u w:val="single"/>
              </w:rPr>
              <w:t>https://www.vmware.com/resources/compatibility/search.php</w:t>
            </w:r>
            <w:r>
              <w:rPr>
                <w:rFonts w:ascii="Verdana" w:hAnsi="Verdana"/>
                <w:color w:val="FF0000"/>
                <w:sz w:val="20"/>
                <w:u w:val="single"/>
              </w:rPr>
              <w:fldChar w:fldCharType="end"/>
            </w:r>
            <w:r>
              <w:rPr>
                <w:rFonts w:ascii="Verdana" w:hAnsi="Verdana"/>
                <w:color w:val="FF0000"/>
                <w:sz w:val="20"/>
              </w:rPr>
              <w:t> (potwierdzającej kompatybilność z ESXi) ze statusem Supported Releases 6.7 U3, 7.0 U3, oraz 8.0.</w:t>
            </w:r>
          </w:p>
          <w:p>
            <w:pPr>
              <w:jc w:val="both"/>
              <w:rPr>
                <w:rFonts w:ascii="Verdana" w:hAnsi="Verdana"/>
                <w:color w:val="000000"/>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Zasilanie</w:t>
            </w:r>
          </w:p>
        </w:tc>
        <w:tc>
          <w:tcPr>
            <w:tcW w:w="4045" w:type="pct"/>
          </w:tcPr>
          <w:p>
            <w:pPr>
              <w:jc w:val="both"/>
              <w:rPr>
                <w:rFonts w:ascii="Verdana" w:hAnsi="Verdana"/>
                <w:color w:val="000000"/>
                <w:sz w:val="20"/>
              </w:rPr>
            </w:pPr>
            <w:r>
              <w:rPr>
                <w:rFonts w:ascii="Verdana" w:hAnsi="Verdana"/>
                <w:color w:val="000000"/>
                <w:sz w:val="20"/>
              </w:rPr>
              <w:t>2 sztuki redundatnych zasilaczy PSU o mocy co najmniej 1300W każdy, klasy co najmniej 80+ Titanium.</w:t>
            </w:r>
          </w:p>
          <w:p>
            <w:pPr>
              <w:jc w:val="both"/>
              <w:rPr>
                <w:rFonts w:ascii="Verdana" w:hAnsi="Verdana"/>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Wentylatory</w:t>
            </w:r>
          </w:p>
        </w:tc>
        <w:tc>
          <w:tcPr>
            <w:tcW w:w="4045" w:type="pct"/>
          </w:tcPr>
          <w:p>
            <w:pPr>
              <w:jc w:val="both"/>
              <w:rPr>
                <w:rFonts w:ascii="Verdana" w:hAnsi="Verdana"/>
                <w:color w:val="000000"/>
                <w:sz w:val="20"/>
              </w:rPr>
            </w:pPr>
            <w:r>
              <w:rPr>
                <w:rFonts w:ascii="Verdana" w:hAnsi="Verdana"/>
                <w:color w:val="000000"/>
                <w:sz w:val="20"/>
              </w:rPr>
              <w:t>Hot-plug, redundantne</w:t>
            </w:r>
          </w:p>
          <w:p>
            <w:pPr>
              <w:jc w:val="both"/>
              <w:rPr>
                <w:rFonts w:ascii="Verdana" w:hAnsi="Verdana"/>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System operacyjny</w:t>
            </w:r>
          </w:p>
        </w:tc>
        <w:tc>
          <w:tcPr>
            <w:tcW w:w="4045" w:type="pct"/>
          </w:tcPr>
          <w:p>
            <w:pPr>
              <w:spacing w:after="120" w:line="276" w:lineRule="auto"/>
              <w:ind w:right="72"/>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Wykonawca jest zobowiązany do dostawy wraz z serwerem systemu operacyjnego umożliwiającego zarządzenie serwerem klasy Microsoft Windows Serwer Standard 2022 lub równoważnego zgodnie z poniżej określonymi warunkami równoważności.</w:t>
            </w:r>
          </w:p>
          <w:p>
            <w:pPr>
              <w:spacing w:before="240" w:after="120" w:line="276" w:lineRule="auto"/>
              <w:ind w:right="72"/>
              <w:jc w:val="both"/>
              <w:rPr>
                <w:rFonts w:ascii="Verdana" w:hAnsi="Verdana"/>
                <w:color w:val="000000" w:themeColor="text1"/>
                <w:sz w:val="20"/>
                <w14:textFill>
                  <w14:solidFill>
                    <w14:schemeClr w14:val="tx1"/>
                  </w14:solidFill>
                </w14:textFill>
              </w:rPr>
            </w:pPr>
            <w:r>
              <w:rPr>
                <w:rFonts w:ascii="Verdana" w:hAnsi="Verdana"/>
                <w:color w:val="000000" w:themeColor="text1"/>
                <w:sz w:val="20"/>
                <w14:textFill>
                  <w14:solidFill>
                    <w14:schemeClr w14:val="tx1"/>
                  </w14:solidFill>
                </w14:textFill>
              </w:rPr>
              <w:t>Warunki równoważności dla dostawy oprogramowania klasy Microsoft Windows Serwer Standard 2022:</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Licencja musi uprawniać do uruchamiania serwerowego systemu operacyjnego w środowisku fizycznym i dwóch wirtualnych środowiskach serwerowego systemu operacyjnego za pomocą wbudowanych mechanizmów wirtualizacji.</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wykorzystania, co najmniej 120 logicznych procesorów oraz co najmniej 2 TB pamięci RAM w środowisku fizycznym.</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wykorzystywania 64 procesorów wirtualnych oraz 1TB pamięci RAM i dysku o pojemności min. 64TB przez każdy wirtualny serwerowy system operacyjny.</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migracji maszyn wirtualnych bez zatrzymywania ich pracy między fizycznymi serwerami z uruchomionym mechanizmem wirtualizacji (hypervisor) przez sieć Ethernet, bez konieczności stosowania dodatkowych mechanizmów współdzielenia pamięci.</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Wsparcie (na umożliwiającym to sprzęcie) dodawania i wymiany pamięci RAM bez przerywania pracy.</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Wsparcie (na umożliwiającym to sprzęcie) dodawania i wymiany procesorów bez przerywania pracy.</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Automatyczna weryfikacja cyfrowych sygnatur sterowników w celu sprawdzenia czy sterownik przeszedł testy jakości przeprowadzone przez producenta systemu operacyjnego.</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dynamicznego obniżania poboru energii przez rdzenie procesorów niewykorzystywane w bieżącej pracy.</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Mechanizm ten musi uwzględniać specyfikę procesorów wyposażonych w mechanizmy Hyper-Threading;</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Wbudowany mechanizm klasyfikowania i indeksowania plików (dokumentów) w oparciu o ich zawartość.</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Wbudowane szyfrowanie dysków przy pomocy mechanizmów posiadających certyfikat FIPS 140-2 lub równoważny wydany przez NIST lub inną agendę rządową zajmującą się bezpieczeństwem informacji.</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uruchamianie aplikacji internetowych wykorzystujących technologię ASP.NET.</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dystrybucji ruchu sieciowego HTTP pomiędzy kilka serwerów.</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Wbudowana zapora internetowa (firewall) z obsługą definiowanych reguł dla ochrony połączeń internetowych i intranetowych.</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Zlokalizowane w języku polskim, co najmniej następujące elementy: menu, przeglądarka internetowa, pomoc, komunikaty systemowe.</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zmiany języka interfejsu po zainstalowaniu systemu, dla co najmniej 2 języków poprzez wybór z listy dostępnych lokalizacji.</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Wsparcie dla większości powszechnie używanych urządzeń peryferyjnych (drukarek, urządzeń sieciowych, standardów USB, Plug&amp;Play).</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zdalnej konfiguracji, administrowania oraz aktualizowania systemu.</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Wsparcie dostępu do zasobu dyskowego SSO poprzez wiele ścieżek (Multipath).</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Możliwość instalacji poprawek poprzez wgranie ich do obrazu instalacyjnego.</w:t>
            </w:r>
          </w:p>
          <w:p>
            <w:pPr>
              <w:pStyle w:val="14"/>
              <w:numPr>
                <w:ilvl w:val="1"/>
                <w:numId w:val="20"/>
              </w:numPr>
              <w:suppressAutoHyphens/>
              <w:spacing w:before="240" w:after="120" w:line="276" w:lineRule="auto"/>
              <w:ind w:right="72"/>
              <w:contextualSpacing/>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14:textFill>
                  <w14:solidFill>
                    <w14:schemeClr w14:val="tx1"/>
                  </w14:solidFill>
                </w14:textFill>
              </w:rPr>
              <w:t>Mechanizmy zdalnej administracji oraz mechanizmy (również działające zdalnie) administracji przez skrypty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sz w:val="20"/>
              </w:rPr>
            </w:pPr>
            <w:r>
              <w:rPr>
                <w:rFonts w:ascii="Verdana" w:hAnsi="Verdana" w:cs="Arial"/>
                <w:sz w:val="20"/>
              </w:rPr>
              <w:t>Certyfikaty, dokumenty</w:t>
            </w:r>
          </w:p>
        </w:tc>
        <w:tc>
          <w:tcPr>
            <w:tcW w:w="4045" w:type="pct"/>
          </w:tcPr>
          <w:p>
            <w:pPr>
              <w:spacing w:line="360" w:lineRule="auto"/>
              <w:jc w:val="both"/>
              <w:rPr>
                <w:rFonts w:ascii="Verdana" w:hAnsi="Verdana" w:cs="Arial"/>
                <w:sz w:val="20"/>
              </w:rPr>
            </w:pPr>
            <w:r>
              <w:rPr>
                <w:rFonts w:ascii="Verdana" w:hAnsi="Verdana"/>
                <w:color w:val="000000" w:themeColor="text1"/>
                <w:sz w:val="20"/>
                <w14:textFill>
                  <w14:solidFill>
                    <w14:schemeClr w14:val="tx1"/>
                  </w14:solidFill>
                </w14:textFill>
              </w:rPr>
              <w:t>Jakość produktu i sposobu jego wykonania: Certyfikat ISO 9001 lub inny równoważny dokument poświadczający, że producent serwera opracował, wdrożył i certyfikował system zarządzania jakością; Certyfikat ISO 50001 lub inny równoważny dokument poświadczający, że producent serwera posiada system zarządzania energią, zmniejszający zużycie energii, wpływy na środowisko i zwiększający rentowność; Deklaracja zgodności CE lub inny równoważny dokument poświadczający, ze oferowany serwer spełnia wszystkie zasadnicze wymagania zawarte w poszczególnych dyrektywach nowego podejścia przewidujących oznakowanie CE; Potwierdzenie spełnienia kryteriów środowiskowych, w tym zgodności z dyrektywą RoHS Unii Europejskiej o eliminacji substancji niebezpiecznych w postaci oświadczenia producenta serwera lub innego dokumentu potwierdzającego spełnienie kryteriów środowiskowych w tym zgodności z dyrektywą RoHS Unii Europejskiej o eliminacji substancji niebezpiecznych. Zamawiający żąda przedłożenia dokumentów potwierdzających spełnienie przez oferowany serwer i jego/ich producenta/producentów w zakresie określonym powyżej, w ramach przedmiotowych środków dowodowych (należy załączyć do oferty).</w:t>
            </w:r>
          </w:p>
          <w:p>
            <w:pPr>
              <w:rPr>
                <w:rFonts w:ascii="Verdana" w:hAnsi="Verdana"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11" w:type="pct"/>
          </w:tcPr>
          <w:p>
            <w:pPr>
              <w:numPr>
                <w:ilvl w:val="0"/>
                <w:numId w:val="19"/>
              </w:numPr>
              <w:rPr>
                <w:rFonts w:ascii="Verdana" w:hAnsi="Verdana" w:cs="Arial"/>
                <w:bCs/>
                <w:sz w:val="20"/>
              </w:rPr>
            </w:pPr>
          </w:p>
        </w:tc>
        <w:tc>
          <w:tcPr>
            <w:tcW w:w="743" w:type="pct"/>
          </w:tcPr>
          <w:p>
            <w:pPr>
              <w:rPr>
                <w:rFonts w:ascii="Verdana" w:hAnsi="Verdana" w:cs="Arial"/>
                <w:sz w:val="20"/>
              </w:rPr>
            </w:pPr>
            <w:r>
              <w:rPr>
                <w:rFonts w:ascii="Verdana" w:hAnsi="Verdana" w:cs="Arial"/>
                <w:sz w:val="20"/>
              </w:rPr>
              <w:t>Gwarancja</w:t>
            </w:r>
          </w:p>
        </w:tc>
        <w:tc>
          <w:tcPr>
            <w:tcW w:w="4045" w:type="pct"/>
          </w:tcPr>
          <w:p>
            <w:pPr>
              <w:spacing w:line="360" w:lineRule="auto"/>
              <w:jc w:val="both"/>
              <w:outlineLvl w:val="0"/>
              <w:rPr>
                <w:rFonts w:ascii="Verdana" w:hAnsi="Verdana"/>
                <w:color w:val="000000"/>
                <w:sz w:val="20"/>
              </w:rPr>
            </w:pPr>
            <w:r>
              <w:rPr>
                <w:rFonts w:hint="default" w:ascii="Verdana" w:hAnsi="Verdana"/>
                <w:color w:val="000000"/>
                <w:sz w:val="20"/>
                <w:lang w:val="pl-PL"/>
              </w:rPr>
              <w:t>C</w:t>
            </w:r>
            <w:r>
              <w:rPr>
                <w:rFonts w:ascii="Verdana" w:hAnsi="Verdana"/>
                <w:color w:val="000000"/>
                <w:sz w:val="20"/>
              </w:rPr>
              <w:t>zas podjęcia naprawy następnego dnia roboczego (NBD) w formule u Zamawiającego (on-site). Uszkodzone dyski pozostają u Zamawiającego.</w:t>
            </w:r>
          </w:p>
        </w:tc>
      </w:tr>
    </w:tbl>
    <w:p>
      <w:pPr>
        <w:tabs>
          <w:tab w:val="left" w:pos="1978"/>
          <w:tab w:val="left" w:pos="3828"/>
          <w:tab w:val="center" w:pos="4677"/>
        </w:tabs>
        <w:jc w:val="both"/>
        <w:textAlignment w:val="baseline"/>
      </w:pPr>
    </w:p>
    <w:p>
      <w:pPr>
        <w:tabs>
          <w:tab w:val="left" w:pos="1978"/>
          <w:tab w:val="left" w:pos="3828"/>
          <w:tab w:val="center" w:pos="4677"/>
        </w:tabs>
        <w:jc w:val="both"/>
        <w:textAlignment w:val="baseline"/>
      </w:pPr>
    </w:p>
    <w:p>
      <w:pPr>
        <w:pStyle w:val="14"/>
        <w:numPr>
          <w:ilvl w:val="0"/>
          <w:numId w:val="21"/>
        </w:numPr>
        <w:spacing w:after="160" w:line="259" w:lineRule="auto"/>
        <w:ind w:left="0" w:leftChars="0" w:firstLine="0" w:firstLineChars="0"/>
        <w:contextualSpacing/>
        <w:jc w:val="both"/>
        <w:rPr>
          <w:rFonts w:ascii="Times New Roman" w:hAnsi="Times New Roman"/>
          <w:sz w:val="28"/>
          <w:szCs w:val="28"/>
        </w:rPr>
      </w:pPr>
      <w:r>
        <w:rPr>
          <w:rFonts w:hint="default" w:ascii="Times New Roman" w:hAnsi="Times New Roman"/>
          <w:sz w:val="28"/>
          <w:szCs w:val="28"/>
          <w:lang w:val="pl-PL"/>
        </w:rPr>
        <w:t>Firewall</w:t>
      </w:r>
      <w:r>
        <w:rPr>
          <w:rFonts w:ascii="Times New Roman" w:hAnsi="Times New Roman"/>
          <w:sz w:val="28"/>
          <w:szCs w:val="28"/>
        </w:rPr>
        <w:tab/>
      </w:r>
      <w:r>
        <w:rPr>
          <w:rFonts w:ascii="Times New Roman" w:hAnsi="Times New Roman"/>
          <w:sz w:val="28"/>
          <w:szCs w:val="28"/>
        </w:rPr>
        <w:tab/>
      </w:r>
    </w:p>
    <w:tbl>
      <w:tblPr>
        <w:tblStyle w:val="3"/>
        <w:tblW w:w="5012" w:type="pct"/>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1" w:type="dxa"/>
          <w:bottom w:w="0" w:type="dxa"/>
          <w:right w:w="71" w:type="dxa"/>
        </w:tblCellMar>
      </w:tblPr>
      <w:tblGrid>
        <w:gridCol w:w="541"/>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5000" w:type="pct"/>
            <w:gridSpan w:val="2"/>
            <w:shd w:val="clear" w:color="auto" w:fill="auto"/>
            <w:vAlign w:val="center"/>
          </w:tcPr>
          <w:p>
            <w:pPr>
              <w:rPr>
                <w:rFonts w:ascii="Verdana" w:hAnsi="Verdana" w:cs="Arial"/>
                <w:b/>
                <w:sz w:val="20"/>
              </w:rPr>
            </w:pPr>
            <w:r>
              <w:rPr>
                <w:rFonts w:ascii="Verdana" w:hAnsi="Verdana" w:cs="Arial"/>
                <w:b/>
                <w:sz w:val="20"/>
              </w:rPr>
              <w:t>Szczegółowy opis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284" w:hRule="atLeast"/>
        </w:trPr>
        <w:tc>
          <w:tcPr>
            <w:tcW w:w="279" w:type="pct"/>
            <w:vAlign w:val="center"/>
          </w:tcPr>
          <w:p>
            <w:pPr>
              <w:rPr>
                <w:rFonts w:ascii="Times New Roman" w:hAnsi="Times New Roman"/>
                <w:bCs/>
                <w:szCs w:val="22"/>
              </w:rPr>
            </w:pPr>
            <w:r>
              <w:rPr>
                <w:rFonts w:ascii="Times New Roman" w:hAnsi="Times New Roman"/>
                <w:b/>
                <w:szCs w:val="22"/>
                <w:lang w:eastAsia="en-US"/>
              </w:rPr>
              <w:t>Lp.</w:t>
            </w:r>
          </w:p>
        </w:tc>
        <w:tc>
          <w:tcPr>
            <w:tcW w:w="4720" w:type="pct"/>
            <w:vAlign w:val="center"/>
          </w:tcPr>
          <w:p>
            <w:pPr>
              <w:rPr>
                <w:rFonts w:ascii="Times New Roman" w:hAnsi="Times New Roman"/>
                <w:bCs/>
                <w:szCs w:val="22"/>
              </w:rPr>
            </w:pPr>
            <w:r>
              <w:rPr>
                <w:rFonts w:ascii="Times New Roman" w:hAnsi="Times New Roman"/>
                <w:b/>
                <w:szCs w:val="22"/>
              </w:rPr>
              <w:t>Nazwa komponentu</w:t>
            </w:r>
          </w:p>
          <w:p>
            <w:pPr>
              <w:rPr>
                <w:rFonts w:ascii="Times New Roman" w:hAnsi="Times New Roman"/>
                <w:szCs w:val="22"/>
              </w:rPr>
            </w:pPr>
            <w:r>
              <w:rPr>
                <w:rFonts w:ascii="Times New Roman" w:hAnsi="Times New Roman"/>
                <w:b/>
                <w:szCs w:val="22"/>
              </w:rPr>
              <w:t>Wymagane minimalne parametry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trHeight w:val="841" w:hRule="atLeast"/>
        </w:trPr>
        <w:tc>
          <w:tcPr>
            <w:tcW w:w="279" w:type="pct"/>
          </w:tcPr>
          <w:p>
            <w:pPr>
              <w:numPr>
                <w:ilvl w:val="0"/>
                <w:numId w:val="22"/>
              </w:numPr>
              <w:rPr>
                <w:rFonts w:ascii="Verdana" w:hAnsi="Verdana" w:cs="Arial"/>
                <w:bCs/>
                <w:sz w:val="20"/>
              </w:rPr>
            </w:pPr>
          </w:p>
        </w:tc>
        <w:tc>
          <w:tcPr>
            <w:tcW w:w="4720" w:type="pct"/>
          </w:tcPr>
          <w:p>
            <w:pPr>
              <w:jc w:val="both"/>
              <w:rPr>
                <w:rFonts w:ascii="Arial" w:hAnsi="Arial" w:cs="Arial"/>
                <w:sz w:val="20"/>
              </w:rPr>
            </w:pPr>
            <w:r>
              <w:rPr>
                <w:rFonts w:ascii="Arial" w:hAnsi="Arial" w:cs="Arial"/>
                <w:sz w:val="20"/>
              </w:rPr>
              <w:t xml:space="preserve">Dostarczony system bezpieczeństwa musi zapewniać wszystkie wymienione poniżej funkcje bezpieczeństwa oraz funkcjonalności dodatkowe. </w:t>
            </w:r>
          </w:p>
          <w:p>
            <w:pPr>
              <w:jc w:val="both"/>
              <w:rPr>
                <w:rFonts w:ascii="Arial" w:hAnsi="Arial" w:cs="Arial"/>
                <w:sz w:val="20"/>
              </w:rPr>
            </w:pPr>
            <w:r>
              <w:rPr>
                <w:rFonts w:ascii="Arial" w:hAnsi="Arial" w:cs="Arial"/>
                <w:sz w:val="20"/>
              </w:rPr>
              <w:t>Dla elementów systemu bezpieczeństwa wykonawca musi zapewnić wszystkie poniższe funkcjonalności:</w:t>
            </w:r>
          </w:p>
          <w:p>
            <w:pPr>
              <w:pStyle w:val="14"/>
              <w:numPr>
                <w:ilvl w:val="0"/>
                <w:numId w:val="23"/>
              </w:numPr>
              <w:contextualSpacing/>
              <w:jc w:val="both"/>
              <w:rPr>
                <w:rFonts w:ascii="Arial" w:hAnsi="Arial" w:cs="Arial"/>
                <w:sz w:val="20"/>
                <w:szCs w:val="20"/>
              </w:rPr>
            </w:pPr>
            <w:r>
              <w:rPr>
                <w:rFonts w:ascii="Arial" w:hAnsi="Arial" w:cs="Arial"/>
                <w:sz w:val="20"/>
                <w:szCs w:val="20"/>
              </w:rPr>
              <w:t>Elementy systemu przenoszące ruch użytkowników muszą dawać możliwość pracy w jednym z dwóch trybów: Router/NAT lub transparent.</w:t>
            </w:r>
          </w:p>
          <w:p>
            <w:pPr>
              <w:pStyle w:val="14"/>
              <w:numPr>
                <w:ilvl w:val="0"/>
                <w:numId w:val="23"/>
              </w:numPr>
              <w:contextualSpacing/>
              <w:jc w:val="both"/>
              <w:rPr>
                <w:rFonts w:ascii="Arial" w:hAnsi="Arial" w:cs="Arial"/>
                <w:sz w:val="20"/>
                <w:szCs w:val="20"/>
              </w:rPr>
            </w:pPr>
            <w:r>
              <w:rPr>
                <w:rFonts w:ascii="Arial" w:hAnsi="Arial" w:cs="Arial"/>
                <w:sz w:val="20"/>
                <w:szCs w:val="20"/>
              </w:rPr>
              <w:t>System realizujący funkcję Firewall musi dysponować min. 8 interfejsami miedzianymi Ethernet 10/100/1000.</w:t>
            </w:r>
          </w:p>
          <w:p>
            <w:pPr>
              <w:pStyle w:val="14"/>
              <w:numPr>
                <w:ilvl w:val="0"/>
                <w:numId w:val="23"/>
              </w:numPr>
              <w:contextualSpacing/>
              <w:jc w:val="both"/>
              <w:rPr>
                <w:rFonts w:ascii="Arial" w:hAnsi="Arial" w:cs="Arial"/>
                <w:sz w:val="20"/>
                <w:szCs w:val="20"/>
              </w:rPr>
            </w:pPr>
            <w:r>
              <w:rPr>
                <w:rFonts w:ascii="Arial" w:hAnsi="Arial" w:cs="Arial"/>
                <w:sz w:val="20"/>
                <w:szCs w:val="20"/>
              </w:rPr>
              <w:t>Możliwość tworzenia min. 64 interfejsów wirtualnych definiowanych jako VLAN w oparciu o standard 802.1Q.</w:t>
            </w:r>
          </w:p>
          <w:p>
            <w:pPr>
              <w:pStyle w:val="14"/>
              <w:numPr>
                <w:ilvl w:val="0"/>
                <w:numId w:val="23"/>
              </w:numPr>
              <w:contextualSpacing/>
              <w:jc w:val="both"/>
              <w:rPr>
                <w:rFonts w:ascii="Arial" w:hAnsi="Arial" w:cs="Arial"/>
                <w:sz w:val="20"/>
                <w:szCs w:val="20"/>
              </w:rPr>
            </w:pPr>
            <w:r>
              <w:rPr>
                <w:rFonts w:ascii="Arial" w:hAnsi="Arial" w:cs="Arial"/>
                <w:sz w:val="20"/>
                <w:szCs w:val="20"/>
              </w:rPr>
              <w:t>W zakresie Firewall obsługa nie mniej niż 300 tys. jednoczesnych połączeń oraz min. 18 tys. nowych połączeń na sekundę.</w:t>
            </w:r>
          </w:p>
          <w:p>
            <w:pPr>
              <w:pStyle w:val="14"/>
              <w:numPr>
                <w:ilvl w:val="0"/>
                <w:numId w:val="23"/>
              </w:numPr>
              <w:contextualSpacing/>
              <w:jc w:val="both"/>
              <w:rPr>
                <w:rFonts w:ascii="Arial" w:hAnsi="Arial" w:cs="Arial"/>
                <w:sz w:val="20"/>
                <w:szCs w:val="20"/>
              </w:rPr>
            </w:pPr>
            <w:r>
              <w:rPr>
                <w:rFonts w:ascii="Arial" w:hAnsi="Arial" w:cs="Arial"/>
                <w:sz w:val="20"/>
                <w:szCs w:val="20"/>
              </w:rPr>
              <w:t xml:space="preserve">System realizujący funkcję Firewall musi posiadać wbudowany w interfejs administracyjny system raportowania i przeglądania logów zebranych na urządzeniu. </w:t>
            </w:r>
          </w:p>
          <w:p>
            <w:pPr>
              <w:pStyle w:val="14"/>
              <w:numPr>
                <w:ilvl w:val="0"/>
                <w:numId w:val="23"/>
              </w:numPr>
              <w:contextualSpacing/>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18"/>
                <w14:textFill>
                  <w14:solidFill>
                    <w14:schemeClr w14:val="tx1"/>
                  </w14:solidFill>
                </w14:textFill>
              </w:rPr>
              <w:t xml:space="preserve">System realizujący funkcję Firewall powinien być wyposażony w lokalny dysk o pojemności minimum 64 GB lub pozwalać na zbieranie logów na zewnętrznym dysku, pendrive lub karcie SD o pojemności co najmniej 64 GB do celów logowania i raportowania. </w:t>
            </w:r>
          </w:p>
          <w:p>
            <w:pPr>
              <w:pStyle w:val="14"/>
              <w:numPr>
                <w:ilvl w:val="0"/>
                <w:numId w:val="23"/>
              </w:numPr>
              <w:ind w:left="714" w:hanging="357"/>
              <w:contextualSpacing/>
              <w:jc w:val="both"/>
              <w:rPr>
                <w:rFonts w:ascii="Arial" w:hAnsi="Arial" w:cs="Arial"/>
                <w:sz w:val="20"/>
                <w:szCs w:val="20"/>
              </w:rPr>
            </w:pPr>
            <w:r>
              <w:rPr>
                <w:rFonts w:ascii="Arial" w:hAnsi="Arial" w:cs="Arial"/>
                <w:sz w:val="20"/>
                <w:szCs w:val="20"/>
              </w:rPr>
              <w:t>W ramach dostarczonego systemu ochrony muszą być realizowane wszystkie z poniższych funkcjonalności. Poszczególne funkcjonalności systemu bezpieczeństwa mogą być realizowane w postaci osobnych platform sprzętowych lub programowych:</w:t>
            </w:r>
          </w:p>
          <w:p>
            <w:pPr>
              <w:pStyle w:val="14"/>
              <w:numPr>
                <w:ilvl w:val="1"/>
                <w:numId w:val="23"/>
              </w:numPr>
              <w:ind w:left="993"/>
              <w:contextualSpacing/>
              <w:jc w:val="both"/>
              <w:rPr>
                <w:rFonts w:ascii="Arial" w:hAnsi="Arial" w:cs="Arial"/>
                <w:sz w:val="20"/>
                <w:szCs w:val="20"/>
              </w:rPr>
            </w:pPr>
            <w:r>
              <w:rPr>
                <w:rFonts w:ascii="Arial" w:hAnsi="Arial" w:cs="Arial"/>
                <w:sz w:val="20"/>
                <w:szCs w:val="20"/>
              </w:rPr>
              <w:t>Kontrola dostępu - zapora ogniowa klasy Stateful Inspection</w:t>
            </w:r>
          </w:p>
          <w:p>
            <w:pPr>
              <w:numPr>
                <w:ilvl w:val="1"/>
                <w:numId w:val="23"/>
              </w:numPr>
              <w:ind w:left="993"/>
              <w:jc w:val="both"/>
              <w:rPr>
                <w:rFonts w:ascii="Arial" w:hAnsi="Arial" w:cs="Arial"/>
                <w:sz w:val="20"/>
              </w:rPr>
            </w:pPr>
            <w:r>
              <w:rPr>
                <w:rFonts w:ascii="Arial" w:hAnsi="Arial" w:cs="Arial"/>
                <w:sz w:val="20"/>
              </w:rPr>
              <w:t>Ochrona przed wirusami – komercyjny antywirus [AV] (dla protokołów SMTP, POP3, HTTP, FTP, HTTPS). System AV musi umożliwiać skanowanie AV dla plików typu: rar, zip.</w:t>
            </w:r>
          </w:p>
          <w:p>
            <w:pPr>
              <w:numPr>
                <w:ilvl w:val="1"/>
                <w:numId w:val="23"/>
              </w:numPr>
              <w:ind w:left="993"/>
              <w:jc w:val="both"/>
              <w:rPr>
                <w:rFonts w:ascii="Arial" w:hAnsi="Arial" w:cs="Arial"/>
                <w:sz w:val="20"/>
              </w:rPr>
            </w:pPr>
            <w:r>
              <w:rPr>
                <w:rFonts w:ascii="Arial" w:hAnsi="Arial" w:cs="Arial"/>
                <w:sz w:val="20"/>
              </w:rPr>
              <w:t>Poufność danych - IPSec VPN oraz SSL VPN</w:t>
            </w:r>
          </w:p>
          <w:p>
            <w:pPr>
              <w:numPr>
                <w:ilvl w:val="1"/>
                <w:numId w:val="23"/>
              </w:numPr>
              <w:ind w:left="993"/>
              <w:jc w:val="both"/>
              <w:rPr>
                <w:rFonts w:ascii="Arial" w:hAnsi="Arial" w:cs="Arial"/>
                <w:sz w:val="20"/>
              </w:rPr>
            </w:pPr>
            <w:r>
              <w:rPr>
                <w:rFonts w:ascii="Arial" w:hAnsi="Arial" w:cs="Arial"/>
                <w:sz w:val="20"/>
              </w:rPr>
              <w:t>Ochrona przed atakami - Intrusion Prevention System [IPS/IDS]</w:t>
            </w:r>
          </w:p>
          <w:p>
            <w:pPr>
              <w:numPr>
                <w:ilvl w:val="1"/>
                <w:numId w:val="23"/>
              </w:numPr>
              <w:ind w:left="993"/>
              <w:jc w:val="both"/>
              <w:rPr>
                <w:rFonts w:ascii="Arial" w:hAnsi="Arial" w:cs="Arial"/>
                <w:sz w:val="20"/>
              </w:rPr>
            </w:pPr>
            <w:r>
              <w:rPr>
                <w:rFonts w:ascii="Arial" w:hAnsi="Arial" w:cs="Arial"/>
                <w:sz w:val="20"/>
              </w:rPr>
              <w:t xml:space="preserve">Kontrola stron Internetowych – Web Filter [WF] </w:t>
            </w:r>
          </w:p>
          <w:p>
            <w:pPr>
              <w:numPr>
                <w:ilvl w:val="1"/>
                <w:numId w:val="23"/>
              </w:numPr>
              <w:ind w:left="993"/>
              <w:jc w:val="both"/>
              <w:rPr>
                <w:rFonts w:ascii="Arial" w:hAnsi="Arial" w:cs="Arial"/>
                <w:sz w:val="20"/>
              </w:rPr>
            </w:pPr>
            <w:r>
              <w:rPr>
                <w:rFonts w:ascii="Arial" w:hAnsi="Arial" w:cs="Arial"/>
                <w:sz w:val="20"/>
              </w:rPr>
              <w:t xml:space="preserve">Kontrola zawartości poczty – Antyspam [AS] (dla protokołów SMTP, POP3) </w:t>
            </w:r>
          </w:p>
          <w:p>
            <w:pPr>
              <w:numPr>
                <w:ilvl w:val="1"/>
                <w:numId w:val="23"/>
              </w:numPr>
              <w:ind w:left="993"/>
              <w:jc w:val="both"/>
              <w:rPr>
                <w:rFonts w:ascii="Arial" w:hAnsi="Arial" w:cs="Arial"/>
                <w:sz w:val="20"/>
              </w:rPr>
            </w:pPr>
            <w:r>
              <w:rPr>
                <w:rFonts w:ascii="Arial" w:hAnsi="Arial" w:cs="Arial"/>
                <w:sz w:val="20"/>
              </w:rPr>
              <w:t>Kontrola pasma oraz ruchu [QoS i Traffic shaping]</w:t>
            </w:r>
          </w:p>
          <w:p>
            <w:pPr>
              <w:numPr>
                <w:ilvl w:val="1"/>
                <w:numId w:val="23"/>
              </w:numPr>
              <w:ind w:left="993"/>
              <w:jc w:val="both"/>
              <w:rPr>
                <w:rFonts w:ascii="Arial" w:hAnsi="Arial" w:cs="Arial"/>
                <w:sz w:val="20"/>
              </w:rPr>
            </w:pPr>
            <w:r>
              <w:rPr>
                <w:rFonts w:ascii="Arial" w:hAnsi="Arial" w:cs="Arial"/>
                <w:sz w:val="20"/>
              </w:rPr>
              <w:t>Kontrola aplikacji oraz rozpoznawanie ruchu P2P</w:t>
            </w:r>
          </w:p>
          <w:p>
            <w:pPr>
              <w:numPr>
                <w:ilvl w:val="1"/>
                <w:numId w:val="23"/>
              </w:numPr>
              <w:ind w:left="993"/>
              <w:jc w:val="both"/>
              <w:rPr>
                <w:rFonts w:ascii="Arial" w:hAnsi="Arial" w:cs="Arial"/>
                <w:sz w:val="20"/>
              </w:rPr>
            </w:pPr>
            <w:r>
              <w:rPr>
                <w:rFonts w:ascii="Arial" w:hAnsi="Arial" w:cs="Arial"/>
                <w:sz w:val="20"/>
              </w:rPr>
              <w:t>Analiza ruchu szyfrowanego protokołem SSL</w:t>
            </w:r>
          </w:p>
          <w:p>
            <w:pPr>
              <w:numPr>
                <w:ilvl w:val="0"/>
                <w:numId w:val="23"/>
              </w:numPr>
              <w:jc w:val="both"/>
              <w:rPr>
                <w:rFonts w:ascii="Arial" w:hAnsi="Arial" w:cs="Arial"/>
                <w:sz w:val="20"/>
              </w:rPr>
            </w:pPr>
            <w:r>
              <w:rPr>
                <w:rFonts w:ascii="Arial" w:hAnsi="Arial" w:cs="Arial"/>
                <w:sz w:val="20"/>
              </w:rPr>
              <w:t>Wydajność systemu Firewall min. 4 Gbps</w:t>
            </w:r>
          </w:p>
          <w:p>
            <w:pPr>
              <w:numPr>
                <w:ilvl w:val="0"/>
                <w:numId w:val="23"/>
              </w:numPr>
              <w:jc w:val="both"/>
              <w:rPr>
                <w:rFonts w:ascii="Arial" w:hAnsi="Arial" w:cs="Arial"/>
                <w:sz w:val="20"/>
              </w:rPr>
            </w:pPr>
            <w:r>
              <w:rPr>
                <w:rFonts w:ascii="Arial" w:hAnsi="Arial" w:cs="Arial"/>
                <w:sz w:val="20"/>
              </w:rPr>
              <w:t>Wydajność skanowania strumienia danych przy włączonych funkcjach: Stateful Firewall, Antivirus min. 490 Mbps</w:t>
            </w:r>
          </w:p>
          <w:p>
            <w:pPr>
              <w:numPr>
                <w:ilvl w:val="0"/>
                <w:numId w:val="23"/>
              </w:numPr>
              <w:jc w:val="both"/>
              <w:rPr>
                <w:rFonts w:ascii="Arial" w:hAnsi="Arial" w:cs="Arial"/>
                <w:sz w:val="20"/>
              </w:rPr>
            </w:pPr>
            <w:r>
              <w:rPr>
                <w:rFonts w:ascii="Arial" w:hAnsi="Arial" w:cs="Arial"/>
                <w:sz w:val="20"/>
              </w:rPr>
              <w:t>Wydajność ochrony przed atakami (IPS) min. 2,4 Gbps</w:t>
            </w:r>
          </w:p>
          <w:p>
            <w:pPr>
              <w:numPr>
                <w:ilvl w:val="0"/>
                <w:numId w:val="23"/>
              </w:numPr>
              <w:jc w:val="both"/>
              <w:rPr>
                <w:rFonts w:ascii="Arial" w:hAnsi="Arial" w:cs="Arial"/>
                <w:sz w:val="20"/>
              </w:rPr>
            </w:pPr>
            <w:r>
              <w:rPr>
                <w:rFonts w:ascii="Arial" w:hAnsi="Arial" w:cs="Arial"/>
                <w:sz w:val="20"/>
              </w:rPr>
              <w:t>Wydajność VPN IPSec, nie mniej niż 600 Mbps</w:t>
            </w:r>
          </w:p>
          <w:p>
            <w:pPr>
              <w:numPr>
                <w:ilvl w:val="0"/>
                <w:numId w:val="23"/>
              </w:numPr>
              <w:jc w:val="both"/>
              <w:rPr>
                <w:rFonts w:ascii="Arial" w:hAnsi="Arial" w:cs="Arial"/>
                <w:sz w:val="20"/>
              </w:rPr>
            </w:pPr>
            <w:r>
              <w:rPr>
                <w:rFonts w:ascii="Arial" w:hAnsi="Arial" w:cs="Arial"/>
                <w:sz w:val="20"/>
              </w:rPr>
              <w:t>W zakresie realizowanych funkcjonalności VPN, wymagane jest nie mniej niż:</w:t>
            </w:r>
          </w:p>
          <w:p>
            <w:pPr>
              <w:numPr>
                <w:ilvl w:val="1"/>
                <w:numId w:val="23"/>
              </w:numPr>
              <w:jc w:val="both"/>
              <w:rPr>
                <w:rFonts w:ascii="Arial" w:hAnsi="Arial" w:cs="Arial"/>
                <w:sz w:val="20"/>
              </w:rPr>
            </w:pPr>
            <w:r>
              <w:rPr>
                <w:rFonts w:ascii="Arial" w:hAnsi="Arial" w:cs="Arial"/>
                <w:sz w:val="20"/>
              </w:rPr>
              <w:t>Tworzenie połączeń w topologii Site-to-site oraz możliwość definiowania połączeń Client-to-site</w:t>
            </w:r>
          </w:p>
          <w:p>
            <w:pPr>
              <w:numPr>
                <w:ilvl w:val="1"/>
                <w:numId w:val="23"/>
              </w:numPr>
              <w:jc w:val="both"/>
              <w:rPr>
                <w:rFonts w:ascii="Arial" w:hAnsi="Arial" w:cs="Arial"/>
                <w:sz w:val="20"/>
              </w:rPr>
            </w:pPr>
            <w:r>
              <w:rPr>
                <w:rFonts w:ascii="Arial" w:hAnsi="Arial" w:cs="Arial"/>
                <w:sz w:val="20"/>
              </w:rPr>
              <w:t xml:space="preserve">Producent oferowanego rozwiązania VPN powinien dostarczać klienta VPN współpracującego z proponowanym rozwiązaniem </w:t>
            </w:r>
          </w:p>
          <w:p>
            <w:pPr>
              <w:numPr>
                <w:ilvl w:val="1"/>
                <w:numId w:val="23"/>
              </w:numPr>
              <w:jc w:val="both"/>
              <w:rPr>
                <w:rFonts w:ascii="Arial" w:hAnsi="Arial" w:cs="Arial"/>
                <w:sz w:val="20"/>
              </w:rPr>
            </w:pPr>
            <w:r>
              <w:rPr>
                <w:rFonts w:ascii="Arial" w:hAnsi="Arial" w:cs="Arial"/>
                <w:sz w:val="20"/>
              </w:rPr>
              <w:t xml:space="preserve">Monitorowanie stanu tuneli VPN i stałego utrzymywania ich aktywności </w:t>
            </w:r>
          </w:p>
          <w:p>
            <w:pPr>
              <w:numPr>
                <w:ilvl w:val="1"/>
                <w:numId w:val="23"/>
              </w:numPr>
              <w:jc w:val="both"/>
              <w:rPr>
                <w:rFonts w:ascii="Arial" w:hAnsi="Arial" w:cs="Arial"/>
                <w:sz w:val="20"/>
              </w:rPr>
            </w:pPr>
            <w:r>
              <w:rPr>
                <w:rFonts w:ascii="Arial" w:hAnsi="Arial" w:cs="Arial"/>
                <w:sz w:val="20"/>
              </w:rPr>
              <w:t>Praca w topologii Hub and Spoke oraz Mesh</w:t>
            </w:r>
          </w:p>
          <w:p>
            <w:pPr>
              <w:numPr>
                <w:ilvl w:val="1"/>
                <w:numId w:val="23"/>
              </w:numPr>
              <w:jc w:val="both"/>
              <w:rPr>
                <w:rFonts w:ascii="Arial" w:hAnsi="Arial" w:cs="Arial"/>
                <w:sz w:val="20"/>
              </w:rPr>
            </w:pPr>
            <w:r>
              <w:rPr>
                <w:rFonts w:ascii="Arial" w:hAnsi="Arial" w:cs="Arial"/>
                <w:sz w:val="20"/>
              </w:rPr>
              <w:t>Obsługa mechanizmów: IPSec NAT Traversal, DPD, Xauth</w:t>
            </w:r>
          </w:p>
          <w:p>
            <w:pPr>
              <w:numPr>
                <w:ilvl w:val="1"/>
                <w:numId w:val="23"/>
              </w:numPr>
              <w:jc w:val="both"/>
              <w:rPr>
                <w:rFonts w:ascii="Arial" w:hAnsi="Arial" w:cs="Arial"/>
                <w:sz w:val="20"/>
              </w:rPr>
            </w:pPr>
            <w:r>
              <w:rPr>
                <w:rFonts w:ascii="Arial" w:hAnsi="Arial" w:cs="Arial"/>
                <w:sz w:val="20"/>
              </w:rPr>
              <w:t>Obsługa ssl vpn w trybach portal oraz tunel</w:t>
            </w:r>
          </w:p>
          <w:p>
            <w:pPr>
              <w:numPr>
                <w:ilvl w:val="0"/>
                <w:numId w:val="23"/>
              </w:numPr>
              <w:jc w:val="both"/>
              <w:rPr>
                <w:rFonts w:ascii="Arial" w:hAnsi="Arial" w:cs="Arial"/>
                <w:sz w:val="20"/>
              </w:rPr>
            </w:pPr>
            <w:r>
              <w:rPr>
                <w:rFonts w:ascii="Arial" w:hAnsi="Arial" w:cs="Arial"/>
                <w:sz w:val="20"/>
              </w:rPr>
              <w:t>Rozwiązanie musi zapewniać: obsługę Policy Routingu, routing statyczny i dynamiczny w oparciu o protokoły: RIPv2, OSPF, BGP.</w:t>
            </w:r>
          </w:p>
          <w:p>
            <w:pPr>
              <w:numPr>
                <w:ilvl w:val="0"/>
                <w:numId w:val="23"/>
              </w:numPr>
              <w:jc w:val="both"/>
              <w:rPr>
                <w:rFonts w:ascii="Arial" w:hAnsi="Arial" w:cs="Arial"/>
                <w:sz w:val="20"/>
              </w:rPr>
            </w:pPr>
            <w:r>
              <w:rPr>
                <w:rFonts w:ascii="Arial" w:hAnsi="Arial" w:cs="Arial"/>
                <w:sz w:val="20"/>
              </w:rPr>
              <w:t>Translacja adresów NAT adresu źródłowego i NAT adresu docelowego.</w:t>
            </w:r>
          </w:p>
          <w:p>
            <w:pPr>
              <w:numPr>
                <w:ilvl w:val="0"/>
                <w:numId w:val="23"/>
              </w:numPr>
              <w:jc w:val="both"/>
              <w:rPr>
                <w:rFonts w:ascii="Arial" w:hAnsi="Arial" w:cs="Arial"/>
                <w:sz w:val="20"/>
              </w:rPr>
            </w:pPr>
            <w:r>
              <w:rPr>
                <w:rFonts w:ascii="Arial" w:hAnsi="Arial" w:cs="Arial"/>
                <w:sz w:val="20"/>
              </w:rPr>
              <w:t>Polityka bezpieczeństwa systemu zabezpieczeń musi uwzględniać adresy IP, interfejsy, protokoły, usługi sieciowe, użytkowników, reakcje zabezpieczeń, rejestrowanie zdarzeń oraz zarządzanie pasmem sieci (m.in. pasmo gwarantowane i maksymalne, priorytety).</w:t>
            </w:r>
          </w:p>
          <w:p>
            <w:pPr>
              <w:numPr>
                <w:ilvl w:val="0"/>
                <w:numId w:val="23"/>
              </w:numPr>
              <w:jc w:val="both"/>
              <w:rPr>
                <w:rFonts w:ascii="Arial" w:hAnsi="Arial" w:cs="Arial"/>
                <w:sz w:val="20"/>
              </w:rPr>
            </w:pPr>
            <w:r>
              <w:rPr>
                <w:rFonts w:ascii="Arial" w:hAnsi="Arial" w:cs="Arial"/>
                <w:sz w:val="20"/>
              </w:rPr>
              <w:t>Możliwość tworzenia wydzielonych stref bezpieczeństwa Firewall np. DMZ.</w:t>
            </w:r>
          </w:p>
          <w:p>
            <w:pPr>
              <w:numPr>
                <w:ilvl w:val="0"/>
                <w:numId w:val="23"/>
              </w:numPr>
              <w:jc w:val="both"/>
              <w:rPr>
                <w:rFonts w:ascii="Arial" w:hAnsi="Arial" w:cs="Arial"/>
                <w:sz w:val="20"/>
              </w:rPr>
            </w:pPr>
            <w:r>
              <w:rPr>
                <w:rFonts w:ascii="Arial" w:hAnsi="Arial" w:cs="Arial"/>
                <w:sz w:val="20"/>
              </w:rPr>
              <w:t>Silnik antywirusowy musi umożliwiać skanowanie ruchu w obu kierunkach komunikacji dla protokołów działających na niestandardowych portach (np. FTP na porcie 2021).</w:t>
            </w:r>
          </w:p>
          <w:p>
            <w:pPr>
              <w:numPr>
                <w:ilvl w:val="0"/>
                <w:numId w:val="23"/>
              </w:numPr>
              <w:jc w:val="both"/>
              <w:rPr>
                <w:rFonts w:ascii="Arial" w:hAnsi="Arial" w:cs="Arial"/>
                <w:sz w:val="20"/>
              </w:rPr>
            </w:pPr>
            <w:r>
              <w:rPr>
                <w:rFonts w:ascii="Arial" w:hAnsi="Arial" w:cs="Arial"/>
                <w:sz w:val="20"/>
              </w:rPr>
              <w:t>Ochrona IPS musi opierać się co najmniej na analizie protokołów i sygnatur. Baza wykrywanych ataków musi zawierać co najmniej 1000 wpisów. Dodatkowo musi być możliwość wykrywania anomalii protokołów i ruchu stanowiących podstawową ochronę przed atakami typu DoS oraz DDos.</w:t>
            </w:r>
          </w:p>
          <w:p>
            <w:pPr>
              <w:numPr>
                <w:ilvl w:val="0"/>
                <w:numId w:val="23"/>
              </w:numPr>
              <w:jc w:val="both"/>
              <w:rPr>
                <w:rFonts w:ascii="Arial" w:hAnsi="Arial" w:cs="Arial"/>
                <w:sz w:val="20"/>
              </w:rPr>
            </w:pPr>
            <w:r>
              <w:rPr>
                <w:rFonts w:ascii="Arial" w:hAnsi="Arial" w:cs="Arial"/>
                <w:sz w:val="20"/>
              </w:rPr>
              <w:t>Funkcja kontroli aplikacji musi umożliwiać kontrolę ruchu na podstawie głębokiej analizy pakietów, nie bazując jedynie na wartościach portów TCP/UDP.</w:t>
            </w:r>
          </w:p>
          <w:p>
            <w:pPr>
              <w:numPr>
                <w:ilvl w:val="0"/>
                <w:numId w:val="23"/>
              </w:numPr>
              <w:jc w:val="both"/>
              <w:rPr>
                <w:rFonts w:ascii="Arial" w:hAnsi="Arial" w:cs="Arial"/>
                <w:sz w:val="20"/>
              </w:rPr>
            </w:pPr>
            <w:r>
              <w:rPr>
                <w:rFonts w:ascii="Arial" w:hAnsi="Arial" w:cs="Arial"/>
                <w:sz w:val="20"/>
              </w:rPr>
              <w:t>Baza filtra WWW pogrupowana w minimum 65 kategorii tematycznych. Administrator musi mieć możliwość nadpisywania kategorii oraz tworzenia wyjątków i reguł omijania filtra WWW.</w:t>
            </w:r>
          </w:p>
          <w:p>
            <w:pPr>
              <w:numPr>
                <w:ilvl w:val="0"/>
                <w:numId w:val="23"/>
              </w:numPr>
              <w:ind w:hanging="357"/>
              <w:jc w:val="both"/>
              <w:rPr>
                <w:rFonts w:ascii="Arial" w:hAnsi="Arial" w:cs="Arial"/>
                <w:sz w:val="20"/>
              </w:rPr>
            </w:pPr>
            <w:r>
              <w:rPr>
                <w:rFonts w:ascii="Arial" w:hAnsi="Arial" w:cs="Arial"/>
                <w:sz w:val="20"/>
              </w:rPr>
              <w:t>Automatyczne ściąganie sygnatur ataków, aplikacji, szczepionek antywirusowych oraz ciągły dostęp do globalnej bazy zasilającej filtr URL.</w:t>
            </w:r>
          </w:p>
          <w:p>
            <w:pPr>
              <w:numPr>
                <w:ilvl w:val="0"/>
                <w:numId w:val="23"/>
              </w:numPr>
              <w:ind w:hanging="357"/>
              <w:jc w:val="both"/>
              <w:rPr>
                <w:rFonts w:ascii="Arial" w:hAnsi="Arial" w:cs="Arial"/>
                <w:sz w:val="20"/>
              </w:rPr>
            </w:pPr>
            <w:r>
              <w:rPr>
                <w:rFonts w:ascii="Arial" w:hAnsi="Arial" w:cs="Arial"/>
                <w:sz w:val="20"/>
              </w:rPr>
              <w:t>System zabezpieczeń musi umożliwiać wykonywanie uwierzytelniania tożsamości użytkowników za pomocą nie mniej niż:</w:t>
            </w:r>
          </w:p>
          <w:p>
            <w:pPr>
              <w:numPr>
                <w:ilvl w:val="1"/>
                <w:numId w:val="23"/>
              </w:numPr>
              <w:ind w:left="1134" w:hanging="357"/>
              <w:jc w:val="both"/>
              <w:rPr>
                <w:rFonts w:ascii="Arial" w:hAnsi="Arial" w:cs="Arial"/>
                <w:sz w:val="20"/>
              </w:rPr>
            </w:pPr>
            <w:r>
              <w:rPr>
                <w:rFonts w:ascii="Arial" w:hAnsi="Arial" w:cs="Arial"/>
                <w:sz w:val="20"/>
              </w:rPr>
              <w:t>Haseł statycznych i definicji użytkowników przechowywanych w lokalnej bazie systemu</w:t>
            </w:r>
          </w:p>
          <w:p>
            <w:pPr>
              <w:numPr>
                <w:ilvl w:val="1"/>
                <w:numId w:val="23"/>
              </w:numPr>
              <w:ind w:left="1134"/>
              <w:jc w:val="both"/>
              <w:rPr>
                <w:rFonts w:ascii="Arial" w:hAnsi="Arial" w:cs="Arial"/>
                <w:sz w:val="20"/>
              </w:rPr>
            </w:pPr>
            <w:r>
              <w:rPr>
                <w:rFonts w:ascii="Arial" w:hAnsi="Arial" w:cs="Arial"/>
                <w:sz w:val="20"/>
              </w:rPr>
              <w:t>Haseł statycznych i definicji użytkowników przechowywanych w bazach zgodnych z LDAP</w:t>
            </w:r>
          </w:p>
          <w:p>
            <w:pPr>
              <w:numPr>
                <w:ilvl w:val="1"/>
                <w:numId w:val="23"/>
              </w:numPr>
              <w:ind w:left="1134"/>
              <w:jc w:val="both"/>
              <w:rPr>
                <w:rFonts w:ascii="Arial" w:hAnsi="Arial" w:cs="Arial"/>
                <w:sz w:val="20"/>
              </w:rPr>
            </w:pPr>
            <w:r>
              <w:rPr>
                <w:rFonts w:ascii="Arial" w:hAnsi="Arial" w:cs="Arial"/>
                <w:sz w:val="20"/>
              </w:rPr>
              <w:t xml:space="preserve">Haseł dynamicznych (RADIUS) w oparciu o zewnętrzne bazy danych </w:t>
            </w:r>
          </w:p>
          <w:p>
            <w:pPr>
              <w:numPr>
                <w:ilvl w:val="1"/>
                <w:numId w:val="23"/>
              </w:numPr>
              <w:ind w:left="1134"/>
              <w:jc w:val="both"/>
              <w:rPr>
                <w:rFonts w:ascii="Arial" w:hAnsi="Arial" w:cs="Arial"/>
                <w:sz w:val="20"/>
              </w:rPr>
            </w:pPr>
            <w:r>
              <w:rPr>
                <w:rFonts w:ascii="Arial" w:hAnsi="Arial" w:cs="Arial"/>
                <w:sz w:val="20"/>
              </w:rPr>
              <w:t>Rozwiązanie musi umożliwiać budowę architektury uwierzytelniania typu Single Sign On w środowisku Active Directory bez konieczności instalowania jakiegokolwiek oprogramowania na kontrolerze domeny</w:t>
            </w:r>
          </w:p>
          <w:p>
            <w:pPr>
              <w:numPr>
                <w:ilvl w:val="0"/>
                <w:numId w:val="23"/>
              </w:numPr>
              <w:jc w:val="both"/>
              <w:rPr>
                <w:rFonts w:ascii="Arial" w:hAnsi="Arial" w:cs="Arial"/>
                <w:sz w:val="20"/>
              </w:rPr>
            </w:pPr>
            <w:r>
              <w:rPr>
                <w:rFonts w:ascii="Arial" w:hAnsi="Arial" w:cs="Arial"/>
                <w:sz w:val="20"/>
              </w:rPr>
              <w:t>W zakresie realizowanych funkcjonalności systemu raportowania i przeglądania logów, wymagane jest nie mniej niż:</w:t>
            </w:r>
          </w:p>
          <w:p>
            <w:pPr>
              <w:pStyle w:val="14"/>
              <w:numPr>
                <w:ilvl w:val="1"/>
                <w:numId w:val="23"/>
              </w:numPr>
              <w:ind w:left="1134"/>
              <w:contextualSpacing/>
              <w:jc w:val="both"/>
              <w:rPr>
                <w:rFonts w:ascii="Arial" w:hAnsi="Arial" w:cs="Arial"/>
                <w:sz w:val="20"/>
                <w:szCs w:val="20"/>
              </w:rPr>
            </w:pPr>
            <w:r>
              <w:rPr>
                <w:rFonts w:ascii="Arial" w:hAnsi="Arial" w:cs="Arial"/>
                <w:sz w:val="20"/>
                <w:szCs w:val="20"/>
              </w:rPr>
              <w:t>Posiadanie predefiniowanych raportów dla ruchu WWW, modułu IPS, skanera antywirusowego i antyspamowego</w:t>
            </w:r>
          </w:p>
          <w:p>
            <w:pPr>
              <w:pStyle w:val="14"/>
              <w:numPr>
                <w:ilvl w:val="1"/>
                <w:numId w:val="23"/>
              </w:numPr>
              <w:ind w:left="1134"/>
              <w:contextualSpacing/>
              <w:jc w:val="both"/>
              <w:rPr>
                <w:rFonts w:ascii="Arial" w:hAnsi="Arial" w:cs="Arial"/>
                <w:sz w:val="20"/>
                <w:szCs w:val="20"/>
              </w:rPr>
            </w:pPr>
            <w:r>
              <w:rPr>
                <w:rFonts w:ascii="Arial" w:hAnsi="Arial" w:cs="Arial"/>
                <w:sz w:val="20"/>
                <w:szCs w:val="20"/>
              </w:rPr>
              <w:t>Generowanie co najmniej 25 różnych typów raportów</w:t>
            </w:r>
          </w:p>
          <w:p>
            <w:pPr>
              <w:pStyle w:val="14"/>
              <w:numPr>
                <w:ilvl w:val="0"/>
                <w:numId w:val="23"/>
              </w:numPr>
              <w:contextualSpacing/>
              <w:jc w:val="both"/>
              <w:rPr>
                <w:rFonts w:ascii="Arial" w:hAnsi="Arial" w:cs="Arial"/>
                <w:sz w:val="20"/>
                <w:szCs w:val="20"/>
              </w:rPr>
            </w:pPr>
            <w:r>
              <w:rPr>
                <w:rFonts w:ascii="Arial" w:hAnsi="Arial" w:cs="Arial"/>
                <w:sz w:val="20"/>
                <w:szCs w:val="20"/>
              </w:rPr>
              <w:t>System raportowania i przeglądania logów wbudowany w system bezpieczeństwa nie może wymagać dodatkowej licencji do swojego działania</w:t>
            </w:r>
          </w:p>
          <w:p>
            <w:pPr>
              <w:pStyle w:val="14"/>
              <w:numPr>
                <w:ilvl w:val="0"/>
                <w:numId w:val="23"/>
              </w:numPr>
              <w:contextualSpacing/>
              <w:jc w:val="both"/>
              <w:rPr>
                <w:rFonts w:ascii="Arial" w:hAnsi="Arial" w:cs="Arial"/>
                <w:sz w:val="20"/>
                <w:szCs w:val="20"/>
              </w:rPr>
            </w:pPr>
            <w:r>
              <w:rPr>
                <w:rFonts w:ascii="Arial" w:hAnsi="Arial" w:cs="Arial"/>
                <w:sz w:val="20"/>
                <w:szCs w:val="20"/>
              </w:rPr>
              <w:t>System bezpieczeństwa musi posiadać moduł wykrywania typu oprogramowania sieciowego, które jest uruchomione na stacjach roboczych w obrębie chronionej sieci i komunikuje się z siecią Internet. W przypadku, kiedy system nie posiada wbudowanego modułu wykrywania typu oprogramowania sieciowego musi być dostarczony zewnętrzny system w postaci dedykowanej, odpowiednio zabezpieczonej platformy sprzętowej lub programowej. Moduł ma nie tylko wykrywać uruchomione oprogramowanie sieciowe, ale również wykrywać i informować o lukach i podatnościach występujących w wykrytym oprogramowaniu przykładowo poprzez opis wskazanej podatności lub oznaczenie ryzyka związanego z działaniem aplikacji za pomocą skali lub kolorów</w:t>
            </w:r>
          </w:p>
          <w:p>
            <w:pPr>
              <w:numPr>
                <w:ilvl w:val="0"/>
                <w:numId w:val="23"/>
              </w:numPr>
              <w:jc w:val="both"/>
              <w:rPr>
                <w:rFonts w:ascii="Arial" w:hAnsi="Arial" w:cs="Arial"/>
                <w:sz w:val="20"/>
              </w:rPr>
            </w:pPr>
            <w:r>
              <w:rPr>
                <w:rFonts w:ascii="Arial" w:hAnsi="Arial" w:cs="Arial"/>
                <w:sz w:val="20"/>
              </w:rPr>
              <w:t xml:space="preserve">Urządzenie musi: </w:t>
            </w:r>
          </w:p>
          <w:p>
            <w:pPr>
              <w:ind w:left="720" w:firstLine="720"/>
              <w:jc w:val="both"/>
              <w:rPr>
                <w:rFonts w:ascii="Arial" w:hAnsi="Arial" w:cs="Arial"/>
                <w:sz w:val="20"/>
                <w:lang w:val="en-US"/>
              </w:rPr>
            </w:pPr>
            <w:r>
              <w:rPr>
                <w:rFonts w:ascii="Arial" w:hAnsi="Arial" w:cs="Arial"/>
                <w:sz w:val="20"/>
                <w:lang w:val="en-US"/>
              </w:rPr>
              <w:t>-posiadać certyfikat Common Criteria EAL4+</w:t>
            </w:r>
          </w:p>
          <w:p>
            <w:pPr>
              <w:ind w:left="720" w:firstLine="720"/>
              <w:jc w:val="both"/>
              <w:rPr>
                <w:rFonts w:ascii="Arial" w:hAnsi="Arial" w:cs="Arial"/>
                <w:sz w:val="20"/>
              </w:rPr>
            </w:pPr>
            <w:r>
              <w:rPr>
                <w:rFonts w:ascii="Arial" w:hAnsi="Arial" w:cs="Arial"/>
                <w:sz w:val="20"/>
              </w:rPr>
              <w:t>-posiadać certyfikat ICSA Labs dla funkcji: VPN IPSec lub znajdować się na liście produktów kryptograficznych zatwierdzonych przez Radę UE</w:t>
            </w:r>
          </w:p>
          <w:p>
            <w:pPr>
              <w:numPr>
                <w:ilvl w:val="0"/>
                <w:numId w:val="23"/>
              </w:numPr>
              <w:jc w:val="both"/>
              <w:rPr>
                <w:rFonts w:ascii="Arial" w:hAnsi="Arial" w:cs="Arial"/>
                <w:szCs w:val="22"/>
              </w:rPr>
            </w:pPr>
            <w:r>
              <w:rPr>
                <w:rFonts w:ascii="Arial" w:hAnsi="Arial" w:cs="Arial"/>
                <w:sz w:val="20"/>
              </w:rPr>
              <w:t>Elementy systemu muszą mieć możliwość zarządzania lokalnego (HTTPS, SSH) jak i współpracować z dedykowanymi platformami do centralnego zarządzania i monitorowania. Komunikacja systemów zabezpieczeń z platformami zarządzania musi być realizowana z wykorzystaniem szyfrowanych protokołów.</w:t>
            </w:r>
          </w:p>
        </w:tc>
      </w:tr>
    </w:tbl>
    <w:p/>
    <w:p/>
    <w:p/>
    <w:p>
      <w:pPr>
        <w:tabs>
          <w:tab w:val="left" w:pos="1978"/>
          <w:tab w:val="left" w:pos="3828"/>
          <w:tab w:val="center" w:pos="4677"/>
        </w:tabs>
        <w:jc w:val="both"/>
        <w:textAlignment w:val="baseline"/>
      </w:pPr>
    </w:p>
    <w:sectPr>
      <w:pgSz w:w="11906" w:h="16838"/>
      <w:pgMar w:top="568" w:right="993" w:bottom="1135"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Narrow">
    <w:panose1 w:val="020B0606020202030204"/>
    <w:charset w:val="EE"/>
    <w:family w:val="swiss"/>
    <w:pitch w:val="default"/>
    <w:sig w:usb0="00000287" w:usb1="00000800" w:usb2="00000000" w:usb3="00000000" w:csb0="2000009F" w:csb1="DFD70000"/>
  </w:font>
  <w:font w:name="Arial">
    <w:panose1 w:val="020B0604020202020204"/>
    <w:charset w:val="EE"/>
    <w:family w:val="swiss"/>
    <w:pitch w:val="default"/>
    <w:sig w:usb0="E0002EFF" w:usb1="C000785B" w:usb2="00000009" w:usb3="00000000" w:csb0="400001FF" w:csb1="FFFF0000"/>
  </w:font>
  <w:font w:name="MS Outlook">
    <w:panose1 w:val="05010100010000000000"/>
    <w:charset w:val="02"/>
    <w:family w:val="auto"/>
    <w:pitch w:val="default"/>
    <w:sig w:usb0="00000000" w:usb1="00000000" w:usb2="00000000" w:usb3="00000000" w:csb0="80000000"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00006FF" w:usb1="4000205B" w:usb2="00000010" w:usb3="00000000" w:csb0="2000019F"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rinda">
    <w:altName w:val="Calibri"/>
    <w:panose1 w:val="000004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A3968"/>
    <w:multiLevelType w:val="singleLevel"/>
    <w:tmpl w:val="8D0A3968"/>
    <w:lvl w:ilvl="0" w:tentative="0">
      <w:start w:val="1"/>
      <w:numFmt w:val="decimal"/>
      <w:suff w:val="space"/>
      <w:lvlText w:val="%1."/>
      <w:lvlJc w:val="left"/>
    </w:lvl>
  </w:abstractNum>
  <w:abstractNum w:abstractNumId="1">
    <w:nsid w:val="9E6CC032"/>
    <w:multiLevelType w:val="multilevel"/>
    <w:tmpl w:val="9E6CC032"/>
    <w:lvl w:ilvl="0" w:tentative="0">
      <w:start w:val="1"/>
      <w:numFmt w:val="decimal"/>
      <w:lvlText w:val="%1."/>
      <w:lvlJc w:val="left"/>
      <w:pPr>
        <w:tabs>
          <w:tab w:val="left" w:pos="1080"/>
        </w:tabs>
        <w:ind w:left="1080" w:hanging="1080"/>
      </w:pPr>
      <w:rPr>
        <w:rFonts w:hint="default"/>
      </w:rPr>
    </w:lvl>
    <w:lvl w:ilvl="1" w:tentative="0">
      <w:start w:val="1"/>
      <w:numFmt w:val="decimal"/>
      <w:lvlText w:val="%2."/>
      <w:lvlJc w:val="left"/>
      <w:pPr>
        <w:tabs>
          <w:tab w:val="left" w:pos="1440"/>
        </w:tabs>
        <w:ind w:left="1440" w:hanging="360"/>
      </w:pPr>
    </w:lvl>
    <w:lvl w:ilvl="2" w:tentative="0">
      <w:start w:val="512"/>
      <w:numFmt w:val="bullet"/>
      <w:lvlText w:val="-"/>
      <w:lvlJc w:val="left"/>
      <w:pPr>
        <w:tabs>
          <w:tab w:val="left" w:pos="2340"/>
        </w:tabs>
        <w:ind w:left="2340" w:hanging="360"/>
      </w:pPr>
      <w:rPr>
        <w:rFonts w:hint="default" w:ascii="Tahoma" w:hAnsi="Tahoma" w:eastAsia="Times New Roman" w:cs="Tahom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BFE5AD43"/>
    <w:multiLevelType w:val="multilevel"/>
    <w:tmpl w:val="BFE5AD43"/>
    <w:lvl w:ilvl="0" w:tentative="0">
      <w:start w:val="1"/>
      <w:numFmt w:val="decimal"/>
      <w:lvlText w:val="%1."/>
      <w:lvlJc w:val="left"/>
      <w:pPr>
        <w:tabs>
          <w:tab w:val="left" w:pos="1080"/>
        </w:tabs>
        <w:ind w:left="1080" w:hanging="1080"/>
      </w:pPr>
      <w:rPr>
        <w:rFonts w:hint="default"/>
      </w:rPr>
    </w:lvl>
    <w:lvl w:ilvl="1" w:tentative="0">
      <w:start w:val="1"/>
      <w:numFmt w:val="decimal"/>
      <w:lvlText w:val="%2."/>
      <w:lvlJc w:val="left"/>
      <w:pPr>
        <w:tabs>
          <w:tab w:val="left" w:pos="1440"/>
        </w:tabs>
        <w:ind w:left="1440" w:hanging="360"/>
      </w:pPr>
    </w:lvl>
    <w:lvl w:ilvl="2" w:tentative="0">
      <w:start w:val="512"/>
      <w:numFmt w:val="bullet"/>
      <w:lvlText w:val="-"/>
      <w:lvlJc w:val="left"/>
      <w:pPr>
        <w:tabs>
          <w:tab w:val="left" w:pos="2340"/>
        </w:tabs>
        <w:ind w:left="2340" w:hanging="360"/>
      </w:pPr>
      <w:rPr>
        <w:rFonts w:hint="default" w:ascii="Tahoma" w:hAnsi="Tahoma" w:eastAsia="Times New Roman" w:cs="Tahom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CBCE1072"/>
    <w:multiLevelType w:val="singleLevel"/>
    <w:tmpl w:val="CBCE1072"/>
    <w:lvl w:ilvl="0" w:tentative="0">
      <w:start w:val="4"/>
      <w:numFmt w:val="decimal"/>
      <w:suff w:val="space"/>
      <w:lvlText w:val="%1."/>
      <w:lvlJc w:val="left"/>
    </w:lvl>
  </w:abstractNum>
  <w:abstractNum w:abstractNumId="4">
    <w:nsid w:val="079D302C"/>
    <w:multiLevelType w:val="multilevel"/>
    <w:tmpl w:val="079D30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2EB6591"/>
    <w:multiLevelType w:val="multilevel"/>
    <w:tmpl w:val="12EB65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39F457A"/>
    <w:multiLevelType w:val="multilevel"/>
    <w:tmpl w:val="239F457A"/>
    <w:lvl w:ilvl="0" w:tentative="0">
      <w:start w:val="0"/>
      <w:numFmt w:val="bullet"/>
      <w:lvlText w:val="-"/>
      <w:lvlJc w:val="left"/>
      <w:pPr>
        <w:ind w:left="720" w:hanging="360"/>
      </w:pPr>
      <w:rPr>
        <w:rFonts w:hint="default" w:ascii="Calibri" w:hAnsi="Calibri" w:eastAsia="MS Mincho"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4D56782"/>
    <w:multiLevelType w:val="multilevel"/>
    <w:tmpl w:val="44D567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97B493E"/>
    <w:multiLevelType w:val="multilevel"/>
    <w:tmpl w:val="497B493E"/>
    <w:lvl w:ilvl="0" w:tentative="0">
      <w:start w:val="1"/>
      <w:numFmt w:val="bullet"/>
      <w:lvlText w:val="­"/>
      <w:lvlJc w:val="left"/>
      <w:pPr>
        <w:ind w:left="720" w:hanging="360"/>
      </w:pPr>
      <w:rPr>
        <w:rFonts w:hint="default" w:ascii="Vrinda" w:hAnsi="Vrinda"/>
        <w:color w:val="auto"/>
      </w:rPr>
    </w:lvl>
    <w:lvl w:ilvl="1" w:tentative="0">
      <w:start w:val="0"/>
      <w:numFmt w:val="bullet"/>
      <w:lvlText w:val="-"/>
      <w:lvlJc w:val="left"/>
      <w:pPr>
        <w:ind w:left="1440" w:hanging="360"/>
      </w:pPr>
      <w:rPr>
        <w:rFonts w:hint="default" w:ascii="Calibri" w:hAnsi="Calibri" w:eastAsia="MS Mincho" w:cs="Calibr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DD24997"/>
    <w:multiLevelType w:val="multilevel"/>
    <w:tmpl w:val="4DD24997"/>
    <w:lvl w:ilvl="0" w:tentative="0">
      <w:start w:val="0"/>
      <w:numFmt w:val="bullet"/>
      <w:lvlText w:val="-"/>
      <w:lvlJc w:val="left"/>
      <w:pPr>
        <w:ind w:left="720" w:hanging="360"/>
      </w:pPr>
      <w:rPr>
        <w:rFonts w:hint="default" w:ascii="Calibri" w:hAnsi="Calibri" w:eastAsia="MS Mincho" w:cs="Calibr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F0B1F9A"/>
    <w:multiLevelType w:val="multilevel"/>
    <w:tmpl w:val="4F0B1F9A"/>
    <w:lvl w:ilvl="0" w:tentative="0">
      <w:start w:val="1"/>
      <w:numFmt w:val="decimal"/>
      <w:lvlText w:val="%1."/>
      <w:lvlJc w:val="left"/>
      <w:pPr>
        <w:tabs>
          <w:tab w:val="left" w:pos="1080"/>
        </w:tabs>
        <w:ind w:left="1080" w:hanging="1080"/>
      </w:pPr>
      <w:rPr>
        <w:rFonts w:hint="default"/>
      </w:rPr>
    </w:lvl>
    <w:lvl w:ilvl="1" w:tentative="0">
      <w:start w:val="1"/>
      <w:numFmt w:val="decimal"/>
      <w:lvlText w:val="%2."/>
      <w:lvlJc w:val="left"/>
      <w:pPr>
        <w:tabs>
          <w:tab w:val="left" w:pos="1440"/>
        </w:tabs>
        <w:ind w:left="1440" w:hanging="360"/>
      </w:pPr>
    </w:lvl>
    <w:lvl w:ilvl="2" w:tentative="0">
      <w:start w:val="512"/>
      <w:numFmt w:val="bullet"/>
      <w:lvlText w:val="-"/>
      <w:lvlJc w:val="left"/>
      <w:pPr>
        <w:tabs>
          <w:tab w:val="left" w:pos="2340"/>
        </w:tabs>
        <w:ind w:left="2340" w:hanging="360"/>
      </w:pPr>
      <w:rPr>
        <w:rFonts w:hint="default" w:ascii="Tahoma" w:hAnsi="Tahoma" w:eastAsia="Times New Roman" w:cs="Tahom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FDF74C4"/>
    <w:multiLevelType w:val="multilevel"/>
    <w:tmpl w:val="4FDF74C4"/>
    <w:lvl w:ilvl="0" w:tentative="0">
      <w:start w:val="1"/>
      <w:numFmt w:val="bullet"/>
      <w:lvlText w:val="­"/>
      <w:lvlJc w:val="left"/>
      <w:pPr>
        <w:ind w:left="720" w:hanging="360"/>
      </w:pPr>
      <w:rPr>
        <w:rFonts w:hint="default" w:ascii="Vrinda" w:hAnsi="Vrin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09F2EB5"/>
    <w:multiLevelType w:val="multilevel"/>
    <w:tmpl w:val="509F2EB5"/>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color w:val="00B050"/>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13">
    <w:nsid w:val="51167988"/>
    <w:multiLevelType w:val="multilevel"/>
    <w:tmpl w:val="51167988"/>
    <w:lvl w:ilvl="0" w:tentative="0">
      <w:start w:val="1"/>
      <w:numFmt w:val="bullet"/>
      <w:lvlText w:val="­"/>
      <w:lvlJc w:val="left"/>
      <w:pPr>
        <w:ind w:left="720" w:hanging="360"/>
      </w:pPr>
      <w:rPr>
        <w:rFonts w:hint="default" w:ascii="Vrinda" w:hAnsi="Vrin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37916AC"/>
    <w:multiLevelType w:val="multilevel"/>
    <w:tmpl w:val="537916AC"/>
    <w:lvl w:ilvl="0" w:tentative="0">
      <w:start w:val="1"/>
      <w:numFmt w:val="bullet"/>
      <w:lvlText w:val="-"/>
      <w:lvlJc w:val="left"/>
      <w:pPr>
        <w:ind w:left="720" w:hanging="360"/>
      </w:pPr>
      <w:rPr>
        <w:rFonts w:hint="default" w:ascii="Vrinda" w:hAnsi="Vrinda"/>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4FF7DC9"/>
    <w:multiLevelType w:val="multilevel"/>
    <w:tmpl w:val="54FF7D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A5833F0"/>
    <w:multiLevelType w:val="multilevel"/>
    <w:tmpl w:val="5A5833F0"/>
    <w:lvl w:ilvl="0" w:tentative="0">
      <w:start w:val="1"/>
      <w:numFmt w:val="bullet"/>
      <w:lvlText w:val="­"/>
      <w:lvlJc w:val="left"/>
      <w:pPr>
        <w:ind w:left="720" w:hanging="360"/>
      </w:pPr>
      <w:rPr>
        <w:rFonts w:hint="default" w:ascii="Vrinda" w:hAnsi="Vrind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202234D"/>
    <w:multiLevelType w:val="multilevel"/>
    <w:tmpl w:val="6202234D"/>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18">
    <w:nsid w:val="65792AFD"/>
    <w:multiLevelType w:val="multilevel"/>
    <w:tmpl w:val="65792AFD"/>
    <w:lvl w:ilvl="0" w:tentative="0">
      <w:start w:val="0"/>
      <w:numFmt w:val="bullet"/>
      <w:lvlText w:val="-"/>
      <w:lvlJc w:val="left"/>
      <w:pPr>
        <w:ind w:left="720" w:hanging="360"/>
      </w:pPr>
      <w:rPr>
        <w:rFonts w:hint="default" w:ascii="Calibri" w:hAnsi="Calibri" w:eastAsia="MS Mincho" w:cs="Calibr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C3144DB"/>
    <w:multiLevelType w:val="multilevel"/>
    <w:tmpl w:val="6C3144DB"/>
    <w:lvl w:ilvl="0" w:tentative="0">
      <w:start w:val="1"/>
      <w:numFmt w:val="decimal"/>
      <w:lvlText w:val="%1."/>
      <w:lvlJc w:val="left"/>
      <w:pPr>
        <w:tabs>
          <w:tab w:val="left" w:pos="1080"/>
        </w:tabs>
        <w:ind w:left="1080" w:hanging="1080"/>
      </w:pPr>
      <w:rPr>
        <w:rFonts w:hint="default"/>
      </w:rPr>
    </w:lvl>
    <w:lvl w:ilvl="1" w:tentative="0">
      <w:start w:val="1"/>
      <w:numFmt w:val="decimal"/>
      <w:lvlText w:val="%2."/>
      <w:lvlJc w:val="left"/>
      <w:pPr>
        <w:tabs>
          <w:tab w:val="left" w:pos="1440"/>
        </w:tabs>
        <w:ind w:left="1440" w:hanging="360"/>
      </w:pPr>
    </w:lvl>
    <w:lvl w:ilvl="2" w:tentative="0">
      <w:start w:val="512"/>
      <w:numFmt w:val="bullet"/>
      <w:lvlText w:val="-"/>
      <w:lvlJc w:val="left"/>
      <w:pPr>
        <w:tabs>
          <w:tab w:val="left" w:pos="2340"/>
        </w:tabs>
        <w:ind w:left="2340" w:hanging="360"/>
      </w:pPr>
      <w:rPr>
        <w:rFonts w:hint="default" w:ascii="Tahoma" w:hAnsi="Tahoma" w:eastAsia="Times New Roman" w:cs="Tahoma"/>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6C35005C"/>
    <w:multiLevelType w:val="multilevel"/>
    <w:tmpl w:val="6C35005C"/>
    <w:lvl w:ilvl="0" w:tentative="0">
      <w:start w:val="0"/>
      <w:numFmt w:val="bullet"/>
      <w:lvlText w:val="-"/>
      <w:lvlJc w:val="left"/>
      <w:pPr>
        <w:ind w:left="720" w:hanging="360"/>
      </w:pPr>
      <w:rPr>
        <w:rFonts w:hint="default" w:ascii="Calibri" w:hAnsi="Calibri" w:eastAsia="MS Mincho"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0AF4552"/>
    <w:multiLevelType w:val="multilevel"/>
    <w:tmpl w:val="70AF4552"/>
    <w:lvl w:ilvl="0" w:tentative="0">
      <w:start w:val="0"/>
      <w:numFmt w:val="bullet"/>
      <w:lvlText w:val="-"/>
      <w:lvlJc w:val="left"/>
      <w:pPr>
        <w:ind w:left="720" w:hanging="360"/>
      </w:pPr>
      <w:rPr>
        <w:rFonts w:hint="default" w:ascii="Calibri" w:hAnsi="Calibri" w:eastAsia="MS Mincho"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5E51848"/>
    <w:multiLevelType w:val="multilevel"/>
    <w:tmpl w:val="75E518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0"/>
  </w:num>
  <w:num w:numId="3">
    <w:abstractNumId w:val="12"/>
  </w:num>
  <w:num w:numId="4">
    <w:abstractNumId w:val="2"/>
  </w:num>
  <w:num w:numId="5">
    <w:abstractNumId w:val="11"/>
  </w:num>
  <w:num w:numId="6">
    <w:abstractNumId w:val="8"/>
  </w:num>
  <w:num w:numId="7">
    <w:abstractNumId w:val="14"/>
  </w:num>
  <w:num w:numId="8">
    <w:abstractNumId w:val="13"/>
  </w:num>
  <w:num w:numId="9">
    <w:abstractNumId w:val="18"/>
  </w:num>
  <w:num w:numId="10">
    <w:abstractNumId w:val="9"/>
  </w:num>
  <w:num w:numId="11">
    <w:abstractNumId w:val="6"/>
  </w:num>
  <w:num w:numId="12">
    <w:abstractNumId w:val="20"/>
  </w:num>
  <w:num w:numId="13">
    <w:abstractNumId w:val="16"/>
  </w:num>
  <w:num w:numId="14">
    <w:abstractNumId w:val="22"/>
  </w:num>
  <w:num w:numId="15">
    <w:abstractNumId w:val="21"/>
  </w:num>
  <w:num w:numId="16">
    <w:abstractNumId w:val="7"/>
  </w:num>
  <w:num w:numId="17">
    <w:abstractNumId w:val="4"/>
  </w:num>
  <w:num w:numId="18">
    <w:abstractNumId w:val="5"/>
  </w:num>
  <w:num w:numId="19">
    <w:abstractNumId w:val="1"/>
  </w:num>
  <w:num w:numId="20">
    <w:abstractNumId w:val="17"/>
  </w:num>
  <w:num w:numId="21">
    <w:abstractNumId w:val="3"/>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0A"/>
    <w:rsid w:val="00001262"/>
    <w:rsid w:val="000079BC"/>
    <w:rsid w:val="00015719"/>
    <w:rsid w:val="00020521"/>
    <w:rsid w:val="00022236"/>
    <w:rsid w:val="000265E0"/>
    <w:rsid w:val="00026B2D"/>
    <w:rsid w:val="00026C90"/>
    <w:rsid w:val="000274C5"/>
    <w:rsid w:val="00030B26"/>
    <w:rsid w:val="00033803"/>
    <w:rsid w:val="0003444B"/>
    <w:rsid w:val="00035FAE"/>
    <w:rsid w:val="000443C6"/>
    <w:rsid w:val="00051834"/>
    <w:rsid w:val="00061F11"/>
    <w:rsid w:val="000662FE"/>
    <w:rsid w:val="00071918"/>
    <w:rsid w:val="00071E2F"/>
    <w:rsid w:val="00075364"/>
    <w:rsid w:val="00082B5A"/>
    <w:rsid w:val="00082C03"/>
    <w:rsid w:val="000913AC"/>
    <w:rsid w:val="00097C50"/>
    <w:rsid w:val="000A544C"/>
    <w:rsid w:val="000B4DF9"/>
    <w:rsid w:val="000C6C24"/>
    <w:rsid w:val="000D0251"/>
    <w:rsid w:val="000D6E7B"/>
    <w:rsid w:val="000E2374"/>
    <w:rsid w:val="000F5665"/>
    <w:rsid w:val="000F5888"/>
    <w:rsid w:val="000F7020"/>
    <w:rsid w:val="0010046B"/>
    <w:rsid w:val="00111063"/>
    <w:rsid w:val="001112C0"/>
    <w:rsid w:val="00127E05"/>
    <w:rsid w:val="0013174D"/>
    <w:rsid w:val="00131DBF"/>
    <w:rsid w:val="00140404"/>
    <w:rsid w:val="0014395A"/>
    <w:rsid w:val="00152E04"/>
    <w:rsid w:val="00157D3B"/>
    <w:rsid w:val="00162FEB"/>
    <w:rsid w:val="00171250"/>
    <w:rsid w:val="00176E74"/>
    <w:rsid w:val="00180D2B"/>
    <w:rsid w:val="001814A6"/>
    <w:rsid w:val="00181B73"/>
    <w:rsid w:val="0018418E"/>
    <w:rsid w:val="00184520"/>
    <w:rsid w:val="00184703"/>
    <w:rsid w:val="00187968"/>
    <w:rsid w:val="00196A0F"/>
    <w:rsid w:val="001A304F"/>
    <w:rsid w:val="001A6A4B"/>
    <w:rsid w:val="001C1681"/>
    <w:rsid w:val="001D1E93"/>
    <w:rsid w:val="001E3989"/>
    <w:rsid w:val="001E49FF"/>
    <w:rsid w:val="001E6C72"/>
    <w:rsid w:val="001F0987"/>
    <w:rsid w:val="001F10C4"/>
    <w:rsid w:val="001F4440"/>
    <w:rsid w:val="001F45C7"/>
    <w:rsid w:val="00203194"/>
    <w:rsid w:val="00203543"/>
    <w:rsid w:val="0020562D"/>
    <w:rsid w:val="00207105"/>
    <w:rsid w:val="00214573"/>
    <w:rsid w:val="00215AFF"/>
    <w:rsid w:val="002255B6"/>
    <w:rsid w:val="00235A0C"/>
    <w:rsid w:val="00236B87"/>
    <w:rsid w:val="0024310D"/>
    <w:rsid w:val="002512C3"/>
    <w:rsid w:val="00255845"/>
    <w:rsid w:val="00256F8E"/>
    <w:rsid w:val="00261410"/>
    <w:rsid w:val="00261CB8"/>
    <w:rsid w:val="002635AC"/>
    <w:rsid w:val="0027018C"/>
    <w:rsid w:val="00273D11"/>
    <w:rsid w:val="0027626F"/>
    <w:rsid w:val="00276348"/>
    <w:rsid w:val="00285867"/>
    <w:rsid w:val="002900EC"/>
    <w:rsid w:val="002954CC"/>
    <w:rsid w:val="002A5679"/>
    <w:rsid w:val="002B6C46"/>
    <w:rsid w:val="002B6DAB"/>
    <w:rsid w:val="002B7D66"/>
    <w:rsid w:val="002C55BA"/>
    <w:rsid w:val="002D5D3D"/>
    <w:rsid w:val="002E2324"/>
    <w:rsid w:val="002E23B0"/>
    <w:rsid w:val="002E77B5"/>
    <w:rsid w:val="002F11A4"/>
    <w:rsid w:val="002F1DA2"/>
    <w:rsid w:val="003015EE"/>
    <w:rsid w:val="00303233"/>
    <w:rsid w:val="00311604"/>
    <w:rsid w:val="00312E8A"/>
    <w:rsid w:val="00315EBE"/>
    <w:rsid w:val="00320947"/>
    <w:rsid w:val="00331D6C"/>
    <w:rsid w:val="00332AA8"/>
    <w:rsid w:val="00332F54"/>
    <w:rsid w:val="00350517"/>
    <w:rsid w:val="003535A7"/>
    <w:rsid w:val="0036037F"/>
    <w:rsid w:val="00372278"/>
    <w:rsid w:val="00387F9D"/>
    <w:rsid w:val="00392861"/>
    <w:rsid w:val="003A4446"/>
    <w:rsid w:val="003C0945"/>
    <w:rsid w:val="003C372D"/>
    <w:rsid w:val="003D17C6"/>
    <w:rsid w:val="003D5D3D"/>
    <w:rsid w:val="003F2DC4"/>
    <w:rsid w:val="003F33DB"/>
    <w:rsid w:val="003F54BA"/>
    <w:rsid w:val="00403E82"/>
    <w:rsid w:val="00413BD7"/>
    <w:rsid w:val="004313DE"/>
    <w:rsid w:val="00432798"/>
    <w:rsid w:val="00433AE8"/>
    <w:rsid w:val="00436F1D"/>
    <w:rsid w:val="004407A8"/>
    <w:rsid w:val="00444E41"/>
    <w:rsid w:val="004523D0"/>
    <w:rsid w:val="004535F6"/>
    <w:rsid w:val="00456C6E"/>
    <w:rsid w:val="004613B9"/>
    <w:rsid w:val="00461B14"/>
    <w:rsid w:val="00463508"/>
    <w:rsid w:val="004642E1"/>
    <w:rsid w:val="00467D4C"/>
    <w:rsid w:val="004801C9"/>
    <w:rsid w:val="004829DC"/>
    <w:rsid w:val="004842E9"/>
    <w:rsid w:val="004A4057"/>
    <w:rsid w:val="004A528B"/>
    <w:rsid w:val="004A6188"/>
    <w:rsid w:val="004B5619"/>
    <w:rsid w:val="004C1917"/>
    <w:rsid w:val="004D643A"/>
    <w:rsid w:val="004E015D"/>
    <w:rsid w:val="004F072C"/>
    <w:rsid w:val="004F0F81"/>
    <w:rsid w:val="004F2F3B"/>
    <w:rsid w:val="004F4E73"/>
    <w:rsid w:val="004F5689"/>
    <w:rsid w:val="004F609F"/>
    <w:rsid w:val="00500E8A"/>
    <w:rsid w:val="00502431"/>
    <w:rsid w:val="0050403C"/>
    <w:rsid w:val="00514B32"/>
    <w:rsid w:val="005266B0"/>
    <w:rsid w:val="00526803"/>
    <w:rsid w:val="00526F5C"/>
    <w:rsid w:val="00530FB8"/>
    <w:rsid w:val="00534A39"/>
    <w:rsid w:val="00544086"/>
    <w:rsid w:val="00544123"/>
    <w:rsid w:val="005607C1"/>
    <w:rsid w:val="00570C6F"/>
    <w:rsid w:val="00573E5C"/>
    <w:rsid w:val="00583A98"/>
    <w:rsid w:val="00586ABF"/>
    <w:rsid w:val="0058776E"/>
    <w:rsid w:val="005B25C9"/>
    <w:rsid w:val="005D2FC2"/>
    <w:rsid w:val="005D4BA5"/>
    <w:rsid w:val="005E181D"/>
    <w:rsid w:val="005E4B91"/>
    <w:rsid w:val="005E75DF"/>
    <w:rsid w:val="005F0E38"/>
    <w:rsid w:val="005F45E9"/>
    <w:rsid w:val="006003AB"/>
    <w:rsid w:val="00604FE1"/>
    <w:rsid w:val="00622114"/>
    <w:rsid w:val="006223E9"/>
    <w:rsid w:val="00627876"/>
    <w:rsid w:val="00633F37"/>
    <w:rsid w:val="006363BE"/>
    <w:rsid w:val="00641C47"/>
    <w:rsid w:val="00651F6B"/>
    <w:rsid w:val="00654823"/>
    <w:rsid w:val="00656D0A"/>
    <w:rsid w:val="00661D38"/>
    <w:rsid w:val="00663204"/>
    <w:rsid w:val="00670C09"/>
    <w:rsid w:val="00674901"/>
    <w:rsid w:val="006755B1"/>
    <w:rsid w:val="006759C9"/>
    <w:rsid w:val="00680245"/>
    <w:rsid w:val="00681F13"/>
    <w:rsid w:val="00682151"/>
    <w:rsid w:val="00692C33"/>
    <w:rsid w:val="006973C3"/>
    <w:rsid w:val="006A392C"/>
    <w:rsid w:val="006A3F77"/>
    <w:rsid w:val="006A5832"/>
    <w:rsid w:val="006B115D"/>
    <w:rsid w:val="006B2EBC"/>
    <w:rsid w:val="006B49B2"/>
    <w:rsid w:val="006C1796"/>
    <w:rsid w:val="006C2F62"/>
    <w:rsid w:val="006C53A4"/>
    <w:rsid w:val="006C5CA9"/>
    <w:rsid w:val="006E33BE"/>
    <w:rsid w:val="006E5DE2"/>
    <w:rsid w:val="006F55D8"/>
    <w:rsid w:val="006F790B"/>
    <w:rsid w:val="0070311B"/>
    <w:rsid w:val="0070632F"/>
    <w:rsid w:val="00711A8B"/>
    <w:rsid w:val="00717E36"/>
    <w:rsid w:val="00726EA8"/>
    <w:rsid w:val="007313D1"/>
    <w:rsid w:val="007353BF"/>
    <w:rsid w:val="00745171"/>
    <w:rsid w:val="00746260"/>
    <w:rsid w:val="00753BA0"/>
    <w:rsid w:val="00760F48"/>
    <w:rsid w:val="007708B7"/>
    <w:rsid w:val="007716EA"/>
    <w:rsid w:val="00781534"/>
    <w:rsid w:val="00781D24"/>
    <w:rsid w:val="00790B00"/>
    <w:rsid w:val="007A3556"/>
    <w:rsid w:val="007A4A16"/>
    <w:rsid w:val="007A4CD2"/>
    <w:rsid w:val="007B2BF5"/>
    <w:rsid w:val="007B3889"/>
    <w:rsid w:val="007D7BE4"/>
    <w:rsid w:val="007E1D8D"/>
    <w:rsid w:val="007E1EAD"/>
    <w:rsid w:val="007F67E1"/>
    <w:rsid w:val="00802EBB"/>
    <w:rsid w:val="00806918"/>
    <w:rsid w:val="008261E1"/>
    <w:rsid w:val="008306E0"/>
    <w:rsid w:val="008348B6"/>
    <w:rsid w:val="00834B14"/>
    <w:rsid w:val="00834F0B"/>
    <w:rsid w:val="008374D9"/>
    <w:rsid w:val="008462D3"/>
    <w:rsid w:val="00852019"/>
    <w:rsid w:val="00861192"/>
    <w:rsid w:val="008655D6"/>
    <w:rsid w:val="008726CD"/>
    <w:rsid w:val="00875AEA"/>
    <w:rsid w:val="00891A92"/>
    <w:rsid w:val="008A018E"/>
    <w:rsid w:val="008A5A24"/>
    <w:rsid w:val="008B0778"/>
    <w:rsid w:val="008B0A39"/>
    <w:rsid w:val="008B0F8E"/>
    <w:rsid w:val="008C26FB"/>
    <w:rsid w:val="008C390C"/>
    <w:rsid w:val="008C63F5"/>
    <w:rsid w:val="008E113E"/>
    <w:rsid w:val="008F0C24"/>
    <w:rsid w:val="008F129F"/>
    <w:rsid w:val="008F24C6"/>
    <w:rsid w:val="008F73F5"/>
    <w:rsid w:val="009012BF"/>
    <w:rsid w:val="00904E8E"/>
    <w:rsid w:val="00905F74"/>
    <w:rsid w:val="009068B9"/>
    <w:rsid w:val="009078DC"/>
    <w:rsid w:val="00916E61"/>
    <w:rsid w:val="00917668"/>
    <w:rsid w:val="00917C5F"/>
    <w:rsid w:val="00925016"/>
    <w:rsid w:val="00926984"/>
    <w:rsid w:val="00926EAE"/>
    <w:rsid w:val="00931A59"/>
    <w:rsid w:val="00933818"/>
    <w:rsid w:val="0093657A"/>
    <w:rsid w:val="009366AE"/>
    <w:rsid w:val="009401D5"/>
    <w:rsid w:val="00940F9F"/>
    <w:rsid w:val="009439B0"/>
    <w:rsid w:val="00944BA0"/>
    <w:rsid w:val="00947429"/>
    <w:rsid w:val="009603E6"/>
    <w:rsid w:val="009628A1"/>
    <w:rsid w:val="0096370B"/>
    <w:rsid w:val="0097578F"/>
    <w:rsid w:val="0097709C"/>
    <w:rsid w:val="00977810"/>
    <w:rsid w:val="009919E0"/>
    <w:rsid w:val="00992D7F"/>
    <w:rsid w:val="00992E5D"/>
    <w:rsid w:val="009946AF"/>
    <w:rsid w:val="00995C30"/>
    <w:rsid w:val="009A7A22"/>
    <w:rsid w:val="009B35AE"/>
    <w:rsid w:val="009B3F52"/>
    <w:rsid w:val="009B4332"/>
    <w:rsid w:val="009B65DA"/>
    <w:rsid w:val="009C173C"/>
    <w:rsid w:val="009D2FD7"/>
    <w:rsid w:val="009E0216"/>
    <w:rsid w:val="009E5A30"/>
    <w:rsid w:val="009F750A"/>
    <w:rsid w:val="00A0391B"/>
    <w:rsid w:val="00A04208"/>
    <w:rsid w:val="00A07FFA"/>
    <w:rsid w:val="00A11B7B"/>
    <w:rsid w:val="00A222B5"/>
    <w:rsid w:val="00A32090"/>
    <w:rsid w:val="00A36574"/>
    <w:rsid w:val="00A44018"/>
    <w:rsid w:val="00A440A7"/>
    <w:rsid w:val="00A47898"/>
    <w:rsid w:val="00A53291"/>
    <w:rsid w:val="00A60DF3"/>
    <w:rsid w:val="00A623ED"/>
    <w:rsid w:val="00A62E12"/>
    <w:rsid w:val="00A63199"/>
    <w:rsid w:val="00A66FCD"/>
    <w:rsid w:val="00A715A0"/>
    <w:rsid w:val="00A8595D"/>
    <w:rsid w:val="00A85DDE"/>
    <w:rsid w:val="00A9464F"/>
    <w:rsid w:val="00A97D45"/>
    <w:rsid w:val="00AA0067"/>
    <w:rsid w:val="00AA2599"/>
    <w:rsid w:val="00AA2B77"/>
    <w:rsid w:val="00AA4312"/>
    <w:rsid w:val="00AA71A1"/>
    <w:rsid w:val="00AA7E5D"/>
    <w:rsid w:val="00AC071E"/>
    <w:rsid w:val="00AC6C69"/>
    <w:rsid w:val="00AD008D"/>
    <w:rsid w:val="00B03902"/>
    <w:rsid w:val="00B05F46"/>
    <w:rsid w:val="00B169F5"/>
    <w:rsid w:val="00B20F7B"/>
    <w:rsid w:val="00B21B08"/>
    <w:rsid w:val="00B3212D"/>
    <w:rsid w:val="00B3453A"/>
    <w:rsid w:val="00B44F37"/>
    <w:rsid w:val="00B52A04"/>
    <w:rsid w:val="00B5525F"/>
    <w:rsid w:val="00B60244"/>
    <w:rsid w:val="00B81E36"/>
    <w:rsid w:val="00B83310"/>
    <w:rsid w:val="00B95D51"/>
    <w:rsid w:val="00B96B64"/>
    <w:rsid w:val="00BA0CD5"/>
    <w:rsid w:val="00BA18E8"/>
    <w:rsid w:val="00BA1F37"/>
    <w:rsid w:val="00BB36FE"/>
    <w:rsid w:val="00BB70D4"/>
    <w:rsid w:val="00BB7439"/>
    <w:rsid w:val="00BC1BB5"/>
    <w:rsid w:val="00BC5BB2"/>
    <w:rsid w:val="00BD6550"/>
    <w:rsid w:val="00BD7B32"/>
    <w:rsid w:val="00C01C35"/>
    <w:rsid w:val="00C02441"/>
    <w:rsid w:val="00C061C1"/>
    <w:rsid w:val="00C076B4"/>
    <w:rsid w:val="00C1225D"/>
    <w:rsid w:val="00C12A20"/>
    <w:rsid w:val="00C13EB1"/>
    <w:rsid w:val="00C21AC8"/>
    <w:rsid w:val="00C36227"/>
    <w:rsid w:val="00C376AD"/>
    <w:rsid w:val="00C43B7F"/>
    <w:rsid w:val="00C465F7"/>
    <w:rsid w:val="00C52FC5"/>
    <w:rsid w:val="00C54003"/>
    <w:rsid w:val="00C72762"/>
    <w:rsid w:val="00C75DC3"/>
    <w:rsid w:val="00C81CE3"/>
    <w:rsid w:val="00C836FC"/>
    <w:rsid w:val="00C93A34"/>
    <w:rsid w:val="00CA0C4F"/>
    <w:rsid w:val="00CB454E"/>
    <w:rsid w:val="00CB79C3"/>
    <w:rsid w:val="00CC09AE"/>
    <w:rsid w:val="00CC6AA3"/>
    <w:rsid w:val="00CD298E"/>
    <w:rsid w:val="00CE5362"/>
    <w:rsid w:val="00CF0CC1"/>
    <w:rsid w:val="00CF65B9"/>
    <w:rsid w:val="00CF74B0"/>
    <w:rsid w:val="00D01D9A"/>
    <w:rsid w:val="00D0284B"/>
    <w:rsid w:val="00D22E4E"/>
    <w:rsid w:val="00D250CE"/>
    <w:rsid w:val="00D3186E"/>
    <w:rsid w:val="00D3657D"/>
    <w:rsid w:val="00D41495"/>
    <w:rsid w:val="00D42669"/>
    <w:rsid w:val="00D4383A"/>
    <w:rsid w:val="00D44749"/>
    <w:rsid w:val="00D54D5A"/>
    <w:rsid w:val="00D5610D"/>
    <w:rsid w:val="00D57B5D"/>
    <w:rsid w:val="00D65CDC"/>
    <w:rsid w:val="00D72427"/>
    <w:rsid w:val="00D91E34"/>
    <w:rsid w:val="00D931FA"/>
    <w:rsid w:val="00D94F00"/>
    <w:rsid w:val="00D9702D"/>
    <w:rsid w:val="00DA6774"/>
    <w:rsid w:val="00DB6E0C"/>
    <w:rsid w:val="00DC4357"/>
    <w:rsid w:val="00DE2CBF"/>
    <w:rsid w:val="00DE6251"/>
    <w:rsid w:val="00DF1FAE"/>
    <w:rsid w:val="00DF53B6"/>
    <w:rsid w:val="00DF6206"/>
    <w:rsid w:val="00E1436A"/>
    <w:rsid w:val="00E22EC4"/>
    <w:rsid w:val="00E36EF7"/>
    <w:rsid w:val="00E40558"/>
    <w:rsid w:val="00E4641C"/>
    <w:rsid w:val="00E644F9"/>
    <w:rsid w:val="00E72D1C"/>
    <w:rsid w:val="00E74586"/>
    <w:rsid w:val="00E77D3A"/>
    <w:rsid w:val="00E839EE"/>
    <w:rsid w:val="00E83C72"/>
    <w:rsid w:val="00E83D5A"/>
    <w:rsid w:val="00E85E17"/>
    <w:rsid w:val="00E92F5A"/>
    <w:rsid w:val="00E9707B"/>
    <w:rsid w:val="00EB0068"/>
    <w:rsid w:val="00EC39C1"/>
    <w:rsid w:val="00ED5991"/>
    <w:rsid w:val="00EE1761"/>
    <w:rsid w:val="00EE3BE3"/>
    <w:rsid w:val="00EE5902"/>
    <w:rsid w:val="00EE7323"/>
    <w:rsid w:val="00EE7C7B"/>
    <w:rsid w:val="00EF42E3"/>
    <w:rsid w:val="00F050E0"/>
    <w:rsid w:val="00F05127"/>
    <w:rsid w:val="00F17DAE"/>
    <w:rsid w:val="00F30D7A"/>
    <w:rsid w:val="00F321DF"/>
    <w:rsid w:val="00F35549"/>
    <w:rsid w:val="00F465B6"/>
    <w:rsid w:val="00F47C83"/>
    <w:rsid w:val="00F511E1"/>
    <w:rsid w:val="00F7598A"/>
    <w:rsid w:val="00F81254"/>
    <w:rsid w:val="00F81DA3"/>
    <w:rsid w:val="00F82E25"/>
    <w:rsid w:val="00F853AF"/>
    <w:rsid w:val="00F85D0B"/>
    <w:rsid w:val="00F86B77"/>
    <w:rsid w:val="00F9266C"/>
    <w:rsid w:val="00F94050"/>
    <w:rsid w:val="00F94EBC"/>
    <w:rsid w:val="00F95A7B"/>
    <w:rsid w:val="00FA1AD5"/>
    <w:rsid w:val="00FA5BAA"/>
    <w:rsid w:val="00FA7305"/>
    <w:rsid w:val="00FB1071"/>
    <w:rsid w:val="00FB1839"/>
    <w:rsid w:val="00FB6317"/>
    <w:rsid w:val="00FC0EF6"/>
    <w:rsid w:val="00FC140D"/>
    <w:rsid w:val="00FD0F81"/>
    <w:rsid w:val="00FE1FF3"/>
    <w:rsid w:val="00FE26B7"/>
    <w:rsid w:val="00FF13C8"/>
    <w:rsid w:val="13FD400A"/>
    <w:rsid w:val="22C56A0D"/>
    <w:rsid w:val="39C24280"/>
    <w:rsid w:val="61A82B40"/>
    <w:rsid w:val="69B2160C"/>
    <w:rsid w:val="7E0F56A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Narrow" w:hAnsi="Arial Narrow" w:eastAsia="Times New Roman" w:cs="Times New Roman"/>
      <w:sz w:val="22"/>
      <w:szCs w:val="20"/>
      <w:lang w:val="pl-PL" w:eastAsia="pl-P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5"/>
    <w:unhideWhenUsed/>
    <w:qFormat/>
    <w:uiPriority w:val="99"/>
    <w:pPr>
      <w:spacing w:after="200"/>
    </w:pPr>
    <w:rPr>
      <w:rFonts w:asciiTheme="minorHAnsi" w:hAnsiTheme="minorHAnsi" w:eastAsiaTheme="minorHAnsi" w:cstheme="minorBidi"/>
      <w:sz w:val="20"/>
      <w:lang w:val="de-DE" w:eastAsia="en-US"/>
    </w:rPr>
  </w:style>
  <w:style w:type="paragraph" w:styleId="7">
    <w:name w:val="annotation subject"/>
    <w:basedOn w:val="6"/>
    <w:next w:val="6"/>
    <w:link w:val="17"/>
    <w:semiHidden/>
    <w:unhideWhenUsed/>
    <w:qFormat/>
    <w:uiPriority w:val="99"/>
    <w:pPr>
      <w:spacing w:after="0"/>
    </w:pPr>
    <w:rPr>
      <w:rFonts w:ascii="Arial Narrow" w:hAnsi="Arial Narrow" w:eastAsia="Times New Roman" w:cs="Times New Roman"/>
      <w:b/>
      <w:bCs/>
      <w:lang w:val="pl-PL" w:eastAsia="pl-PL"/>
    </w:rPr>
  </w:style>
  <w:style w:type="character" w:styleId="8">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9">
    <w:name w:val="footer"/>
    <w:basedOn w:val="1"/>
    <w:link w:val="19"/>
    <w:unhideWhenUsed/>
    <w:qFormat/>
    <w:uiPriority w:val="99"/>
    <w:pPr>
      <w:tabs>
        <w:tab w:val="center" w:pos="4680"/>
        <w:tab w:val="right" w:pos="9360"/>
      </w:tabs>
    </w:pPr>
  </w:style>
  <w:style w:type="paragraph" w:styleId="10">
    <w:name w:val="header"/>
    <w:basedOn w:val="1"/>
    <w:link w:val="18"/>
    <w:unhideWhenUsed/>
    <w:qFormat/>
    <w:uiPriority w:val="99"/>
    <w:pPr>
      <w:tabs>
        <w:tab w:val="center" w:pos="4680"/>
        <w:tab w:val="right" w:pos="9360"/>
      </w:tabs>
    </w:pPr>
  </w:style>
  <w:style w:type="character" w:styleId="11">
    <w:name w:val="Hyperlink"/>
    <w:basedOn w:val="2"/>
    <w:unhideWhenUsed/>
    <w:qFormat/>
    <w:uiPriority w:val="99"/>
    <w:rPr>
      <w:color w:val="0000FF" w:themeColor="hyperlink"/>
      <w:u w:val="single"/>
      <w14:textFill>
        <w14:solidFill>
          <w14:schemeClr w14:val="hlink"/>
        </w14:solidFill>
      </w14:textFill>
    </w:rPr>
  </w:style>
  <w:style w:type="paragraph" w:styleId="12">
    <w:name w:val="Normal (Web)"/>
    <w:basedOn w:val="1"/>
    <w:semiHidden/>
    <w:unhideWhenUsed/>
    <w:qFormat/>
    <w:uiPriority w:val="99"/>
    <w:pPr>
      <w:spacing w:before="100" w:beforeAutospacing="1" w:after="100" w:afterAutospacing="1"/>
    </w:pPr>
    <w:rPr>
      <w:rFonts w:ascii="Times New Roman" w:hAnsi="Times New Roman" w:eastAsiaTheme="minorHAnsi"/>
      <w:sz w:val="24"/>
      <w:szCs w:val="24"/>
    </w:rPr>
  </w:style>
  <w:style w:type="paragraph" w:customStyle="1" w:styleId="13">
    <w:name w:val="Tabela pozycja"/>
    <w:basedOn w:val="1"/>
    <w:qFormat/>
    <w:uiPriority w:val="0"/>
    <w:rPr>
      <w:rFonts w:ascii="Arial" w:hAnsi="Arial" w:eastAsia="MS Outlook"/>
    </w:rPr>
  </w:style>
  <w:style w:type="paragraph" w:styleId="14">
    <w:name w:val="List Paragraph"/>
    <w:basedOn w:val="1"/>
    <w:link w:val="21"/>
    <w:qFormat/>
    <w:uiPriority w:val="34"/>
    <w:pPr>
      <w:ind w:left="720"/>
    </w:pPr>
    <w:rPr>
      <w:rFonts w:ascii="Calibri" w:hAnsi="Calibri"/>
      <w:szCs w:val="22"/>
      <w:lang w:eastAsia="en-US"/>
    </w:rPr>
  </w:style>
  <w:style w:type="character" w:customStyle="1" w:styleId="15">
    <w:name w:val="Tekst komentarza Znak"/>
    <w:basedOn w:val="2"/>
    <w:link w:val="6"/>
    <w:qFormat/>
    <w:uiPriority w:val="99"/>
    <w:rPr>
      <w:sz w:val="20"/>
      <w:szCs w:val="20"/>
    </w:rPr>
  </w:style>
  <w:style w:type="character" w:customStyle="1" w:styleId="16">
    <w:name w:val="Tekst dymka Znak"/>
    <w:basedOn w:val="2"/>
    <w:link w:val="4"/>
    <w:semiHidden/>
    <w:qFormat/>
    <w:uiPriority w:val="99"/>
    <w:rPr>
      <w:rFonts w:ascii="Tahoma" w:hAnsi="Tahoma" w:eastAsia="Times New Roman" w:cs="Tahoma"/>
      <w:sz w:val="16"/>
      <w:szCs w:val="16"/>
      <w:lang w:val="pl-PL" w:eastAsia="pl-PL"/>
    </w:rPr>
  </w:style>
  <w:style w:type="character" w:customStyle="1" w:styleId="17">
    <w:name w:val="Temat komentarza Znak"/>
    <w:basedOn w:val="15"/>
    <w:link w:val="7"/>
    <w:semiHidden/>
    <w:qFormat/>
    <w:uiPriority w:val="99"/>
    <w:rPr>
      <w:rFonts w:ascii="Arial Narrow" w:hAnsi="Arial Narrow" w:eastAsia="Times New Roman" w:cs="Times New Roman"/>
      <w:b/>
      <w:bCs/>
      <w:sz w:val="20"/>
      <w:szCs w:val="20"/>
      <w:lang w:val="pl-PL" w:eastAsia="pl-PL"/>
    </w:rPr>
  </w:style>
  <w:style w:type="character" w:customStyle="1" w:styleId="18">
    <w:name w:val="Nagłówek Znak"/>
    <w:basedOn w:val="2"/>
    <w:link w:val="10"/>
    <w:qFormat/>
    <w:uiPriority w:val="99"/>
    <w:rPr>
      <w:rFonts w:ascii="Arial Narrow" w:hAnsi="Arial Narrow" w:eastAsia="Times New Roman" w:cs="Times New Roman"/>
      <w:szCs w:val="20"/>
      <w:lang w:val="pl-PL" w:eastAsia="pl-PL"/>
    </w:rPr>
  </w:style>
  <w:style w:type="character" w:customStyle="1" w:styleId="19">
    <w:name w:val="Stopka Znak"/>
    <w:basedOn w:val="2"/>
    <w:link w:val="9"/>
    <w:qFormat/>
    <w:uiPriority w:val="99"/>
    <w:rPr>
      <w:rFonts w:ascii="Arial Narrow" w:hAnsi="Arial Narrow" w:eastAsia="Times New Roman" w:cs="Times New Roman"/>
      <w:szCs w:val="20"/>
      <w:lang w:val="pl-PL" w:eastAsia="pl-PL"/>
    </w:rPr>
  </w:style>
  <w:style w:type="character" w:customStyle="1" w:styleId="20">
    <w:name w:val="Unresolved Mention"/>
    <w:basedOn w:val="2"/>
    <w:semiHidden/>
    <w:unhideWhenUsed/>
    <w:qFormat/>
    <w:uiPriority w:val="99"/>
    <w:rPr>
      <w:color w:val="605E5C"/>
      <w:shd w:val="clear" w:color="auto" w:fill="E1DFDD"/>
    </w:rPr>
  </w:style>
  <w:style w:type="character" w:customStyle="1" w:styleId="21">
    <w:name w:val="Akapit z listą Znak"/>
    <w:link w:val="14"/>
    <w:qFormat/>
    <w:locked/>
    <w:uiPriority w:val="34"/>
    <w:rPr>
      <w:rFonts w:ascii="Calibri" w:hAnsi="Calibri" w:eastAsia="Times New Roman" w:cs="Times New Roman"/>
      <w:lang w:val="pl-P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71330DDD4CDC4D94BF34DAFB5E4B20" ma:contentTypeVersion="10" ma:contentTypeDescription="Create a new document." ma:contentTypeScope="" ma:versionID="980c24e54a2639ee01023e5c00e9dcc2">
  <xsd:schema xmlns:xsd="http://www.w3.org/2001/XMLSchema" xmlns:xs="http://www.w3.org/2001/XMLSchema" xmlns:p="http://schemas.microsoft.com/office/2006/metadata/properties" xmlns:ns2="25b2b4e5-49eb-4b98-bb31-eaebd9ec213f" targetNamespace="http://schemas.microsoft.com/office/2006/metadata/properties" ma:root="true" ma:fieldsID="3caecce106b5d65151753c26a9f08ab1" ns2:_="">
    <xsd:import namespace="25b2b4e5-49eb-4b98-bb31-eaebd9ec2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b4e5-49eb-4b98-bb31-eaebd9ec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5737B-6832-4215-8134-C4D645906F61}">
  <ds:schemaRefs/>
</ds:datastoreItem>
</file>

<file path=customXml/itemProps2.xml><?xml version="1.0" encoding="utf-8"?>
<ds:datastoreItem xmlns:ds="http://schemas.openxmlformats.org/officeDocument/2006/customXml" ds:itemID="{4B322614-4E36-4B1A-A79B-1DA9C5375DFD}">
  <ds:schemaRefs/>
</ds:datastoreItem>
</file>

<file path=customXml/itemProps3.xml><?xml version="1.0" encoding="utf-8"?>
<ds:datastoreItem xmlns:ds="http://schemas.openxmlformats.org/officeDocument/2006/customXml" ds:itemID="{5AF862F5-49A0-4699-9FC0-75B308B18C38}">
  <ds:schemaRefs/>
</ds:datastoreItem>
</file>

<file path=customXml/itemProps4.xml><?xml version="1.0" encoding="utf-8"?>
<ds:datastoreItem xmlns:ds="http://schemas.openxmlformats.org/officeDocument/2006/customXml" ds:itemID="{4CF87F06-D2E4-48D3-BA6D-40DBB07FD35E}">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1988</Words>
  <Characters>11930</Characters>
  <Lines>99</Lines>
  <Paragraphs>27</Paragraphs>
  <TotalTime>3</TotalTime>
  <ScaleCrop>false</ScaleCrop>
  <LinksUpToDate>false</LinksUpToDate>
  <CharactersWithSpaces>13891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2022-11-21T10:49:00Z</dcterms:created>
  <dc:creator>Jacek Zimny</dc:creator>
  <cp:lastModifiedBy>norbe</cp:lastModifiedBy>
  <cp:lastPrinted>2022-11-18T08:54:00Z</cp:lastPrinted>
  <dcterms:modified xsi:type="dcterms:W3CDTF">2023-07-02T15:09:36Z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0x0101001771330DDD4CDC4D94BF34DAFB5E4B20</vt:lpwstr>
  </property>
  <property fmtid="{D5CDD505-2E9C-101B-9397-08002B2CF9AE}" pid="3" name="KSOProductBuildVer">
    <vt:lpwstr>1045-11.2.0.11486</vt:lpwstr>
  </property>
  <property fmtid="{D5CDD505-2E9C-101B-9397-08002B2CF9AE}" pid="4" name="ICV">
    <vt:lpwstr>B0F2C4FBCB754A64868FE47DC1E8E2D0</vt:lpwstr>
  </property>
</Properties>
</file>