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36E80" w14:textId="77777777" w:rsidR="002D38F2" w:rsidRDefault="002D38F2" w:rsidP="009676F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2313C5" w14:textId="75A35ADD" w:rsidR="00BE3CB9" w:rsidRDefault="004F5558" w:rsidP="009676F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L.2612.115</w:t>
      </w:r>
      <w:r w:rsidR="00381E7E">
        <w:rPr>
          <w:rFonts w:ascii="Times New Roman" w:eastAsia="Times New Roman" w:hAnsi="Times New Roman" w:cs="Times New Roman"/>
          <w:b/>
          <w:lang w:eastAsia="pl-PL"/>
        </w:rPr>
        <w:t>.6</w:t>
      </w:r>
      <w:r w:rsidR="00DC615E">
        <w:rPr>
          <w:rFonts w:ascii="Times New Roman" w:eastAsia="Times New Roman" w:hAnsi="Times New Roman" w:cs="Times New Roman"/>
          <w:b/>
          <w:lang w:eastAsia="pl-PL"/>
        </w:rPr>
        <w:t>/PN/2022</w:t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  <w:t xml:space="preserve">  </w:t>
      </w:r>
      <w:r w:rsidR="00F16F38">
        <w:rPr>
          <w:rFonts w:ascii="Times New Roman" w:eastAsia="Times New Roman" w:hAnsi="Times New Roman" w:cs="Times New Roman"/>
          <w:b/>
          <w:lang w:eastAsia="pl-PL"/>
        </w:rPr>
        <w:tab/>
      </w:r>
      <w:r w:rsidR="00F16F38">
        <w:rPr>
          <w:rFonts w:ascii="Times New Roman" w:eastAsia="Times New Roman" w:hAnsi="Times New Roman" w:cs="Times New Roman"/>
          <w:b/>
          <w:lang w:eastAsia="pl-PL"/>
        </w:rPr>
        <w:tab/>
      </w:r>
      <w:r w:rsidR="009D45C0">
        <w:rPr>
          <w:rFonts w:ascii="Times New Roman" w:eastAsia="Times New Roman" w:hAnsi="Times New Roman" w:cs="Times New Roman"/>
          <w:b/>
          <w:lang w:eastAsia="pl-PL"/>
        </w:rPr>
        <w:t xml:space="preserve">Warszawa, dnia </w:t>
      </w:r>
      <w:r w:rsidR="0078082C">
        <w:rPr>
          <w:rFonts w:ascii="Times New Roman" w:eastAsia="Times New Roman" w:hAnsi="Times New Roman" w:cs="Times New Roman"/>
          <w:b/>
          <w:lang w:eastAsia="pl-PL"/>
        </w:rPr>
        <w:t>01.04.2022r.</w:t>
      </w:r>
    </w:p>
    <w:p w14:paraId="4ABA3C5D" w14:textId="6C36C920" w:rsidR="00BE3CB9" w:rsidRDefault="00E63413" w:rsidP="00CB17A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L.Dz.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8082C">
        <w:rPr>
          <w:rFonts w:ascii="Times New Roman" w:eastAsia="Times New Roman" w:hAnsi="Times New Roman" w:cs="Times New Roman"/>
          <w:b/>
          <w:lang w:eastAsia="pl-PL"/>
        </w:rPr>
        <w:t>495</w:t>
      </w:r>
    </w:p>
    <w:p w14:paraId="5ECD2F2E" w14:textId="77777777" w:rsidR="002D38F2" w:rsidRDefault="002D38F2" w:rsidP="00CB17A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97E077" w14:textId="75E847F8" w:rsidR="00BE3CB9" w:rsidRDefault="000D4557" w:rsidP="00103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 w:rsidR="00E63413">
        <w:rPr>
          <w:rFonts w:ascii="Times New Roman" w:eastAsia="Times New Roman" w:hAnsi="Times New Roman" w:cs="Times New Roman"/>
          <w:b/>
          <w:lang w:eastAsia="pl-PL"/>
        </w:rPr>
        <w:t>Zamawiającego, dot.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037CC">
        <w:rPr>
          <w:rFonts w:ascii="Times New Roman" w:eastAsia="Times New Roman" w:hAnsi="Times New Roman" w:cs="Times New Roman"/>
          <w:b/>
          <w:lang w:eastAsia="pl-PL"/>
        </w:rPr>
        <w:br/>
      </w:r>
      <w:r w:rsidR="009D06E4">
        <w:rPr>
          <w:rFonts w:ascii="Times New Roman" w:eastAsia="Times New Roman" w:hAnsi="Times New Roman" w:cs="Times New Roman"/>
          <w:b/>
          <w:lang w:eastAsia="pl-PL"/>
        </w:rPr>
        <w:t xml:space="preserve">UNIEWAŻNIENIA </w:t>
      </w:r>
      <w:r w:rsidR="004F5558">
        <w:rPr>
          <w:rFonts w:ascii="Times New Roman" w:eastAsia="Times New Roman" w:hAnsi="Times New Roman" w:cs="Times New Roman"/>
          <w:b/>
          <w:lang w:eastAsia="pl-PL"/>
        </w:rPr>
        <w:t xml:space="preserve"> CZYNNOŚCI </w:t>
      </w:r>
      <w:r w:rsidR="009676FA">
        <w:rPr>
          <w:rFonts w:ascii="Times New Roman" w:eastAsia="Times New Roman" w:hAnsi="Times New Roman" w:cs="Times New Roman"/>
          <w:b/>
          <w:lang w:eastAsia="pl-PL"/>
        </w:rPr>
        <w:t>WYBOR</w:t>
      </w:r>
      <w:r w:rsidR="004F5558">
        <w:rPr>
          <w:rFonts w:ascii="Times New Roman" w:eastAsia="Times New Roman" w:hAnsi="Times New Roman" w:cs="Times New Roman"/>
          <w:b/>
          <w:lang w:eastAsia="pl-PL"/>
        </w:rPr>
        <w:t>U</w:t>
      </w:r>
      <w:r w:rsidR="009676FA">
        <w:rPr>
          <w:rFonts w:ascii="Times New Roman" w:eastAsia="Times New Roman" w:hAnsi="Times New Roman" w:cs="Times New Roman"/>
          <w:b/>
          <w:lang w:eastAsia="pl-PL"/>
        </w:rPr>
        <w:t xml:space="preserve"> NAJKORZYSTNIEJSZEJ OFERTY </w:t>
      </w:r>
      <w:r w:rsidR="00E63413">
        <w:rPr>
          <w:rFonts w:ascii="Times New Roman" w:eastAsia="Times New Roman" w:hAnsi="Times New Roman" w:cs="Times New Roman"/>
          <w:b/>
          <w:lang w:eastAsia="pl-PL"/>
        </w:rPr>
        <w:t>ORAZ UNIEWAŻNIENIA POSTĘPOWANIA</w:t>
      </w:r>
      <w:r w:rsidR="00F30240">
        <w:rPr>
          <w:rFonts w:ascii="Times New Roman" w:eastAsia="Times New Roman" w:hAnsi="Times New Roman" w:cs="Times New Roman"/>
          <w:b/>
          <w:lang w:eastAsia="pl-PL"/>
        </w:rPr>
        <w:br/>
      </w:r>
    </w:p>
    <w:p w14:paraId="5D8AE628" w14:textId="77777777" w:rsidR="00BE3CB9" w:rsidRPr="000177B7" w:rsidRDefault="000D4557" w:rsidP="00CB17A6">
      <w:pPr>
        <w:tabs>
          <w:tab w:val="left" w:pos="5673"/>
        </w:tabs>
        <w:spacing w:after="0" w:line="36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0177B7">
        <w:rPr>
          <w:rFonts w:ascii="Times New Roman" w:eastAsia="Times New Roman" w:hAnsi="Times New Roman" w:cs="Times New Roman"/>
          <w:sz w:val="6"/>
          <w:szCs w:val="6"/>
          <w:lang w:eastAsia="pl-PL"/>
        </w:rPr>
        <w:tab/>
      </w:r>
    </w:p>
    <w:p w14:paraId="34AC7DD3" w14:textId="77777777" w:rsidR="000177B7" w:rsidRDefault="000177B7" w:rsidP="00CB17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63DF2B" w14:textId="77777777" w:rsidR="00381E7E" w:rsidRPr="00381E7E" w:rsidRDefault="0067023F" w:rsidP="00381E7E">
      <w:pPr>
        <w:spacing w:line="360" w:lineRule="auto"/>
        <w:jc w:val="both"/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</w:pP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Dotyczy: postępowania o udzielenie zamówienia publicznego, prowadzonego w trybie podstawowym bez negocjacji, zgodnie z art. 275 pkt 1 ustawy z dnia 11 września 2019 r. Prawo zamówień publicznych (Dz. U. z 2021 r. poz. 1129</w:t>
      </w:r>
      <w:r w:rsidR="004F5558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, ze zm.</w:t>
      </w: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 xml:space="preserve">) zwanej dalej „Ustawą”, </w:t>
      </w:r>
      <w:r w:rsidR="00B87A54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br/>
      </w: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pn.:</w:t>
      </w:r>
      <w:r w:rsidR="00B87A54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 xml:space="preserve"> </w:t>
      </w:r>
      <w:r w:rsidR="00381E7E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 xml:space="preserve"> </w:t>
      </w:r>
      <w:r w:rsidR="00381E7E" w:rsidRPr="00381E7E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„Porządkowanie dokumentacji historycznej i bieżącej w Specjalistycznej Przychodni Lekarskiej dla Pracowników Wojska SPZOZ w Warszawie, ul. Nowowiejska 31, 00-911 Warszawa i jej Filiach”, nr sprawy: SPL/6/PN/2022.</w:t>
      </w:r>
    </w:p>
    <w:p w14:paraId="0A755475" w14:textId="77777777" w:rsidR="009676FA" w:rsidRDefault="0067023F" w:rsidP="009676FA">
      <w:pPr>
        <w:suppressAutoHyphens w:val="0"/>
        <w:spacing w:after="0" w:line="276" w:lineRule="auto"/>
        <w:jc w:val="both"/>
        <w:rPr>
          <w:rFonts w:ascii="Times New Roman" w:eastAsia="Source Sans Pro" w:hAnsi="Times New Roman" w:cs="Times New Roman"/>
          <w:b/>
          <w:bCs/>
          <w:iCs/>
          <w:color w:val="000000"/>
          <w:lang w:val="fr-FR"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235CC31" w14:textId="77777777" w:rsidR="00F71B6F" w:rsidRDefault="00F71B6F" w:rsidP="00F71B6F">
      <w:pPr>
        <w:suppressAutoHyphens w:val="0"/>
        <w:spacing w:after="0" w:line="276" w:lineRule="auto"/>
        <w:jc w:val="both"/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</w:pPr>
    </w:p>
    <w:p w14:paraId="74E75CC6" w14:textId="72933D6D" w:rsidR="004F5558" w:rsidRDefault="00E63413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CB17A6">
        <w:rPr>
          <w:rFonts w:ascii="Times New Roman" w:eastAsia="Times New Roman" w:hAnsi="Times New Roman" w:cs="Times New Roman"/>
          <w:lang w:eastAsia="pl-PL"/>
        </w:rPr>
        <w:t xml:space="preserve">, informuje, iż </w:t>
      </w:r>
      <w:r w:rsidR="004F5558">
        <w:rPr>
          <w:rFonts w:ascii="Times New Roman" w:eastAsia="Times New Roman" w:hAnsi="Times New Roman" w:cs="Times New Roman"/>
          <w:lang w:eastAsia="pl-PL"/>
        </w:rPr>
        <w:t xml:space="preserve">po weryfikacji przygotowania postępowania, zwłaszcza </w:t>
      </w:r>
      <w:r w:rsidR="0024167C">
        <w:rPr>
          <w:rFonts w:ascii="Times New Roman" w:eastAsia="Times New Roman" w:hAnsi="Times New Roman" w:cs="Times New Roman"/>
          <w:lang w:eastAsia="pl-PL"/>
        </w:rPr>
        <w:br/>
      </w:r>
      <w:r w:rsidR="004F5558">
        <w:rPr>
          <w:rFonts w:ascii="Times New Roman" w:eastAsia="Times New Roman" w:hAnsi="Times New Roman" w:cs="Times New Roman"/>
          <w:lang w:eastAsia="pl-PL"/>
        </w:rPr>
        <w:t xml:space="preserve">w zakresie czynności szacowania wartości zamówienia, stwierdza 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naruszenia, które </w:t>
      </w:r>
      <w:r>
        <w:rPr>
          <w:rFonts w:ascii="Times New Roman" w:eastAsia="Times New Roman" w:hAnsi="Times New Roman" w:cs="Times New Roman"/>
          <w:lang w:eastAsia="pl-PL"/>
        </w:rPr>
        <w:t>skutkują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unieważnieniem postępowania, na podstawie art. 255 pkt 5</w:t>
      </w:r>
      <w:r w:rsidR="0011218B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24167C">
        <w:rPr>
          <w:rFonts w:ascii="Times New Roman" w:eastAsia="Times New Roman" w:hAnsi="Times New Roman" w:cs="Times New Roman"/>
          <w:lang w:eastAsia="pl-PL"/>
        </w:rPr>
        <w:t>, cyt.: „…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wyst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pi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a istotna zmiana okoliczno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ś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ci powoduj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ca, 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e prowadzenie post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powania lub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wykonanie zam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wienia nie le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3E4206">
        <w:rPr>
          <w:rFonts w:ascii="Times New Roman" w:eastAsia="Times New Roman" w:hAnsi="Times New Roman" w:cs="Times New Roman"/>
          <w:lang w:eastAsia="pl-PL"/>
        </w:rPr>
        <w:t>y w 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interesie publicznym, czego nie mo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na by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o wcze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ś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niej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przewidzie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ć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;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...”, oraz </w:t>
      </w:r>
      <w:r w:rsidR="009D06E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24167C">
        <w:rPr>
          <w:rFonts w:ascii="Times New Roman" w:eastAsia="Times New Roman" w:hAnsi="Times New Roman" w:cs="Times New Roman"/>
          <w:lang w:eastAsia="pl-PL"/>
        </w:rPr>
        <w:t>art. 255 pkt 6  Ustawy, cyt.: „…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powanie obarczone jest niemo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liw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do usuni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cia wad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uniemo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liwiaj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zawarcie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niepodlegaj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cej uniewa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nieniu umowy w sprawie zam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wienia publicznego;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…” w zw. z art. 457 ust. 1 pkt 1 Ustawy, cyt.: „…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z naruszeniem ustawy udzieli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zam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wienia, zawar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umow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ramow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lub ustanowi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dynamiczny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system zakup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 bez uprzedniego zamieszczenia w Biuletynie Zam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wie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ń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 xml:space="preserve"> Publicznych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albo przekazania Urz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dowi Publikacji Unii Europejskiej og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oszenia wszczynaj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cego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powanie lub bez wymaganego og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oszenia zmieniaj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cego og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oszenie wszczynaj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ce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powanie, je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ż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eli zmiany mia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y znaczenie dla sporz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ą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dzenia wniosk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ó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w o dopuszczenie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do udzia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ł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u w post</w:t>
      </w:r>
      <w:r w:rsidR="0024167C" w:rsidRPr="0024167C">
        <w:rPr>
          <w:rFonts w:ascii="Times New Roman" w:eastAsia="Times New Roman" w:hAnsi="Times New Roman" w:cs="Times New Roman" w:hint="eastAsia"/>
          <w:lang w:eastAsia="pl-PL"/>
        </w:rPr>
        <w:t>ę</w:t>
      </w:r>
      <w:r w:rsidR="0024167C" w:rsidRPr="0024167C">
        <w:rPr>
          <w:rFonts w:ascii="Times New Roman" w:eastAsia="Times New Roman" w:hAnsi="Times New Roman" w:cs="Times New Roman"/>
          <w:lang w:eastAsia="pl-PL"/>
        </w:rPr>
        <w:t>powaniu albo ofert;</w:t>
      </w:r>
      <w:r w:rsidR="0024167C">
        <w:rPr>
          <w:rFonts w:ascii="Times New Roman" w:eastAsia="Times New Roman" w:hAnsi="Times New Roman" w:cs="Times New Roman"/>
          <w:lang w:eastAsia="pl-PL"/>
        </w:rPr>
        <w:t xml:space="preserve"> …”.</w:t>
      </w:r>
    </w:p>
    <w:p w14:paraId="6ADF0420" w14:textId="57F6F61B" w:rsidR="0024167C" w:rsidRDefault="0024167C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Uzasadnienie faktyczne: po dokonaniu ponownej weryfikacji dokumentacji, obejmującej etap przygotowania postępowania, </w:t>
      </w:r>
      <w:r w:rsidR="00E63413">
        <w:rPr>
          <w:rFonts w:ascii="Times New Roman" w:eastAsia="Times New Roman" w:hAnsi="Times New Roman" w:cs="Times New Roman"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63413">
        <w:rPr>
          <w:rFonts w:ascii="Times New Roman" w:eastAsia="Times New Roman" w:hAnsi="Times New Roman" w:cs="Times New Roman"/>
          <w:lang w:eastAsia="pl-PL"/>
        </w:rPr>
        <w:t>informuje</w:t>
      </w:r>
      <w:r>
        <w:rPr>
          <w:rFonts w:ascii="Times New Roman" w:eastAsia="Times New Roman" w:hAnsi="Times New Roman" w:cs="Times New Roman"/>
          <w:lang w:eastAsia="pl-PL"/>
        </w:rPr>
        <w:t xml:space="preserve">, iż wartość zamówienia nie została oszacowana </w:t>
      </w:r>
      <w:r>
        <w:rPr>
          <w:rFonts w:ascii="Times New Roman" w:eastAsia="Times New Roman" w:hAnsi="Times New Roman" w:cs="Times New Roman"/>
          <w:lang w:eastAsia="pl-PL"/>
        </w:rPr>
        <w:br/>
        <w:t>w sposób należyty,</w:t>
      </w:r>
      <w:r w:rsidR="00707AB9">
        <w:rPr>
          <w:rFonts w:ascii="Times New Roman" w:eastAsia="Times New Roman" w:hAnsi="Times New Roman" w:cs="Times New Roman"/>
          <w:lang w:eastAsia="pl-PL"/>
        </w:rPr>
        <w:t xml:space="preserve"> a </w:t>
      </w:r>
      <w:r w:rsidR="0011218B">
        <w:rPr>
          <w:rFonts w:ascii="Times New Roman" w:eastAsia="Times New Roman" w:hAnsi="Times New Roman" w:cs="Times New Roman"/>
          <w:lang w:eastAsia="pl-PL"/>
        </w:rPr>
        <w:t xml:space="preserve">w konsekwencji błędnie oszacowano zarówno ilość, jak i środki przeznaczone </w:t>
      </w:r>
      <w:r w:rsidR="000504C9">
        <w:rPr>
          <w:rFonts w:ascii="Times New Roman" w:eastAsia="Times New Roman" w:hAnsi="Times New Roman" w:cs="Times New Roman"/>
          <w:lang w:eastAsia="pl-PL"/>
        </w:rPr>
        <w:br/>
      </w:r>
      <w:r w:rsidR="00323327">
        <w:rPr>
          <w:rFonts w:ascii="Times New Roman" w:eastAsia="Times New Roman" w:hAnsi="Times New Roman" w:cs="Times New Roman"/>
          <w:lang w:eastAsia="pl-PL"/>
        </w:rPr>
        <w:t>na finansowanie zamówienia. B</w:t>
      </w:r>
      <w:r w:rsidR="0011218B">
        <w:rPr>
          <w:rFonts w:ascii="Times New Roman" w:eastAsia="Times New Roman" w:hAnsi="Times New Roman" w:cs="Times New Roman"/>
          <w:lang w:eastAsia="pl-PL"/>
        </w:rPr>
        <w:t xml:space="preserve">łędnie objęto nim </w:t>
      </w:r>
      <w:r w:rsidR="00707AB9">
        <w:rPr>
          <w:rFonts w:ascii="Times New Roman" w:eastAsia="Times New Roman" w:hAnsi="Times New Roman" w:cs="Times New Roman"/>
          <w:lang w:eastAsia="pl-PL"/>
        </w:rPr>
        <w:t>jedynie część zamówienia, która stanowiła przedmiot niniejszego postępowania</w:t>
      </w:r>
      <w:r w:rsidR="0011218B">
        <w:rPr>
          <w:rFonts w:ascii="Times New Roman" w:eastAsia="Times New Roman" w:hAnsi="Times New Roman" w:cs="Times New Roman"/>
          <w:lang w:eastAsia="pl-PL"/>
        </w:rPr>
        <w:t xml:space="preserve">, z przeznaczonym finansowaniem na dużo większą część zamówienia, </w:t>
      </w:r>
      <w:r w:rsidR="00214BC3">
        <w:rPr>
          <w:rFonts w:ascii="Times New Roman" w:eastAsia="Times New Roman" w:hAnsi="Times New Roman" w:cs="Times New Roman"/>
          <w:lang w:eastAsia="pl-PL"/>
        </w:rPr>
        <w:br/>
      </w:r>
      <w:r w:rsidR="0011218B">
        <w:rPr>
          <w:rFonts w:ascii="Times New Roman" w:eastAsia="Times New Roman" w:hAnsi="Times New Roman" w:cs="Times New Roman"/>
          <w:lang w:eastAsia="pl-PL"/>
        </w:rPr>
        <w:lastRenderedPageBreak/>
        <w:t>co doprowadziło do dostosowania</w:t>
      </w:r>
      <w:r w:rsidR="000504C9">
        <w:rPr>
          <w:rFonts w:ascii="Times New Roman" w:eastAsia="Times New Roman" w:hAnsi="Times New Roman" w:cs="Times New Roman"/>
          <w:lang w:eastAsia="pl-PL"/>
        </w:rPr>
        <w:t xml:space="preserve">, a tak naprawdę do zaniżenia ilości metrażu dokumentacji </w:t>
      </w:r>
      <w:r w:rsidR="00323327">
        <w:rPr>
          <w:rFonts w:ascii="Times New Roman" w:eastAsia="Times New Roman" w:hAnsi="Times New Roman" w:cs="Times New Roman"/>
          <w:lang w:eastAsia="pl-PL"/>
        </w:rPr>
        <w:br/>
      </w:r>
      <w:r w:rsidR="000504C9">
        <w:rPr>
          <w:rFonts w:ascii="Times New Roman" w:eastAsia="Times New Roman" w:hAnsi="Times New Roman" w:cs="Times New Roman"/>
          <w:lang w:eastAsia="pl-PL"/>
        </w:rPr>
        <w:t>do wysokości środków finansowych, zarezerwowanych w planie finansowym, co zostanie wykazane poniżej</w:t>
      </w:r>
      <w:r w:rsidR="00707AB9">
        <w:rPr>
          <w:rFonts w:ascii="Times New Roman" w:eastAsia="Times New Roman" w:hAnsi="Times New Roman" w:cs="Times New Roman"/>
          <w:lang w:eastAsia="pl-PL"/>
        </w:rPr>
        <w:t>.</w:t>
      </w:r>
      <w:r w:rsidR="000504C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AE248F" w14:textId="21560B7D" w:rsidR="00707AB9" w:rsidRDefault="00E63413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707AB9">
        <w:rPr>
          <w:rFonts w:ascii="Times New Roman" w:eastAsia="Times New Roman" w:hAnsi="Times New Roman" w:cs="Times New Roman"/>
          <w:lang w:eastAsia="pl-PL"/>
        </w:rPr>
        <w:t xml:space="preserve">, zbadawszy korespondencję pracownika, któremu pierwotnie zostało zlecone oszacowanie wartości zamówienia, zauważa, iż doszło do </w:t>
      </w:r>
      <w:r w:rsidR="000504C9">
        <w:rPr>
          <w:rFonts w:ascii="Times New Roman" w:eastAsia="Times New Roman" w:hAnsi="Times New Roman" w:cs="Times New Roman"/>
          <w:lang w:eastAsia="pl-PL"/>
        </w:rPr>
        <w:t>błędnej kalkulacji danych</w:t>
      </w:r>
      <w:r w:rsidR="00707AB9">
        <w:rPr>
          <w:rFonts w:ascii="Times New Roman" w:eastAsia="Times New Roman" w:hAnsi="Times New Roman" w:cs="Times New Roman"/>
          <w:lang w:eastAsia="pl-PL"/>
        </w:rPr>
        <w:t xml:space="preserve"> dot. ilości dokumentacji, wymagającej uporządkowania. Pierwotnie wartość zamówienia zostały obliczone dla szacunkowej, łącznej liczby dokumentacji w ilości 853,1 </w:t>
      </w:r>
      <w:proofErr w:type="spellStart"/>
      <w:r w:rsidR="00707AB9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07A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4955">
        <w:rPr>
          <w:rFonts w:ascii="Times New Roman" w:eastAsia="Times New Roman" w:hAnsi="Times New Roman" w:cs="Times New Roman"/>
          <w:lang w:eastAsia="pl-PL"/>
        </w:rPr>
        <w:t xml:space="preserve">dokumentacji kat. B oraz 50,7 </w:t>
      </w:r>
      <w:proofErr w:type="spellStart"/>
      <w:r w:rsidR="00CE4955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CE4955">
        <w:rPr>
          <w:rFonts w:ascii="Times New Roman" w:eastAsia="Times New Roman" w:hAnsi="Times New Roman" w:cs="Times New Roman"/>
          <w:lang w:eastAsia="pl-PL"/>
        </w:rPr>
        <w:t xml:space="preserve"> dokumentacji kat. A, ze wskazaniem</w:t>
      </w:r>
      <w:r w:rsidR="00323327">
        <w:rPr>
          <w:rFonts w:ascii="Times New Roman" w:eastAsia="Times New Roman" w:hAnsi="Times New Roman" w:cs="Times New Roman"/>
          <w:lang w:eastAsia="pl-PL"/>
        </w:rPr>
        <w:t>,</w:t>
      </w:r>
      <w:r w:rsidR="00CE4955">
        <w:rPr>
          <w:rFonts w:ascii="Times New Roman" w:eastAsia="Times New Roman" w:hAnsi="Times New Roman" w:cs="Times New Roman"/>
          <w:lang w:eastAsia="pl-PL"/>
        </w:rPr>
        <w:t xml:space="preserve"> iż wartość maksymalna wynosi 109 729,53 zł brutto. Wartość</w:t>
      </w:r>
      <w:r w:rsidR="0026360E">
        <w:rPr>
          <w:rFonts w:ascii="Times New Roman" w:eastAsia="Times New Roman" w:hAnsi="Times New Roman" w:cs="Times New Roman"/>
          <w:lang w:eastAsia="pl-PL"/>
        </w:rPr>
        <w:t xml:space="preserve"> została</w:t>
      </w:r>
      <w:r w:rsidR="00CE4955">
        <w:rPr>
          <w:rFonts w:ascii="Times New Roman" w:eastAsia="Times New Roman" w:hAnsi="Times New Roman" w:cs="Times New Roman"/>
          <w:lang w:eastAsia="pl-PL"/>
        </w:rPr>
        <w:t xml:space="preserve"> obliczona na podstawie ceny za jeden </w:t>
      </w:r>
      <w:proofErr w:type="spellStart"/>
      <w:r w:rsidR="00CE4955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CE4955">
        <w:rPr>
          <w:rFonts w:ascii="Times New Roman" w:eastAsia="Times New Roman" w:hAnsi="Times New Roman" w:cs="Times New Roman"/>
          <w:lang w:eastAsia="pl-PL"/>
        </w:rPr>
        <w:t xml:space="preserve"> w oparciu o cenniki internetowe.</w:t>
      </w:r>
      <w:r w:rsidR="00513120">
        <w:rPr>
          <w:rFonts w:ascii="Times New Roman" w:eastAsia="Times New Roman" w:hAnsi="Times New Roman" w:cs="Times New Roman"/>
          <w:lang w:eastAsia="pl-PL"/>
        </w:rPr>
        <w:t xml:space="preserve"> Podkreślić należy, iż ilość dokumentacji nie została ustalona w oparciu o realne dane, 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i </w:t>
      </w:r>
      <w:r w:rsidR="000504C9">
        <w:rPr>
          <w:rFonts w:ascii="Times New Roman" w:eastAsia="Times New Roman" w:hAnsi="Times New Roman" w:cs="Times New Roman"/>
          <w:lang w:eastAsia="pl-PL"/>
        </w:rPr>
        <w:t xml:space="preserve">były </w:t>
      </w:r>
      <w:r w:rsidR="00053D3F">
        <w:rPr>
          <w:rFonts w:ascii="Times New Roman" w:eastAsia="Times New Roman" w:hAnsi="Times New Roman" w:cs="Times New Roman"/>
          <w:lang w:eastAsia="pl-PL"/>
        </w:rPr>
        <w:t>to wielkości szacunkowe.</w:t>
      </w:r>
      <w:r w:rsidR="005131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BD28D7" w14:textId="25B03DE4" w:rsidR="00CE4955" w:rsidRDefault="00E63413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 momentu przekazania informacji dot. szacowania wartości zamówienia do momentu wszczęcia postępowania upłynęło ponad trzy miesiące, w związku z czym należało wartość szacunkową zaktualizować. W</w:t>
      </w:r>
      <w:r w:rsidR="00CE4955">
        <w:rPr>
          <w:rFonts w:ascii="Times New Roman" w:eastAsia="Times New Roman" w:hAnsi="Times New Roman" w:cs="Times New Roman"/>
          <w:lang w:eastAsia="pl-PL"/>
        </w:rPr>
        <w:t xml:space="preserve"> tabeli ustalenia wartości zamówienia, </w:t>
      </w:r>
      <w:r w:rsidR="00CE4955" w:rsidRPr="00752FC2">
        <w:rPr>
          <w:rFonts w:ascii="Times New Roman" w:eastAsia="Times New Roman" w:hAnsi="Times New Roman" w:cs="Times New Roman"/>
          <w:b/>
          <w:lang w:eastAsia="pl-PL"/>
        </w:rPr>
        <w:t>wskazane zostały ilości dokumentacji znacznie zaniżone, w stosunku do uprzednio wskazanych ilości,</w:t>
      </w:r>
      <w:r w:rsidR="00CE4955">
        <w:rPr>
          <w:rFonts w:ascii="Times New Roman" w:eastAsia="Times New Roman" w:hAnsi="Times New Roman" w:cs="Times New Roman"/>
          <w:lang w:eastAsia="pl-PL"/>
        </w:rPr>
        <w:t xml:space="preserve"> ze wskazaniem, </w:t>
      </w:r>
      <w:r w:rsidR="00752FC2">
        <w:rPr>
          <w:rFonts w:ascii="Times New Roman" w:eastAsia="Times New Roman" w:hAnsi="Times New Roman" w:cs="Times New Roman"/>
          <w:lang w:eastAsia="pl-PL"/>
        </w:rPr>
        <w:br/>
      </w:r>
      <w:r w:rsidR="00CE4955">
        <w:rPr>
          <w:rFonts w:ascii="Times New Roman" w:eastAsia="Times New Roman" w:hAnsi="Times New Roman" w:cs="Times New Roman"/>
          <w:lang w:eastAsia="pl-PL"/>
        </w:rPr>
        <w:t xml:space="preserve">iż szacunkowa wartość zamówienia netto wynosi 120 274,18 zł. Wartość </w:t>
      </w:r>
      <w:r>
        <w:rPr>
          <w:rFonts w:ascii="Times New Roman" w:eastAsia="Times New Roman" w:hAnsi="Times New Roman" w:cs="Times New Roman"/>
          <w:lang w:eastAsia="pl-PL"/>
        </w:rPr>
        <w:t xml:space="preserve">ta została </w:t>
      </w:r>
      <w:r w:rsidR="003E4206">
        <w:rPr>
          <w:rFonts w:ascii="Times New Roman" w:eastAsia="Times New Roman" w:hAnsi="Times New Roman" w:cs="Times New Roman"/>
          <w:lang w:eastAsia="pl-PL"/>
        </w:rPr>
        <w:t>wyliczona w </w:t>
      </w:r>
      <w:r w:rsidR="00CE4955">
        <w:rPr>
          <w:rFonts w:ascii="Times New Roman" w:eastAsia="Times New Roman" w:hAnsi="Times New Roman" w:cs="Times New Roman"/>
          <w:lang w:eastAsia="pl-PL"/>
        </w:rPr>
        <w:t>oparciu o oferty uzyskane od wykonawców w ramach rozezn</w:t>
      </w:r>
      <w:r w:rsidR="00752FC2">
        <w:rPr>
          <w:rFonts w:ascii="Times New Roman" w:eastAsia="Times New Roman" w:hAnsi="Times New Roman" w:cs="Times New Roman"/>
          <w:lang w:eastAsia="pl-PL"/>
        </w:rPr>
        <w:t xml:space="preserve">ania rynku, jak wynika z tabeli, dla 8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kat. A; 40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kat. B, 15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kat. BC, 27,17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</w:t>
      </w:r>
      <w:r w:rsidR="00323327">
        <w:rPr>
          <w:rFonts w:ascii="Times New Roman" w:eastAsia="Times New Roman" w:hAnsi="Times New Roman" w:cs="Times New Roman"/>
          <w:lang w:eastAsia="pl-PL"/>
        </w:rPr>
        <w:br/>
      </w:r>
      <w:r w:rsidR="00752FC2">
        <w:rPr>
          <w:rFonts w:ascii="Times New Roman" w:eastAsia="Times New Roman" w:hAnsi="Times New Roman" w:cs="Times New Roman"/>
          <w:lang w:eastAsia="pl-PL"/>
        </w:rPr>
        <w:t>„do zniszczenia”</w:t>
      </w:r>
      <w:r w:rsidR="00053D3F">
        <w:rPr>
          <w:rFonts w:ascii="Times New Roman" w:eastAsia="Times New Roman" w:hAnsi="Times New Roman" w:cs="Times New Roman"/>
          <w:lang w:eastAsia="pl-PL"/>
        </w:rPr>
        <w:t>, nie uwzględniająca kosztów materiałów</w:t>
      </w:r>
      <w:r w:rsidR="00752FC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2D47DFF" w14:textId="0FA8958C" w:rsidR="00616DFC" w:rsidRDefault="00CE4955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obecnego postępowania </w:t>
      </w:r>
      <w:r w:rsidR="00E63413">
        <w:rPr>
          <w:rFonts w:ascii="Times New Roman" w:eastAsia="Times New Roman" w:hAnsi="Times New Roman" w:cs="Times New Roman"/>
          <w:lang w:eastAsia="pl-PL"/>
        </w:rPr>
        <w:t xml:space="preserve">musiała </w:t>
      </w:r>
      <w:r>
        <w:rPr>
          <w:rFonts w:ascii="Times New Roman" w:eastAsia="Times New Roman" w:hAnsi="Times New Roman" w:cs="Times New Roman"/>
          <w:lang w:eastAsia="pl-PL"/>
        </w:rPr>
        <w:t xml:space="preserve">została oszacowana </w:t>
      </w:r>
      <w:r w:rsidR="00E63413">
        <w:rPr>
          <w:rFonts w:ascii="Times New Roman" w:eastAsia="Times New Roman" w:hAnsi="Times New Roman" w:cs="Times New Roman"/>
          <w:lang w:eastAsia="pl-PL"/>
        </w:rPr>
        <w:t xml:space="preserve">powtórnie z uwagi na brak kosztów materiałów i została oszacowana </w:t>
      </w:r>
      <w:r>
        <w:rPr>
          <w:rFonts w:ascii="Times New Roman" w:eastAsia="Times New Roman" w:hAnsi="Times New Roman" w:cs="Times New Roman"/>
          <w:lang w:eastAsia="pl-PL"/>
        </w:rPr>
        <w:t xml:space="preserve">na kwotę </w:t>
      </w:r>
      <w:r w:rsidR="00752FC2">
        <w:rPr>
          <w:rFonts w:ascii="Times New Roman" w:eastAsia="Times New Roman" w:hAnsi="Times New Roman" w:cs="Times New Roman"/>
          <w:lang w:eastAsia="pl-PL"/>
        </w:rPr>
        <w:t>122 369,83 zł</w:t>
      </w:r>
      <w:r w:rsidR="00E63413">
        <w:rPr>
          <w:rFonts w:ascii="Times New Roman" w:eastAsia="Times New Roman" w:hAnsi="Times New Roman" w:cs="Times New Roman"/>
          <w:lang w:eastAsia="pl-PL"/>
        </w:rPr>
        <w:t>,</w:t>
      </w:r>
      <w:r w:rsidR="00752FC2">
        <w:rPr>
          <w:rFonts w:ascii="Times New Roman" w:eastAsia="Times New Roman" w:hAnsi="Times New Roman" w:cs="Times New Roman"/>
          <w:lang w:eastAsia="pl-PL"/>
        </w:rPr>
        <w:t xml:space="preserve"> dla 8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2FC2" w:rsidRPr="00752FC2">
        <w:rPr>
          <w:rFonts w:ascii="Times New Roman" w:eastAsia="Times New Roman" w:hAnsi="Times New Roman" w:cs="Times New Roman"/>
          <w:lang w:eastAsia="pl-PL"/>
        </w:rPr>
        <w:t>dokumentacji kat. A</w:t>
      </w:r>
      <w:r w:rsidR="00E63413">
        <w:rPr>
          <w:rFonts w:ascii="Times New Roman" w:eastAsia="Times New Roman" w:hAnsi="Times New Roman" w:cs="Times New Roman"/>
          <w:lang w:eastAsia="pl-PL"/>
        </w:rPr>
        <w:t>,</w:t>
      </w:r>
      <w:r w:rsidR="00752FC2">
        <w:rPr>
          <w:rFonts w:ascii="Times New Roman" w:eastAsia="Times New Roman" w:hAnsi="Times New Roman" w:cs="Times New Roman"/>
          <w:lang w:eastAsia="pl-PL"/>
        </w:rPr>
        <w:t xml:space="preserve"> łącznie 52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kat. B oraz 37 </w:t>
      </w:r>
      <w:proofErr w:type="spellStart"/>
      <w:r w:rsidR="00752FC2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752FC2">
        <w:rPr>
          <w:rFonts w:ascii="Times New Roman" w:eastAsia="Times New Roman" w:hAnsi="Times New Roman" w:cs="Times New Roman"/>
          <w:lang w:eastAsia="pl-PL"/>
        </w:rPr>
        <w:t xml:space="preserve"> dokumentacji „do zniszczenia”</w:t>
      </w:r>
      <w:r w:rsidR="00053D3F">
        <w:rPr>
          <w:rFonts w:ascii="Times New Roman" w:eastAsia="Times New Roman" w:hAnsi="Times New Roman" w:cs="Times New Roman"/>
          <w:lang w:eastAsia="pl-PL"/>
        </w:rPr>
        <w:t>, łącznie z kosztami materiałów niezbędnych do uporządkowania dokumentacji w ww. ilościach poszczególnych kategorii.</w:t>
      </w:r>
      <w:r w:rsidR="00BA5B6C">
        <w:rPr>
          <w:rFonts w:ascii="Times New Roman" w:eastAsia="Times New Roman" w:hAnsi="Times New Roman" w:cs="Times New Roman"/>
          <w:lang w:eastAsia="pl-PL"/>
        </w:rPr>
        <w:t xml:space="preserve"> Przy </w:t>
      </w:r>
      <w:r w:rsidR="000504C9">
        <w:rPr>
          <w:rFonts w:ascii="Times New Roman" w:eastAsia="Times New Roman" w:hAnsi="Times New Roman" w:cs="Times New Roman"/>
          <w:lang w:eastAsia="pl-PL"/>
        </w:rPr>
        <w:t xml:space="preserve">pierwotnie zakładanej ilości dokumentacji, tj. ponad 900 </w:t>
      </w:r>
      <w:proofErr w:type="spellStart"/>
      <w:r w:rsidR="000504C9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0504C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A5B6C">
        <w:rPr>
          <w:rFonts w:ascii="Times New Roman" w:eastAsia="Times New Roman" w:hAnsi="Times New Roman" w:cs="Times New Roman"/>
          <w:lang w:eastAsia="pl-PL"/>
        </w:rPr>
        <w:t xml:space="preserve"> wartoś</w:t>
      </w:r>
      <w:r w:rsidR="00616DFC">
        <w:rPr>
          <w:rFonts w:ascii="Times New Roman" w:eastAsia="Times New Roman" w:hAnsi="Times New Roman" w:cs="Times New Roman"/>
          <w:lang w:eastAsia="pl-PL"/>
        </w:rPr>
        <w:t>ć</w:t>
      </w:r>
      <w:r w:rsidR="00BA5B6C">
        <w:rPr>
          <w:rFonts w:ascii="Times New Roman" w:eastAsia="Times New Roman" w:hAnsi="Times New Roman" w:cs="Times New Roman"/>
          <w:lang w:eastAsia="pl-PL"/>
        </w:rPr>
        <w:t xml:space="preserve"> całości </w:t>
      </w:r>
      <w:r w:rsidR="00ED70C2">
        <w:rPr>
          <w:rFonts w:ascii="Times New Roman" w:eastAsia="Times New Roman" w:hAnsi="Times New Roman" w:cs="Times New Roman"/>
          <w:lang w:eastAsia="pl-PL"/>
        </w:rPr>
        <w:t>zamówienia</w:t>
      </w:r>
      <w:r w:rsidR="00616DFC">
        <w:rPr>
          <w:rFonts w:ascii="Times New Roman" w:eastAsia="Times New Roman" w:hAnsi="Times New Roman" w:cs="Times New Roman"/>
          <w:lang w:eastAsia="pl-PL"/>
        </w:rPr>
        <w:t xml:space="preserve"> wyniosłaby w przybliżeniu ponad 1 200 000,00 zł, co</w:t>
      </w:r>
      <w:r w:rsidR="00ED70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6DFC">
        <w:rPr>
          <w:rFonts w:ascii="Times New Roman" w:eastAsia="Times New Roman" w:hAnsi="Times New Roman" w:cs="Times New Roman"/>
          <w:lang w:eastAsia="pl-PL"/>
        </w:rPr>
        <w:t>stanowczo przekroczyłoby wyrażoną w złotych równowartość 140 000 euro</w:t>
      </w:r>
      <w:r w:rsidR="00323327">
        <w:rPr>
          <w:rFonts w:ascii="Times New Roman" w:eastAsia="Times New Roman" w:hAnsi="Times New Roman" w:cs="Times New Roman"/>
          <w:lang w:eastAsia="pl-PL"/>
        </w:rPr>
        <w:t>, tj. próg unijny, który wyznacza zupełnie inny sposób procedowania takiego zamów</w:t>
      </w:r>
      <w:r w:rsidR="002D1C48">
        <w:rPr>
          <w:rFonts w:ascii="Times New Roman" w:eastAsia="Times New Roman" w:hAnsi="Times New Roman" w:cs="Times New Roman"/>
          <w:lang w:eastAsia="pl-PL"/>
        </w:rPr>
        <w:t>ienia, co nie zostało</w:t>
      </w:r>
      <w:r w:rsidR="00616D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1C48">
        <w:rPr>
          <w:rFonts w:ascii="Times New Roman" w:eastAsia="Times New Roman" w:hAnsi="Times New Roman" w:cs="Times New Roman"/>
          <w:lang w:eastAsia="pl-PL"/>
        </w:rPr>
        <w:t xml:space="preserve">ani na etapie </w:t>
      </w:r>
      <w:r w:rsidR="00616DFC">
        <w:rPr>
          <w:rFonts w:ascii="Times New Roman" w:eastAsia="Times New Roman" w:hAnsi="Times New Roman" w:cs="Times New Roman"/>
          <w:lang w:eastAsia="pl-PL"/>
        </w:rPr>
        <w:t xml:space="preserve">sporządzania planu postępowań, </w:t>
      </w:r>
      <w:r w:rsidR="00E63413">
        <w:rPr>
          <w:rFonts w:ascii="Times New Roman" w:eastAsia="Times New Roman" w:hAnsi="Times New Roman" w:cs="Times New Roman"/>
          <w:lang w:eastAsia="pl-PL"/>
        </w:rPr>
        <w:t xml:space="preserve">ani </w:t>
      </w:r>
      <w:r w:rsidR="002D1C48">
        <w:rPr>
          <w:rFonts w:ascii="Times New Roman" w:eastAsia="Times New Roman" w:hAnsi="Times New Roman" w:cs="Times New Roman"/>
          <w:lang w:eastAsia="pl-PL"/>
        </w:rPr>
        <w:t>w dokumentacji postępowania wskazane, tzn. zamówienie winno zostać przeprowadzone w trybie właściwym do wysokości wartości szacunkowej zamówienia, tj. w procedurze unijnej.</w:t>
      </w:r>
      <w:r w:rsidR="00616DF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35D99C" w14:textId="77777777" w:rsidR="002D1C48" w:rsidRDefault="00752FC2" w:rsidP="002D1C48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Jak wynika z powyższego, pomiędzy wstępnym szacowaniem,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 które nie obejmowało kosztów materiałów,</w:t>
      </w:r>
      <w:r>
        <w:rPr>
          <w:rFonts w:ascii="Times New Roman" w:eastAsia="Times New Roman" w:hAnsi="Times New Roman" w:cs="Times New Roman"/>
          <w:lang w:eastAsia="pl-PL"/>
        </w:rPr>
        <w:t xml:space="preserve"> a danymi, które zostały przekazane do wszczęcia postępowania, </w:t>
      </w:r>
      <w:r w:rsidR="00642920">
        <w:rPr>
          <w:rFonts w:ascii="Times New Roman" w:eastAsia="Times New Roman" w:hAnsi="Times New Roman" w:cs="Times New Roman"/>
          <w:lang w:eastAsia="pl-PL"/>
        </w:rPr>
        <w:t xml:space="preserve">jest przepaść, która </w:t>
      </w:r>
      <w:r w:rsidR="00053D3F">
        <w:rPr>
          <w:rFonts w:ascii="Times New Roman" w:eastAsia="Times New Roman" w:hAnsi="Times New Roman" w:cs="Times New Roman"/>
          <w:lang w:eastAsia="pl-PL"/>
        </w:rPr>
        <w:br/>
      </w:r>
      <w:r w:rsidR="00642920">
        <w:rPr>
          <w:rFonts w:ascii="Times New Roman" w:eastAsia="Times New Roman" w:hAnsi="Times New Roman" w:cs="Times New Roman"/>
          <w:lang w:eastAsia="pl-PL"/>
        </w:rPr>
        <w:t xml:space="preserve">w konsekwencji </w:t>
      </w:r>
      <w:r w:rsidR="00616DFC">
        <w:rPr>
          <w:rFonts w:ascii="Times New Roman" w:eastAsia="Times New Roman" w:hAnsi="Times New Roman" w:cs="Times New Roman"/>
          <w:lang w:eastAsia="pl-PL"/>
        </w:rPr>
        <w:t>doprowadziła do niedozwolonego podziału zamówienia na części i zastosowania trybu niezgodnego z przepisami Ustawy.</w:t>
      </w:r>
    </w:p>
    <w:p w14:paraId="28DE71B2" w14:textId="4DEC6C45" w:rsidR="00752FC2" w:rsidRDefault="00642920" w:rsidP="002D1C48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Zaniżenie ilości dokumentacji, wymagającej uporządkowania we właściwy sposób, spowodowało, iż w wyniku postępowania zawarto by umowę, której przedmiotem byłoby uporządkowanie mniej niż 10%  ilości dokumentacji, za kwotę, na którą wstępnie oszacowano wartość zamówienia, tzn. niewspółmierną do nakł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adu czasu, </w:t>
      </w:r>
      <w:r>
        <w:rPr>
          <w:rFonts w:ascii="Times New Roman" w:eastAsia="Times New Roman" w:hAnsi="Times New Roman" w:cs="Times New Roman"/>
          <w:lang w:eastAsia="pl-PL"/>
        </w:rPr>
        <w:t>pracy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 i materiałów</w:t>
      </w:r>
      <w:r>
        <w:rPr>
          <w:rFonts w:ascii="Times New Roman" w:eastAsia="Times New Roman" w:hAnsi="Times New Roman" w:cs="Times New Roman"/>
          <w:lang w:eastAsia="pl-PL"/>
        </w:rPr>
        <w:t xml:space="preserve">, wziąwszy 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pod uwagę </w:t>
      </w:r>
      <w:r w:rsidR="002D1C48">
        <w:rPr>
          <w:rFonts w:ascii="Times New Roman" w:eastAsia="Times New Roman" w:hAnsi="Times New Roman" w:cs="Times New Roman"/>
          <w:lang w:eastAsia="pl-PL"/>
        </w:rPr>
        <w:br/>
      </w:r>
      <w:r w:rsidR="00053D3F">
        <w:rPr>
          <w:rFonts w:ascii="Times New Roman" w:eastAsia="Times New Roman" w:hAnsi="Times New Roman" w:cs="Times New Roman"/>
          <w:lang w:eastAsia="pl-PL"/>
        </w:rPr>
        <w:t>m.in.</w:t>
      </w:r>
      <w:r>
        <w:rPr>
          <w:rFonts w:ascii="Times New Roman" w:eastAsia="Times New Roman" w:hAnsi="Times New Roman" w:cs="Times New Roman"/>
          <w:lang w:eastAsia="pl-PL"/>
        </w:rPr>
        <w:t xml:space="preserve"> wzrost cen spowodowany inflacją, pandemią oraz teraźniejszą sytuacją na rynku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8BC8EA1" w14:textId="020267D0" w:rsidR="00ED70C2" w:rsidRDefault="00ED70C2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Wskazania również wymaga, że unieważniane postępowanie nie było prowadzone w trybie </w:t>
      </w:r>
      <w:r w:rsidR="002D1C48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art. 30 ust. 4 Ustawy, gdyż informacje o zamó</w:t>
      </w:r>
      <w:r w:rsidR="001A2AF5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ieniu częściowym nie znalazły się w dokumentach postepowania. Jak czytamy w </w:t>
      </w:r>
      <w:r>
        <w:rPr>
          <w:i/>
          <w:iCs/>
        </w:rPr>
        <w:t xml:space="preserve">P. </w:t>
      </w:r>
      <w:proofErr w:type="spellStart"/>
      <w:r>
        <w:rPr>
          <w:i/>
          <w:iCs/>
        </w:rPr>
        <w:t>Granecki</w:t>
      </w:r>
      <w:proofErr w:type="spellEnd"/>
      <w:r>
        <w:rPr>
          <w:i/>
          <w:iCs/>
        </w:rPr>
        <w:t xml:space="preserve">, I. </w:t>
      </w:r>
      <w:proofErr w:type="spellStart"/>
      <w:r>
        <w:rPr>
          <w:i/>
          <w:iCs/>
        </w:rPr>
        <w:t>Granecka</w:t>
      </w:r>
      <w:proofErr w:type="spellEnd"/>
      <w:r>
        <w:t>, Prawo zamówień publicznych. Komentarz, Warszawa 2021</w:t>
      </w:r>
      <w:r w:rsidR="00AB1FA0">
        <w:t>, cyt.:</w:t>
      </w:r>
    </w:p>
    <w:p w14:paraId="74B8B5F0" w14:textId="77777777" w:rsidR="00ED70C2" w:rsidRDefault="00ED70C2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b/>
          <w:bCs/>
        </w:rPr>
        <w:t>„ … Czynności zamawiającego związane z przygotowaniem postępowania.</w:t>
      </w:r>
      <w:r>
        <w:t xml:space="preserve"> W przypadku skorzystania z możliwości wynikających z art. 30 ust. 4 </w:t>
      </w:r>
      <w:proofErr w:type="spellStart"/>
      <w:r>
        <w:t>PrZamPubl</w:t>
      </w:r>
      <w:proofErr w:type="spellEnd"/>
      <w:r>
        <w:t xml:space="preserve"> zamawiający powinien odnotować ten fakt przy czynnościach związanych z przygotowaniem postępowania, tj. opisaniem przedmiotu zamówienia oraz jego oszacowaniem. …”.</w:t>
      </w:r>
    </w:p>
    <w:p w14:paraId="6D28B757" w14:textId="45175644" w:rsidR="00C50E1B" w:rsidRDefault="00C50E1B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uwagi na fakt, iż </w:t>
      </w:r>
      <w:r w:rsidR="001A2AF5">
        <w:rPr>
          <w:rFonts w:ascii="Times New Roman" w:eastAsia="Times New Roman" w:hAnsi="Times New Roman" w:cs="Times New Roman"/>
          <w:lang w:eastAsia="pl-PL"/>
        </w:rPr>
        <w:t xml:space="preserve">ponowne </w:t>
      </w:r>
      <w:r>
        <w:rPr>
          <w:rFonts w:ascii="Times New Roman" w:eastAsia="Times New Roman" w:hAnsi="Times New Roman" w:cs="Times New Roman"/>
          <w:lang w:eastAsia="pl-PL"/>
        </w:rPr>
        <w:t xml:space="preserve">badanie dokumentacji odbywa się </w:t>
      </w:r>
      <w:r w:rsidRPr="00C50E1B">
        <w:rPr>
          <w:rFonts w:ascii="Times New Roman" w:eastAsia="Times New Roman" w:hAnsi="Times New Roman" w:cs="Times New Roman"/>
          <w:i/>
          <w:lang w:eastAsia="pl-PL"/>
        </w:rPr>
        <w:t>de facto</w:t>
      </w:r>
      <w:r>
        <w:rPr>
          <w:rFonts w:ascii="Times New Roman" w:eastAsia="Times New Roman" w:hAnsi="Times New Roman" w:cs="Times New Roman"/>
          <w:lang w:eastAsia="pl-PL"/>
        </w:rPr>
        <w:t xml:space="preserve"> po wyborze najkorzystniejszej oferty, </w:t>
      </w:r>
      <w:r w:rsidR="00E63413">
        <w:rPr>
          <w:rFonts w:ascii="Times New Roman" w:eastAsia="Times New Roman" w:hAnsi="Times New Roman" w:cs="Times New Roman"/>
          <w:lang w:eastAsia="pl-PL"/>
        </w:rPr>
        <w:t>Zamawiający przeprowadził</w:t>
      </w:r>
      <w:r>
        <w:rPr>
          <w:rFonts w:ascii="Times New Roman" w:eastAsia="Times New Roman" w:hAnsi="Times New Roman" w:cs="Times New Roman"/>
          <w:lang w:eastAsia="pl-PL"/>
        </w:rPr>
        <w:t xml:space="preserve"> symulację ponownego szacowania wartości zamówienia, w oparciu o teraźniejsze ceny z cenników internetowych firm, zajmujących się profesjonalnie porządkowaniem dokumentacji. Ustalono, iż uporządkowanie około 880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dokumentacji kat. B średnio kosztowałoby 523 380,00 zł oraz około 50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dokumentacji kat. A </w:t>
      </w:r>
      <w:r w:rsidRPr="00C50E1B">
        <w:rPr>
          <w:rFonts w:ascii="Times New Roman" w:eastAsia="Times New Roman" w:hAnsi="Times New Roman" w:cs="Times New Roman"/>
          <w:lang w:eastAsia="pl-PL"/>
        </w:rPr>
        <w:t>średnio kosztowałoby</w:t>
      </w:r>
      <w:r>
        <w:rPr>
          <w:rFonts w:ascii="Times New Roman" w:eastAsia="Times New Roman" w:hAnsi="Times New Roman" w:cs="Times New Roman"/>
          <w:lang w:eastAsia="pl-PL"/>
        </w:rPr>
        <w:t xml:space="preserve"> 75 000,00 zł, co łącznie daje kwotę 598 380,00 zł, gdzie należy doliczyć około 10% wartości na materiały, z uwagi na to, iż nie każdy cennik obejmował koszt usługi łącznie </w:t>
      </w:r>
      <w:r w:rsidR="001A2AF5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z materiałami potrzebnymi do uporządkowania dokumentacji (teczki, kartony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etc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), co przy szacowanej, łącznej ilości dokumentacji nie jest kwotą bagatelną. </w:t>
      </w:r>
    </w:p>
    <w:p w14:paraId="4E0E67E3" w14:textId="77777777" w:rsidR="00C50E1B" w:rsidRDefault="00C50E1B" w:rsidP="0024167C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Łącznie szacowany koszt wynosi</w:t>
      </w:r>
      <w:r w:rsidR="00C359A3">
        <w:rPr>
          <w:rFonts w:ascii="Times New Roman" w:eastAsia="Times New Roman" w:hAnsi="Times New Roman" w:cs="Times New Roman"/>
          <w:lang w:eastAsia="pl-PL"/>
        </w:rPr>
        <w:t>łby</w:t>
      </w:r>
      <w:r>
        <w:rPr>
          <w:rFonts w:ascii="Times New Roman" w:eastAsia="Times New Roman" w:hAnsi="Times New Roman" w:cs="Times New Roman"/>
          <w:lang w:eastAsia="pl-PL"/>
        </w:rPr>
        <w:t xml:space="preserve"> 658 218,00 zł.</w:t>
      </w:r>
    </w:p>
    <w:p w14:paraId="68B33A21" w14:textId="77777777" w:rsidR="003E4206" w:rsidRDefault="00AB1FA0" w:rsidP="00C359A3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szacowania </w:t>
      </w:r>
      <w:r w:rsidR="001A2AF5">
        <w:rPr>
          <w:rFonts w:ascii="Times New Roman" w:eastAsia="Times New Roman" w:hAnsi="Times New Roman" w:cs="Times New Roman"/>
          <w:lang w:eastAsia="pl-PL"/>
        </w:rPr>
        <w:t>do niniejszego postępowania, tj. wartość 122 369,83 zł w stosunku do całej ilości dokumentacji, tzn. dokumentacji, której porządkowanie stanowi przedmiot zamówienia,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A2AF5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jak i z obecnego szacowania wynika, że jeżeli postępowanie byłoby prawidłowo </w:t>
      </w:r>
      <w:r w:rsidR="002D1C48">
        <w:rPr>
          <w:rFonts w:ascii="Times New Roman" w:eastAsia="Times New Roman" w:hAnsi="Times New Roman" w:cs="Times New Roman"/>
          <w:lang w:eastAsia="pl-PL"/>
        </w:rPr>
        <w:t xml:space="preserve">przygotowane </w:t>
      </w:r>
      <w:r w:rsidR="002D1C48">
        <w:rPr>
          <w:rFonts w:ascii="Times New Roman" w:eastAsia="Times New Roman" w:hAnsi="Times New Roman" w:cs="Times New Roman"/>
          <w:lang w:eastAsia="pl-PL"/>
        </w:rPr>
        <w:br/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>prowadzone z prawidłowo wykazanym przedmiotem umowy</w:t>
      </w:r>
      <w:r w:rsidR="002D1C4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 szczególności w zakresie wielkości zamówienia</w:t>
      </w:r>
      <w:r w:rsidR="001A2AF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to powinno być ono prowadzone w trybie właściwym dla zamówień przekraczających próg unijny. </w:t>
      </w:r>
    </w:p>
    <w:p w14:paraId="19B43CDE" w14:textId="6F5A06A3" w:rsidR="00AB1FA0" w:rsidRDefault="00AB1FA0" w:rsidP="003E4206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 więcej, ze względu na przeznaczone środki finansowe w planie finansowym na realizację zadania, przy takich wartościach jednostkowych</w:t>
      </w:r>
      <w:r w:rsidR="002D1C4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jakie zostały zaproponowane w niniejszym post</w:t>
      </w:r>
      <w:r w:rsidR="003E4206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powaniu</w:t>
      </w:r>
      <w:r w:rsidR="002D1C4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środki na finansowania zadania</w:t>
      </w:r>
      <w:r w:rsidR="002D1C48">
        <w:rPr>
          <w:rFonts w:ascii="Times New Roman" w:eastAsia="Times New Roman" w:hAnsi="Times New Roman" w:cs="Times New Roman"/>
          <w:lang w:eastAsia="pl-PL"/>
        </w:rPr>
        <w:t xml:space="preserve">, które zostały zabezpieczone, </w:t>
      </w:r>
      <w:r>
        <w:rPr>
          <w:rFonts w:ascii="Times New Roman" w:eastAsia="Times New Roman" w:hAnsi="Times New Roman" w:cs="Times New Roman"/>
          <w:lang w:eastAsia="pl-PL"/>
        </w:rPr>
        <w:t xml:space="preserve">nie pozwalałyby na wybranie oferty </w:t>
      </w:r>
      <w:r w:rsidR="002D1C48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i oferta byłaby odrzucona na podstawie </w:t>
      </w:r>
      <w:r w:rsidR="00C359A3">
        <w:rPr>
          <w:rFonts w:ascii="Times New Roman" w:eastAsia="Times New Roman" w:hAnsi="Times New Roman" w:cs="Times New Roman"/>
          <w:lang w:eastAsia="pl-PL"/>
        </w:rPr>
        <w:t>art. 255 pkt 3</w:t>
      </w:r>
      <w:r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C359A3">
        <w:rPr>
          <w:rFonts w:ascii="Times New Roman" w:eastAsia="Times New Roman" w:hAnsi="Times New Roman" w:cs="Times New Roman"/>
          <w:lang w:eastAsia="pl-PL"/>
        </w:rPr>
        <w:t>, cyt. „…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cena lub koszt najkorzystniejszej oferty lub oferta z najni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ż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sz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ą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cen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ą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przewy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ż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sza kwot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ę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, kt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ó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r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ą</w:t>
      </w:r>
      <w:r w:rsidR="00C35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zamawiaj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ą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cy zamierza przeznaczy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ć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na sfinansowanie zam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ó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wienia, chyba 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ż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e zamawiaj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ą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cy</w:t>
      </w:r>
      <w:r w:rsidR="00C35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mo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ż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e zwi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ę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>kszy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ć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t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ę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kwot</w:t>
      </w:r>
      <w:r w:rsidR="00C359A3" w:rsidRPr="00C359A3">
        <w:rPr>
          <w:rFonts w:ascii="Times New Roman" w:eastAsia="Times New Roman" w:hAnsi="Times New Roman" w:cs="Times New Roman" w:hint="eastAsia"/>
          <w:lang w:eastAsia="pl-PL"/>
        </w:rPr>
        <w:t>ę</w:t>
      </w:r>
      <w:r w:rsidR="00C359A3" w:rsidRPr="00C359A3">
        <w:rPr>
          <w:rFonts w:ascii="Times New Roman" w:eastAsia="Times New Roman" w:hAnsi="Times New Roman" w:cs="Times New Roman"/>
          <w:lang w:eastAsia="pl-PL"/>
        </w:rPr>
        <w:t xml:space="preserve"> do ceny lub kosztu najkorzystniejszej oferty;</w:t>
      </w:r>
      <w:r w:rsidR="00C359A3">
        <w:rPr>
          <w:rFonts w:ascii="Times New Roman" w:eastAsia="Times New Roman" w:hAnsi="Times New Roman" w:cs="Times New Roman"/>
          <w:lang w:eastAsia="pl-PL"/>
        </w:rPr>
        <w:t xml:space="preserve"> …”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28FDC7A" w14:textId="62623C3D" w:rsidR="0021396E" w:rsidRDefault="00E63413" w:rsidP="00053D3F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6429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532">
        <w:rPr>
          <w:rFonts w:ascii="Times New Roman" w:eastAsia="Times New Roman" w:hAnsi="Times New Roman" w:cs="Times New Roman"/>
          <w:lang w:eastAsia="pl-PL"/>
        </w:rPr>
        <w:t>zwraca uwagę na fakt,</w:t>
      </w:r>
      <w:r w:rsidR="00642920">
        <w:rPr>
          <w:rFonts w:ascii="Times New Roman" w:eastAsia="Times New Roman" w:hAnsi="Times New Roman" w:cs="Times New Roman"/>
          <w:lang w:eastAsia="pl-PL"/>
        </w:rPr>
        <w:t xml:space="preserve"> iż </w:t>
      </w:r>
      <w:r w:rsidR="00513120">
        <w:rPr>
          <w:rFonts w:ascii="Times New Roman" w:eastAsia="Times New Roman" w:hAnsi="Times New Roman" w:cs="Times New Roman"/>
          <w:lang w:eastAsia="pl-PL"/>
        </w:rPr>
        <w:t>nieprawidłowe oszacowani</w:t>
      </w:r>
      <w:r>
        <w:rPr>
          <w:rFonts w:ascii="Times New Roman" w:eastAsia="Times New Roman" w:hAnsi="Times New Roman" w:cs="Times New Roman"/>
          <w:lang w:eastAsia="pl-PL"/>
        </w:rPr>
        <w:t xml:space="preserve">e wartości zamówienia, stanowi </w:t>
      </w:r>
      <w:r w:rsidR="00513120">
        <w:rPr>
          <w:rFonts w:ascii="Times New Roman" w:eastAsia="Times New Roman" w:hAnsi="Times New Roman" w:cs="Times New Roman"/>
          <w:lang w:eastAsia="pl-PL"/>
        </w:rPr>
        <w:t xml:space="preserve">o </w:t>
      </w:r>
      <w:r w:rsidR="0021396E">
        <w:rPr>
          <w:rFonts w:ascii="Times New Roman" w:eastAsia="Times New Roman" w:hAnsi="Times New Roman" w:cs="Times New Roman"/>
          <w:lang w:eastAsia="pl-PL"/>
        </w:rPr>
        <w:t xml:space="preserve">niemożliwej do usunięcia, na tym etapie postępowania, </w:t>
      </w:r>
      <w:r w:rsidR="00513120">
        <w:rPr>
          <w:rFonts w:ascii="Times New Roman" w:eastAsia="Times New Roman" w:hAnsi="Times New Roman" w:cs="Times New Roman"/>
          <w:lang w:eastAsia="pl-PL"/>
        </w:rPr>
        <w:t xml:space="preserve">wadzie postępowania, </w:t>
      </w:r>
      <w:r w:rsidR="0021396E">
        <w:rPr>
          <w:rFonts w:ascii="Times New Roman" w:eastAsia="Times New Roman" w:hAnsi="Times New Roman" w:cs="Times New Roman"/>
          <w:lang w:eastAsia="pl-PL"/>
        </w:rPr>
        <w:t>w wyniku którego mogłoby dojść do</w:t>
      </w:r>
      <w:r w:rsidR="00513120">
        <w:rPr>
          <w:rFonts w:ascii="Times New Roman" w:eastAsia="Times New Roman" w:hAnsi="Times New Roman" w:cs="Times New Roman"/>
          <w:lang w:eastAsia="pl-PL"/>
        </w:rPr>
        <w:t xml:space="preserve"> zawarcia</w:t>
      </w:r>
      <w:r w:rsidR="006429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3D3F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BA5B6C">
        <w:rPr>
          <w:rFonts w:ascii="Times New Roman" w:eastAsia="Times New Roman" w:hAnsi="Times New Roman" w:cs="Times New Roman"/>
          <w:lang w:eastAsia="pl-PL"/>
        </w:rPr>
        <w:t xml:space="preserve">z naruszeniem przepisów </w:t>
      </w:r>
      <w:r w:rsidR="00C359A3">
        <w:rPr>
          <w:rFonts w:ascii="Times New Roman" w:eastAsia="Times New Roman" w:hAnsi="Times New Roman" w:cs="Times New Roman"/>
          <w:lang w:eastAsia="pl-PL"/>
        </w:rPr>
        <w:t>U</w:t>
      </w:r>
      <w:r w:rsidR="00BA5B6C">
        <w:rPr>
          <w:rFonts w:ascii="Times New Roman" w:eastAsia="Times New Roman" w:hAnsi="Times New Roman" w:cs="Times New Roman"/>
          <w:lang w:eastAsia="pl-PL"/>
        </w:rPr>
        <w:t xml:space="preserve">stawy, co mogłoby skutkować jej </w:t>
      </w:r>
      <w:r w:rsidR="00053D3F">
        <w:rPr>
          <w:rFonts w:ascii="Times New Roman" w:eastAsia="Times New Roman" w:hAnsi="Times New Roman" w:cs="Times New Roman"/>
          <w:lang w:eastAsia="pl-PL"/>
        </w:rPr>
        <w:t>nieważn</w:t>
      </w:r>
      <w:r w:rsidR="00BA5B6C">
        <w:rPr>
          <w:rFonts w:ascii="Times New Roman" w:eastAsia="Times New Roman" w:hAnsi="Times New Roman" w:cs="Times New Roman"/>
          <w:lang w:eastAsia="pl-PL"/>
        </w:rPr>
        <w:t>ością</w:t>
      </w:r>
      <w:r w:rsidR="0021396E">
        <w:rPr>
          <w:rFonts w:ascii="Times New Roman" w:eastAsia="Times New Roman" w:hAnsi="Times New Roman" w:cs="Times New Roman"/>
          <w:lang w:eastAsia="pl-PL"/>
        </w:rPr>
        <w:t xml:space="preserve">. Jak przedstawiono powyżej, wada ma charakter nieusuwalny, z uwagi na fakt, </w:t>
      </w:r>
      <w:r w:rsidR="00C359A3">
        <w:rPr>
          <w:rFonts w:ascii="Times New Roman" w:eastAsia="Times New Roman" w:hAnsi="Times New Roman" w:cs="Times New Roman"/>
          <w:lang w:eastAsia="pl-PL"/>
        </w:rPr>
        <w:br/>
      </w:r>
      <w:r w:rsidR="0021396E">
        <w:rPr>
          <w:rFonts w:ascii="Times New Roman" w:eastAsia="Times New Roman" w:hAnsi="Times New Roman" w:cs="Times New Roman"/>
          <w:lang w:eastAsia="pl-PL"/>
        </w:rPr>
        <w:t xml:space="preserve">iż do błędu doszło jeszcze na etapie przygotowania postępowania, co w trakcie trwania postępowania nie zostało zauważone i poprawione. W ocenie </w:t>
      </w:r>
      <w:r w:rsidR="00383172">
        <w:rPr>
          <w:rFonts w:ascii="Times New Roman" w:eastAsia="Times New Roman" w:hAnsi="Times New Roman" w:cs="Times New Roman"/>
          <w:lang w:eastAsia="pl-PL"/>
        </w:rPr>
        <w:t>Zamawiającego</w:t>
      </w:r>
      <w:r w:rsidR="0021396E">
        <w:rPr>
          <w:rFonts w:ascii="Times New Roman" w:eastAsia="Times New Roman" w:hAnsi="Times New Roman" w:cs="Times New Roman"/>
          <w:lang w:eastAsia="pl-PL"/>
        </w:rPr>
        <w:t xml:space="preserve"> wada postępowania</w:t>
      </w:r>
      <w:r w:rsidR="0031250E">
        <w:rPr>
          <w:rFonts w:ascii="Times New Roman" w:eastAsia="Times New Roman" w:hAnsi="Times New Roman" w:cs="Times New Roman"/>
          <w:lang w:eastAsia="pl-PL"/>
        </w:rPr>
        <w:t>, w chwili obecnej</w:t>
      </w:r>
      <w:r w:rsidR="0021396E">
        <w:rPr>
          <w:rFonts w:ascii="Times New Roman" w:eastAsia="Times New Roman" w:hAnsi="Times New Roman" w:cs="Times New Roman"/>
          <w:lang w:eastAsia="pl-PL"/>
        </w:rPr>
        <w:t xml:space="preserve"> może zostać usunięta jedynie poprzez jego unieważnienie.</w:t>
      </w:r>
    </w:p>
    <w:p w14:paraId="540A0744" w14:textId="321CFD83" w:rsidR="001037CC" w:rsidRDefault="00C50E1B" w:rsidP="0031250E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Zgodnie z komentarzem do Ustawy pod redakcją Huberta Nowaka oraz Mateusza Winiarza, 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cyt.: „…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037CC">
        <w:rPr>
          <w:rFonts w:ascii="Times New Roman" w:eastAsia="Times New Roman" w:hAnsi="Times New Roman" w:cs="Times New Roman"/>
          <w:lang w:eastAsia="pl-PL"/>
        </w:rPr>
        <w:t>a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rt. 255 </w:t>
      </w:r>
      <w:proofErr w:type="spellStart"/>
      <w:r w:rsidR="0031250E" w:rsidRPr="003125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 wprowadza obowiązek unieważn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ienia postępowania o udzielenie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1037CC">
        <w:rPr>
          <w:rFonts w:ascii="Times New Roman" w:eastAsia="Times New Roman" w:hAnsi="Times New Roman" w:cs="Times New Roman"/>
          <w:lang w:eastAsia="pl-PL"/>
        </w:rPr>
        <w:br/>
      </w:r>
      <w:r w:rsidR="0031250E" w:rsidRPr="0031250E">
        <w:rPr>
          <w:rFonts w:ascii="Times New Roman" w:eastAsia="Times New Roman" w:hAnsi="Times New Roman" w:cs="Times New Roman"/>
          <w:lang w:eastAsia="pl-PL"/>
        </w:rPr>
        <w:t>w razie zaistnienia jednej z określonych w nim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 przesłanek. Brzmienie przepisu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jednoznacznie wskazuje na to, iż w razie zaistnienia opisanej w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 nim okoliczności unieważnienie </w:t>
      </w:r>
      <w:r w:rsidR="003E4206">
        <w:rPr>
          <w:rFonts w:ascii="Times New Roman" w:eastAsia="Times New Roman" w:hAnsi="Times New Roman" w:cs="Times New Roman"/>
          <w:lang w:eastAsia="pl-PL"/>
        </w:rPr>
        <w:t>postępowania o 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udzielenie zamówienia nie jest jedynie 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uprawnieniem </w:t>
      </w:r>
      <w:r w:rsidR="003E4206">
        <w:rPr>
          <w:rFonts w:ascii="Times New Roman" w:eastAsia="Times New Roman" w:hAnsi="Times New Roman" w:cs="Times New Roman"/>
          <w:lang w:eastAsia="pl-PL"/>
        </w:rPr>
        <w:t>Z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amawiającego, ale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jego obowiązkiem. Określony w art. 255 </w:t>
      </w:r>
      <w:proofErr w:type="spellStart"/>
      <w:r w:rsidR="0031250E" w:rsidRPr="003125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1250E" w:rsidRPr="0031250E">
        <w:rPr>
          <w:rFonts w:ascii="Times New Roman" w:eastAsia="Times New Roman" w:hAnsi="Times New Roman" w:cs="Times New Roman"/>
          <w:lang w:eastAsia="pl-PL"/>
        </w:rPr>
        <w:t xml:space="preserve"> katalog obligatoryjnych podstaw unieważni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enia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ma charakter zamknięty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 ….”, a „…  u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nieważni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enie postępowania może nastąpić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na dowolnym etapie, gdy tylko ujawni się podstawa unieważ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nienia. Postępowanie może zatem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zostać unieważnione przed lub po wybraniu oferty, ale k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oniecznie przed zawarciem umowy </w:t>
      </w:r>
      <w:r w:rsidR="0031250E" w:rsidRPr="0031250E">
        <w:rPr>
          <w:rFonts w:ascii="Times New Roman" w:eastAsia="Times New Roman" w:hAnsi="Times New Roman" w:cs="Times New Roman"/>
          <w:lang w:eastAsia="pl-PL"/>
        </w:rPr>
        <w:t>w sprawie zamówienia publicznego</w:t>
      </w:r>
      <w:r w:rsidR="0031250E">
        <w:rPr>
          <w:rFonts w:ascii="Times New Roman" w:eastAsia="Times New Roman" w:hAnsi="Times New Roman" w:cs="Times New Roman"/>
          <w:lang w:eastAsia="pl-PL"/>
        </w:rPr>
        <w:t xml:space="preserve">. …”. </w:t>
      </w:r>
    </w:p>
    <w:p w14:paraId="1FC59877" w14:textId="7A7A453E" w:rsidR="004A2532" w:rsidRDefault="00383172" w:rsidP="0031250E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1037CC">
        <w:rPr>
          <w:rFonts w:ascii="Times New Roman" w:eastAsia="Times New Roman" w:hAnsi="Times New Roman" w:cs="Times New Roman"/>
          <w:lang w:eastAsia="pl-PL"/>
        </w:rPr>
        <w:t xml:space="preserve"> podkreśla, </w:t>
      </w:r>
      <w:r w:rsidR="0031250E">
        <w:rPr>
          <w:rFonts w:ascii="Times New Roman" w:eastAsia="Times New Roman" w:hAnsi="Times New Roman" w:cs="Times New Roman"/>
          <w:lang w:eastAsia="pl-PL"/>
        </w:rPr>
        <w:t>iż unieważnienie postępowania</w:t>
      </w:r>
      <w:r w:rsidR="001037C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037CC" w:rsidRPr="001037CC">
        <w:rPr>
          <w:rFonts w:ascii="Times New Roman" w:eastAsia="Times New Roman" w:hAnsi="Times New Roman" w:cs="Times New Roman"/>
          <w:i/>
          <w:lang w:eastAsia="pl-PL"/>
        </w:rPr>
        <w:t>a contrario</w:t>
      </w:r>
      <w:r w:rsidR="001037CC">
        <w:rPr>
          <w:rFonts w:ascii="Times New Roman" w:eastAsia="Times New Roman" w:hAnsi="Times New Roman" w:cs="Times New Roman"/>
          <w:lang w:eastAsia="pl-PL"/>
        </w:rPr>
        <w:t xml:space="preserve"> cywilnoprawny obowiązek Zamawiającego zawarcia umowy,  dopuszczone jest jedynie wtedy, gdy zawarcie ważnej umowy jest niemożliwe lub niecelowe z powodu okoliczności wskazanych w ustawie, tj. okoliczności, które zostały przedstawione powyżej. </w:t>
      </w:r>
    </w:p>
    <w:p w14:paraId="7A76E21F" w14:textId="009664FB" w:rsidR="004A2532" w:rsidRDefault="004A2532" w:rsidP="00C93639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Reasumując, </w:t>
      </w:r>
      <w:r w:rsidR="00383172">
        <w:rPr>
          <w:rFonts w:ascii="Times New Roman" w:eastAsia="Times New Roman" w:hAnsi="Times New Roman" w:cs="Times New Roman"/>
          <w:lang w:eastAsia="pl-PL"/>
        </w:rPr>
        <w:t xml:space="preserve">Zamawiający rozważając </w:t>
      </w:r>
      <w:r>
        <w:rPr>
          <w:rFonts w:ascii="Times New Roman" w:eastAsia="Times New Roman" w:hAnsi="Times New Roman" w:cs="Times New Roman"/>
          <w:lang w:eastAsia="pl-PL"/>
        </w:rPr>
        <w:t>zawarcie</w:t>
      </w:r>
      <w:r w:rsidR="0031751C" w:rsidRPr="003175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751C">
        <w:rPr>
          <w:rFonts w:ascii="Times New Roman" w:eastAsia="Times New Roman" w:hAnsi="Times New Roman" w:cs="Times New Roman"/>
          <w:lang w:eastAsia="pl-PL"/>
        </w:rPr>
        <w:t>umowy w sprawie zamówienia publicznego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383172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 wyniku bieżącego postępowania, </w:t>
      </w:r>
      <w:r w:rsidR="002D1C48">
        <w:rPr>
          <w:rFonts w:ascii="Times New Roman" w:eastAsia="Times New Roman" w:hAnsi="Times New Roman" w:cs="Times New Roman"/>
          <w:lang w:eastAsia="pl-PL"/>
        </w:rPr>
        <w:t xml:space="preserve">które zostało przeprowadzone w procedurze krajowej, zamiast </w:t>
      </w:r>
      <w:r w:rsidR="00383172">
        <w:rPr>
          <w:rFonts w:ascii="Times New Roman" w:eastAsia="Times New Roman" w:hAnsi="Times New Roman" w:cs="Times New Roman"/>
          <w:lang w:eastAsia="pl-PL"/>
        </w:rPr>
        <w:br/>
      </w:r>
      <w:r w:rsidR="002D1C48">
        <w:rPr>
          <w:rFonts w:ascii="Times New Roman" w:eastAsia="Times New Roman" w:hAnsi="Times New Roman" w:cs="Times New Roman"/>
          <w:lang w:eastAsia="pl-PL"/>
        </w:rPr>
        <w:t>w procedurze unijnej,</w:t>
      </w:r>
      <w:r w:rsidR="0031751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83172">
        <w:rPr>
          <w:rFonts w:ascii="Times New Roman" w:eastAsia="Times New Roman" w:hAnsi="Times New Roman" w:cs="Times New Roman"/>
          <w:lang w:eastAsia="pl-PL"/>
        </w:rPr>
        <w:t xml:space="preserve">stwierdza, iż będzie to </w:t>
      </w:r>
      <w:r>
        <w:rPr>
          <w:rFonts w:ascii="Times New Roman" w:eastAsia="Times New Roman" w:hAnsi="Times New Roman" w:cs="Times New Roman"/>
          <w:lang w:eastAsia="pl-PL"/>
        </w:rPr>
        <w:t xml:space="preserve">stanowić naruszenie nie tylko przepisów </w:t>
      </w:r>
      <w:r w:rsidR="003831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="003831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83172">
        <w:rPr>
          <w:rFonts w:ascii="Times New Roman" w:eastAsia="Times New Roman" w:hAnsi="Times New Roman" w:cs="Times New Roman"/>
          <w:lang w:eastAsia="pl-PL"/>
        </w:rPr>
        <w:t xml:space="preserve">, ale również ustawy </w:t>
      </w:r>
      <w:r>
        <w:rPr>
          <w:rFonts w:ascii="Times New Roman" w:eastAsia="Times New Roman" w:hAnsi="Times New Roman" w:cs="Times New Roman"/>
          <w:lang w:eastAsia="pl-PL"/>
        </w:rPr>
        <w:t xml:space="preserve">o dyscyplinie finansów publicznych. Cenę oferty, jedynej złożonej w postępowaniu, można określić jako „rażąco wysoką” w stosunku do ilości dokumentacji, wskazanej w opisie przedmiotu zamówienia. Mimo, iż wadę postępowania zauważono po wyborze najkorzystniejszej oferty, również w kontekście efektywności wydatkowania środków publicznych, </w:t>
      </w:r>
      <w:r w:rsidR="00C93639">
        <w:rPr>
          <w:rFonts w:ascii="Times New Roman" w:eastAsia="Times New Roman" w:hAnsi="Times New Roman" w:cs="Times New Roman"/>
          <w:lang w:eastAsia="pl-PL"/>
        </w:rPr>
        <w:t xml:space="preserve">w obecnej sytuacji, zgodnie ze wskazanymi powyżej przepisami ustawy </w:t>
      </w:r>
      <w:proofErr w:type="spellStart"/>
      <w:r w:rsidR="00C936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C93639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jego unieważnienie zdaje się być </w:t>
      </w:r>
      <w:r w:rsidR="00C93639">
        <w:rPr>
          <w:rFonts w:ascii="Times New Roman" w:eastAsia="Times New Roman" w:hAnsi="Times New Roman" w:cs="Times New Roman"/>
          <w:lang w:eastAsia="pl-PL"/>
        </w:rPr>
        <w:t xml:space="preserve">w obecnej sytuacji </w:t>
      </w:r>
      <w:r>
        <w:rPr>
          <w:rFonts w:ascii="Times New Roman" w:eastAsia="Times New Roman" w:hAnsi="Times New Roman" w:cs="Times New Roman"/>
          <w:lang w:eastAsia="pl-PL"/>
        </w:rPr>
        <w:t>jedynym racjonalnym wyjś</w:t>
      </w:r>
      <w:r w:rsidR="00C93639">
        <w:rPr>
          <w:rFonts w:ascii="Times New Roman" w:eastAsia="Times New Roman" w:hAnsi="Times New Roman" w:cs="Times New Roman"/>
          <w:lang w:eastAsia="pl-PL"/>
        </w:rPr>
        <w:t xml:space="preserve">ciem, tym bardziej, iż unieważnienie, po wykryciu i określeniu wady </w:t>
      </w:r>
      <w:r w:rsidR="00C359A3">
        <w:rPr>
          <w:rFonts w:ascii="Times New Roman" w:eastAsia="Times New Roman" w:hAnsi="Times New Roman" w:cs="Times New Roman"/>
          <w:lang w:eastAsia="pl-PL"/>
        </w:rPr>
        <w:br/>
      </w:r>
      <w:r w:rsidR="00C93639">
        <w:rPr>
          <w:rFonts w:ascii="Times New Roman" w:eastAsia="Times New Roman" w:hAnsi="Times New Roman" w:cs="Times New Roman"/>
          <w:lang w:eastAsia="pl-PL"/>
        </w:rPr>
        <w:t xml:space="preserve">w postępowaniu, staje się już obowiązkiem Zamawiającego. </w:t>
      </w:r>
      <w:r>
        <w:rPr>
          <w:rFonts w:ascii="Times New Roman" w:eastAsia="Times New Roman" w:hAnsi="Times New Roman" w:cs="Times New Roman"/>
          <w:lang w:eastAsia="pl-PL"/>
        </w:rPr>
        <w:t xml:space="preserve">Powtórzenie postępowania o udzielenie zamówienia publicznego, o właściwie już </w:t>
      </w:r>
      <w:r w:rsidR="00C93639">
        <w:rPr>
          <w:rFonts w:ascii="Times New Roman" w:eastAsia="Times New Roman" w:hAnsi="Times New Roman" w:cs="Times New Roman"/>
          <w:lang w:eastAsia="pl-PL"/>
        </w:rPr>
        <w:t>określonych parametrach, może przynieść wymierne korzyści w postaci o wiele niższych cen realizacji zamówienia.</w:t>
      </w:r>
    </w:p>
    <w:p w14:paraId="3DCDB7BF" w14:textId="3DF70A5E" w:rsidR="00642920" w:rsidRDefault="001037CC" w:rsidP="0031250E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tym </w:t>
      </w:r>
      <w:r w:rsidR="00383172">
        <w:rPr>
          <w:rFonts w:ascii="Times New Roman" w:eastAsia="Times New Roman" w:hAnsi="Times New Roman" w:cs="Times New Roman"/>
          <w:lang w:eastAsia="pl-PL"/>
        </w:rPr>
        <w:t>Zamawiający, zgodnie z art. 260 ust. 1 i 2 informuje o unieważnieniu</w:t>
      </w:r>
      <w:r w:rsidR="0031751C">
        <w:rPr>
          <w:rFonts w:ascii="Times New Roman" w:eastAsia="Times New Roman" w:hAnsi="Times New Roman" w:cs="Times New Roman"/>
          <w:lang w:eastAsia="pl-PL"/>
        </w:rPr>
        <w:t xml:space="preserve"> czynności wyboru najkorzystni</w:t>
      </w:r>
      <w:r w:rsidR="00383172">
        <w:rPr>
          <w:rFonts w:ascii="Times New Roman" w:eastAsia="Times New Roman" w:hAnsi="Times New Roman" w:cs="Times New Roman"/>
          <w:lang w:eastAsia="pl-PL"/>
        </w:rPr>
        <w:t>ejszej oferty oraz unieważnieniu</w:t>
      </w:r>
      <w:r w:rsidR="0031751C">
        <w:rPr>
          <w:rFonts w:ascii="Times New Roman" w:eastAsia="Times New Roman" w:hAnsi="Times New Roman" w:cs="Times New Roman"/>
          <w:lang w:eastAsia="pl-PL"/>
        </w:rPr>
        <w:t xml:space="preserve"> postępowania na p</w:t>
      </w:r>
      <w:r w:rsidR="00383172">
        <w:rPr>
          <w:rFonts w:ascii="Times New Roman" w:eastAsia="Times New Roman" w:hAnsi="Times New Roman" w:cs="Times New Roman"/>
          <w:lang w:eastAsia="pl-PL"/>
        </w:rPr>
        <w:t xml:space="preserve">odstawie art. 255 pkt 5, pkt 6 </w:t>
      </w:r>
      <w:r w:rsidR="0031751C">
        <w:rPr>
          <w:rFonts w:ascii="Times New Roman" w:eastAsia="Times New Roman" w:hAnsi="Times New Roman" w:cs="Times New Roman"/>
          <w:lang w:eastAsia="pl-PL"/>
        </w:rPr>
        <w:t xml:space="preserve">w zw. z art. 457 ust. 1 pkt 1 ustawy </w:t>
      </w:r>
      <w:proofErr w:type="spellStart"/>
      <w:r w:rsidR="0031751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28479DB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4F437E14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76E11727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73DD769D" w14:textId="736ADB23" w:rsidR="00383172" w:rsidRPr="00383172" w:rsidRDefault="0078082C" w:rsidP="00383172">
      <w:pPr>
        <w:spacing w:line="276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/-/ Agnieszka Kuśmierska</w:t>
      </w:r>
      <w:bookmarkStart w:id="0" w:name="_GoBack"/>
      <w:bookmarkEnd w:id="0"/>
    </w:p>
    <w:p w14:paraId="121C4C5D" w14:textId="77777777" w:rsidR="00383172" w:rsidRPr="00383172" w:rsidRDefault="00383172" w:rsidP="00383172">
      <w:pPr>
        <w:spacing w:after="0" w:line="276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383172">
        <w:rPr>
          <w:rFonts w:ascii="Times New Roman" w:eastAsia="Times New Roman" w:hAnsi="Times New Roman" w:cs="Times New Roman"/>
          <w:sz w:val="16"/>
          <w:szCs w:val="16"/>
          <w:lang w:eastAsia="zh-CN"/>
        </w:rPr>
        <w:t>(podpis nieczytelny, odręczny, pieczęć imienna Dyrektora Specjalistycznej Przychodni Lekarskiej dla Pracowników Wojska SPZOZ w Warszawie).</w:t>
      </w:r>
    </w:p>
    <w:p w14:paraId="6B48B5F5" w14:textId="78E353B5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5F795909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4D5990CD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0014DCD9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2B33A325" w14:textId="77777777" w:rsidR="00383172" w:rsidRDefault="00383172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</w:p>
    <w:p w14:paraId="3981C94F" w14:textId="77777777" w:rsidR="000B7020" w:rsidRPr="000B7020" w:rsidRDefault="000B7020" w:rsidP="000B7020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  <w:r w:rsidRPr="000B7020">
        <w:rPr>
          <w:rFonts w:ascii="Times New Roman" w:eastAsia="Times New Roman" w:hAnsi="Times New Roman" w:cs="Calibri"/>
          <w:sz w:val="16"/>
          <w:szCs w:val="16"/>
          <w:lang w:eastAsia="zh-CN"/>
        </w:rPr>
        <w:t>Wyk. w 1 egz.</w:t>
      </w:r>
    </w:p>
    <w:p w14:paraId="11FB2117" w14:textId="3F27B143" w:rsidR="004F5558" w:rsidRPr="000B7020" w:rsidRDefault="000B7020" w:rsidP="00F16F38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zh-CN"/>
        </w:rPr>
      </w:pPr>
      <w:r w:rsidRPr="000B7020">
        <w:rPr>
          <w:rFonts w:ascii="Times New Roman" w:eastAsia="Times New Roman" w:hAnsi="Times New Roman" w:cs="Calibri"/>
          <w:sz w:val="16"/>
          <w:szCs w:val="16"/>
          <w:lang w:eastAsia="zh-CN"/>
        </w:rPr>
        <w:t xml:space="preserve">Przygotowała w dniu </w:t>
      </w:r>
      <w:r w:rsidR="00383172">
        <w:rPr>
          <w:rFonts w:ascii="Times New Roman" w:eastAsia="Times New Roman" w:hAnsi="Times New Roman" w:cs="Calibri"/>
          <w:sz w:val="16"/>
          <w:szCs w:val="16"/>
          <w:lang w:eastAsia="zh-CN"/>
        </w:rPr>
        <w:t>01.04</w:t>
      </w:r>
      <w:r w:rsidRPr="000B7020">
        <w:rPr>
          <w:rFonts w:ascii="Times New Roman" w:eastAsia="Times New Roman" w:hAnsi="Times New Roman" w:cs="Calibri"/>
          <w:sz w:val="16"/>
          <w:szCs w:val="16"/>
          <w:lang w:eastAsia="zh-CN"/>
        </w:rPr>
        <w:t>.2022 r. Izabella Starzyń</w:t>
      </w:r>
      <w:r>
        <w:rPr>
          <w:rFonts w:ascii="Times New Roman" w:eastAsia="Times New Roman" w:hAnsi="Times New Roman" w:cs="Calibri"/>
          <w:sz w:val="16"/>
          <w:szCs w:val="16"/>
          <w:lang w:eastAsia="zh-CN"/>
        </w:rPr>
        <w:t>ska – Sekretarz Komisji</w:t>
      </w:r>
    </w:p>
    <w:sectPr w:rsidR="004F5558" w:rsidRPr="000B7020" w:rsidSect="000B70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11" w:right="1418" w:bottom="992" w:left="1418" w:header="142" w:footer="31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6FD03" w14:textId="77777777" w:rsidR="00743774" w:rsidRDefault="00743774">
      <w:pPr>
        <w:spacing w:after="0" w:line="240" w:lineRule="auto"/>
      </w:pPr>
      <w:r>
        <w:separator/>
      </w:r>
    </w:p>
  </w:endnote>
  <w:endnote w:type="continuationSeparator" w:id="0">
    <w:p w14:paraId="6A207ABF" w14:textId="77777777" w:rsidR="00743774" w:rsidRDefault="0074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altName w:val="Times New Roman"/>
    <w:charset w:val="00"/>
    <w:family w:val="swiss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12E0" w14:textId="77777777" w:rsidR="0021396E" w:rsidRDefault="00C63BA6">
    <w:pPr>
      <w:pStyle w:val="Stop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 w:rsidR="0021396E">
      <w:rPr>
        <w:rFonts w:ascii="Calibri" w:hAnsi="Calibri" w:cs="Calibri"/>
        <w:sz w:val="18"/>
        <w:szCs w:val="18"/>
      </w:rPr>
      <w:instrText>PAGE</w:instrText>
    </w:r>
    <w:r>
      <w:rPr>
        <w:rFonts w:ascii="Calibri" w:hAnsi="Calibri" w:cs="Calibri"/>
        <w:sz w:val="18"/>
        <w:szCs w:val="18"/>
      </w:rPr>
      <w:fldChar w:fldCharType="separate"/>
    </w:r>
    <w:r w:rsidR="0078082C">
      <w:rPr>
        <w:rFonts w:ascii="Calibri" w:hAnsi="Calibri" w:cs="Calibri"/>
        <w:noProof/>
        <w:sz w:val="18"/>
        <w:szCs w:val="18"/>
      </w:rPr>
      <w:t>4</w:t>
    </w:r>
    <w:r>
      <w:rPr>
        <w:rFonts w:ascii="Calibri" w:hAnsi="Calibri" w:cs="Calibri"/>
        <w:sz w:val="18"/>
        <w:szCs w:val="18"/>
      </w:rPr>
      <w:fldChar w:fldCharType="end"/>
    </w:r>
    <w:r w:rsidR="0021396E">
      <w:rPr>
        <w:rFonts w:ascii="Calibri" w:hAnsi="Calibri" w:cs="Calibr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1F09D" w14:textId="77777777" w:rsidR="0021396E" w:rsidRDefault="0021396E">
    <w:pPr>
      <w:pStyle w:val="Stopka"/>
    </w:pPr>
    <w:r>
      <w:tab/>
    </w:r>
    <w:r>
      <w:tab/>
      <w:t xml:space="preserve">Strona </w:t>
    </w:r>
    <w:r w:rsidR="00C63BA6">
      <w:rPr>
        <w:b/>
        <w:bCs/>
      </w:rPr>
      <w:fldChar w:fldCharType="begin"/>
    </w:r>
    <w:r>
      <w:rPr>
        <w:b/>
        <w:bCs/>
      </w:rPr>
      <w:instrText>PAGE</w:instrText>
    </w:r>
    <w:r w:rsidR="00C63BA6">
      <w:rPr>
        <w:b/>
        <w:bCs/>
      </w:rPr>
      <w:fldChar w:fldCharType="separate"/>
    </w:r>
    <w:r w:rsidR="0078082C">
      <w:rPr>
        <w:b/>
        <w:bCs/>
        <w:noProof/>
      </w:rPr>
      <w:t>1</w:t>
    </w:r>
    <w:r w:rsidR="00C63BA6">
      <w:rPr>
        <w:b/>
        <w:bCs/>
      </w:rPr>
      <w:fldChar w:fldCharType="end"/>
    </w:r>
    <w:r>
      <w:t xml:space="preserve"> z </w:t>
    </w:r>
    <w:r w:rsidR="00C63BA6">
      <w:rPr>
        <w:b/>
        <w:bCs/>
      </w:rPr>
      <w:fldChar w:fldCharType="begin"/>
    </w:r>
    <w:r>
      <w:rPr>
        <w:b/>
        <w:bCs/>
      </w:rPr>
      <w:instrText>NUMPAGES</w:instrText>
    </w:r>
    <w:r w:rsidR="00C63BA6">
      <w:rPr>
        <w:b/>
        <w:bCs/>
      </w:rPr>
      <w:fldChar w:fldCharType="separate"/>
    </w:r>
    <w:r w:rsidR="0078082C">
      <w:rPr>
        <w:b/>
        <w:bCs/>
        <w:noProof/>
      </w:rPr>
      <w:t>4</w:t>
    </w:r>
    <w:r w:rsidR="00C63BA6">
      <w:rPr>
        <w:b/>
        <w:bCs/>
      </w:rPr>
      <w:fldChar w:fldCharType="end"/>
    </w:r>
  </w:p>
  <w:p w14:paraId="2A386DCF" w14:textId="77777777" w:rsidR="0021396E" w:rsidRDefault="0021396E">
    <w:pPr>
      <w:pStyle w:val="Stopka"/>
      <w:tabs>
        <w:tab w:val="clear" w:pos="4536"/>
        <w:tab w:val="clear" w:pos="9072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2291" w14:textId="77777777" w:rsidR="00743774" w:rsidRDefault="00743774">
      <w:pPr>
        <w:rPr>
          <w:sz w:val="12"/>
        </w:rPr>
      </w:pPr>
      <w:r>
        <w:separator/>
      </w:r>
    </w:p>
  </w:footnote>
  <w:footnote w:type="continuationSeparator" w:id="0">
    <w:p w14:paraId="7FCA7E7E" w14:textId="77777777" w:rsidR="00743774" w:rsidRDefault="007437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7AD0" w14:textId="77777777" w:rsidR="0021396E" w:rsidRDefault="0021396E">
    <w:pPr>
      <w:pStyle w:val="Nagwek"/>
    </w:pPr>
  </w:p>
  <w:p w14:paraId="04E77095" w14:textId="77777777" w:rsidR="0021396E" w:rsidRDefault="002139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4170D" w14:textId="77777777" w:rsidR="0021396E" w:rsidRDefault="0021396E" w:rsidP="00F16F38">
    <w:pPr>
      <w:pStyle w:val="Teksttreci20"/>
      <w:shd w:val="clear" w:color="auto" w:fill="auto"/>
      <w:tabs>
        <w:tab w:val="left" w:pos="2217"/>
      </w:tabs>
      <w:spacing w:after="0"/>
      <w:jc w:val="left"/>
      <w:rPr>
        <w:sz w:val="20"/>
        <w:szCs w:val="20"/>
      </w:rPr>
    </w:pPr>
  </w:p>
  <w:p w14:paraId="67950B29" w14:textId="77777777" w:rsidR="0021396E" w:rsidRPr="001E5564" w:rsidRDefault="0021396E" w:rsidP="00F16F38">
    <w:pPr>
      <w:pStyle w:val="Teksttreci20"/>
      <w:shd w:val="clear" w:color="auto" w:fill="auto"/>
      <w:spacing w:after="0"/>
      <w:rPr>
        <w:sz w:val="20"/>
        <w:szCs w:val="20"/>
      </w:rPr>
    </w:pPr>
    <w:r w:rsidRPr="001E556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947115" wp14:editId="48C2FCE2">
          <wp:simplePos x="0" y="0"/>
          <wp:positionH relativeFrom="column">
            <wp:posOffset>-700405</wp:posOffset>
          </wp:positionH>
          <wp:positionV relativeFrom="page">
            <wp:posOffset>228600</wp:posOffset>
          </wp:positionV>
          <wp:extent cx="1100455" cy="1114425"/>
          <wp:effectExtent l="0" t="0" r="4445" b="9525"/>
          <wp:wrapTight wrapText="bothSides">
            <wp:wrapPolygon edited="0">
              <wp:start x="0" y="0"/>
              <wp:lineTo x="0" y="21415"/>
              <wp:lineTo x="21313" y="21415"/>
              <wp:lineTo x="21313" y="0"/>
              <wp:lineTo x="0" y="0"/>
            </wp:wrapPolygon>
          </wp:wrapTight>
          <wp:docPr id="15" name="Obraz 15" descr="C:\Users\Włodzimierz\Desktop\DOK SPL 3 02 16\Infor dot zakładu\logo_spl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łodzimierz\Desktop\DOK SPL 3 02 16\Infor dot zakładu\logo_spl.jpg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5564">
      <w:rPr>
        <w:sz w:val="20"/>
        <w:szCs w:val="20"/>
      </w:rPr>
      <w:t>SPECJALISTYCZNA PRZYCHODNIA LEKARSKA DLA PRACOWNIKÓW WOJSKA</w:t>
    </w:r>
  </w:p>
  <w:p w14:paraId="5BDA21FF" w14:textId="77777777" w:rsidR="0021396E" w:rsidRPr="001E5564" w:rsidRDefault="0021396E" w:rsidP="00F16F38">
    <w:pPr>
      <w:widowControl w:val="0"/>
      <w:spacing w:after="0" w:line="256" w:lineRule="exact"/>
      <w:jc w:val="center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B6C4429" wp14:editId="037FE5D7">
          <wp:simplePos x="0" y="0"/>
          <wp:positionH relativeFrom="column">
            <wp:posOffset>5232231</wp:posOffset>
          </wp:positionH>
          <wp:positionV relativeFrom="paragraph">
            <wp:posOffset>7168</wp:posOffset>
          </wp:positionV>
          <wp:extent cx="1311824" cy="865854"/>
          <wp:effectExtent l="0" t="0" r="0" b="0"/>
          <wp:wrapNone/>
          <wp:docPr id="18" name="Obraz 18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824" cy="86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5564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>Samodzielny Publiczny Zakład Opieki Zdrowotnej w Warszawie</w:t>
    </w:r>
  </w:p>
  <w:p w14:paraId="5A572860" w14:textId="77777777" w:rsidR="0021396E" w:rsidRDefault="0021396E" w:rsidP="00F16F38">
    <w:pPr>
      <w:pStyle w:val="Bezodstpw"/>
      <w:jc w:val="center"/>
      <w:rPr>
        <w:lang w:eastAsia="pl-PL"/>
      </w:rPr>
    </w:pPr>
    <w:r w:rsidRPr="001E5564">
      <w:rPr>
        <w:lang w:eastAsia="pl-PL"/>
      </w:rPr>
      <w:t>00-911 Warszawa</w:t>
    </w:r>
    <w:r>
      <w:rPr>
        <w:lang w:eastAsia="pl-PL"/>
      </w:rPr>
      <w:t xml:space="preserve"> 62</w:t>
    </w:r>
    <w:r w:rsidRPr="001E5564">
      <w:rPr>
        <w:lang w:eastAsia="pl-PL"/>
      </w:rPr>
      <w:t>, ul. Nowowiejska 31</w:t>
    </w:r>
  </w:p>
  <w:p w14:paraId="5CB4C490" w14:textId="77777777" w:rsidR="0021396E" w:rsidRPr="001E5564" w:rsidRDefault="0021396E" w:rsidP="00F16F38">
    <w:pPr>
      <w:widowControl w:val="0"/>
      <w:spacing w:after="0" w:line="256" w:lineRule="exact"/>
      <w:jc w:val="center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</w:p>
  <w:p w14:paraId="1DE5B26A" w14:textId="77777777" w:rsidR="0021396E" w:rsidRPr="004A281E" w:rsidRDefault="0021396E" w:rsidP="00F16F38">
    <w:pPr>
      <w:widowControl w:val="0"/>
      <w:spacing w:after="0" w:line="180" w:lineRule="exact"/>
      <w:ind w:left="851" w:hanging="567"/>
      <w:jc w:val="center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22 526 42 17; fax: 261 874 170</w:t>
    </w:r>
  </w:p>
  <w:p w14:paraId="0FFA47C8" w14:textId="77777777" w:rsidR="0021396E" w:rsidRDefault="0021396E" w:rsidP="00F16F38">
    <w:pPr>
      <w:widowControl w:val="0"/>
      <w:spacing w:after="0" w:line="220" w:lineRule="exact"/>
      <w:jc w:val="center"/>
      <w:rPr>
        <w:rFonts w:ascii="Times New Roman" w:eastAsia="Times New Roman" w:hAnsi="Times New Roman"/>
        <w:color w:val="000000"/>
        <w:spacing w:val="-1"/>
        <w:lang w:eastAsia="pl-PL"/>
      </w:rPr>
    </w:pPr>
  </w:p>
  <w:p w14:paraId="0FA06AC6" w14:textId="77777777" w:rsidR="0021396E" w:rsidRDefault="0021396E">
    <w:pPr>
      <w:pStyle w:val="Nagwek"/>
      <w:ind w:left="1276"/>
      <w:rPr>
        <w:b/>
        <w:i/>
        <w:i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  <w:rPr>
        <w:rFonts w:cs="Calibri" w:hint="default"/>
        <w:sz w:val="20"/>
        <w:szCs w:val="20"/>
      </w:rPr>
    </w:lvl>
  </w:abstractNum>
  <w:abstractNum w:abstractNumId="1">
    <w:nsid w:val="026B7A3B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537C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1927"/>
    <w:multiLevelType w:val="multilevel"/>
    <w:tmpl w:val="491887EA"/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</w:lvl>
  </w:abstractNum>
  <w:abstractNum w:abstractNumId="4">
    <w:nsid w:val="41E81B53"/>
    <w:multiLevelType w:val="multilevel"/>
    <w:tmpl w:val="CC486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DC0158D"/>
    <w:multiLevelType w:val="hybridMultilevel"/>
    <w:tmpl w:val="6772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B9"/>
    <w:rsid w:val="000177B7"/>
    <w:rsid w:val="000504C9"/>
    <w:rsid w:val="00053D3F"/>
    <w:rsid w:val="00057ACC"/>
    <w:rsid w:val="00063B47"/>
    <w:rsid w:val="000B7020"/>
    <w:rsid w:val="000C6784"/>
    <w:rsid w:val="000D0151"/>
    <w:rsid w:val="000D4557"/>
    <w:rsid w:val="000D7F98"/>
    <w:rsid w:val="000F0304"/>
    <w:rsid w:val="0010282A"/>
    <w:rsid w:val="001037CC"/>
    <w:rsid w:val="0011218B"/>
    <w:rsid w:val="00144279"/>
    <w:rsid w:val="00146DD9"/>
    <w:rsid w:val="00171120"/>
    <w:rsid w:val="00191F9C"/>
    <w:rsid w:val="001A2AF5"/>
    <w:rsid w:val="002106B4"/>
    <w:rsid w:val="0021396E"/>
    <w:rsid w:val="00214BC3"/>
    <w:rsid w:val="00221608"/>
    <w:rsid w:val="00222956"/>
    <w:rsid w:val="0024167C"/>
    <w:rsid w:val="0026360E"/>
    <w:rsid w:val="002D1C48"/>
    <w:rsid w:val="002D38F2"/>
    <w:rsid w:val="0031250E"/>
    <w:rsid w:val="0031751C"/>
    <w:rsid w:val="003224AB"/>
    <w:rsid w:val="00323327"/>
    <w:rsid w:val="00363B0C"/>
    <w:rsid w:val="00372DAF"/>
    <w:rsid w:val="00381E7E"/>
    <w:rsid w:val="00383172"/>
    <w:rsid w:val="00393747"/>
    <w:rsid w:val="003D125E"/>
    <w:rsid w:val="003E4206"/>
    <w:rsid w:val="004146A2"/>
    <w:rsid w:val="004A2532"/>
    <w:rsid w:val="004A4DC3"/>
    <w:rsid w:val="004E204C"/>
    <w:rsid w:val="004F5558"/>
    <w:rsid w:val="00502E9B"/>
    <w:rsid w:val="00513120"/>
    <w:rsid w:val="005A41FE"/>
    <w:rsid w:val="005D14EE"/>
    <w:rsid w:val="00616DFC"/>
    <w:rsid w:val="0062673D"/>
    <w:rsid w:val="00642920"/>
    <w:rsid w:val="0067023F"/>
    <w:rsid w:val="006B5E54"/>
    <w:rsid w:val="00706F99"/>
    <w:rsid w:val="00707AB9"/>
    <w:rsid w:val="007162A7"/>
    <w:rsid w:val="00733235"/>
    <w:rsid w:val="00743774"/>
    <w:rsid w:val="00752FC2"/>
    <w:rsid w:val="0078082C"/>
    <w:rsid w:val="007B0A2D"/>
    <w:rsid w:val="00832301"/>
    <w:rsid w:val="00853194"/>
    <w:rsid w:val="00883125"/>
    <w:rsid w:val="009676FA"/>
    <w:rsid w:val="009C3D3F"/>
    <w:rsid w:val="009D06E4"/>
    <w:rsid w:val="009D45C0"/>
    <w:rsid w:val="00A17904"/>
    <w:rsid w:val="00A70C70"/>
    <w:rsid w:val="00A81A54"/>
    <w:rsid w:val="00AB1FA0"/>
    <w:rsid w:val="00B245ED"/>
    <w:rsid w:val="00B67D56"/>
    <w:rsid w:val="00B77C4F"/>
    <w:rsid w:val="00B87A54"/>
    <w:rsid w:val="00BA5B6C"/>
    <w:rsid w:val="00BE3CB9"/>
    <w:rsid w:val="00BF7902"/>
    <w:rsid w:val="00C34E5D"/>
    <w:rsid w:val="00C359A3"/>
    <w:rsid w:val="00C50E1B"/>
    <w:rsid w:val="00C63BA6"/>
    <w:rsid w:val="00C91719"/>
    <w:rsid w:val="00C93639"/>
    <w:rsid w:val="00CB17A6"/>
    <w:rsid w:val="00CB3E99"/>
    <w:rsid w:val="00CE4955"/>
    <w:rsid w:val="00D17AB9"/>
    <w:rsid w:val="00D72BD9"/>
    <w:rsid w:val="00D74016"/>
    <w:rsid w:val="00DC615E"/>
    <w:rsid w:val="00E046F6"/>
    <w:rsid w:val="00E63413"/>
    <w:rsid w:val="00EC1DCD"/>
    <w:rsid w:val="00ED70C2"/>
    <w:rsid w:val="00F16F38"/>
    <w:rsid w:val="00F30240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  <w14:docId w14:val="01F1C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13695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0A88"/>
    <w:rPr>
      <w:sz w:val="20"/>
      <w:szCs w:val="20"/>
    </w:rPr>
  </w:style>
  <w:style w:type="character" w:customStyle="1" w:styleId="Zakotwiczenieprzypisudolnego">
    <w:name w:val="Zakotwiczenie przypisu dolnego"/>
    <w:rsid w:val="0022295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00A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B83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222956"/>
  </w:style>
  <w:style w:type="character" w:customStyle="1" w:styleId="Zakotwiczenieprzypisukocowego">
    <w:name w:val="Zakotwiczenie przypisu końcowego"/>
    <w:rsid w:val="00222956"/>
    <w:rPr>
      <w:vertAlign w:val="superscript"/>
    </w:rPr>
  </w:style>
  <w:style w:type="character" w:customStyle="1" w:styleId="Znakiprzypiswkocowych">
    <w:name w:val="Znaki przypisów końcowych"/>
    <w:qFormat/>
    <w:rsid w:val="00222956"/>
  </w:style>
  <w:style w:type="paragraph" w:styleId="Nagwek">
    <w:name w:val="header"/>
    <w:basedOn w:val="Normalny"/>
    <w:next w:val="Tekstpodstawowy"/>
    <w:link w:val="NagwekZnak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222956"/>
    <w:pPr>
      <w:spacing w:after="140" w:line="276" w:lineRule="auto"/>
    </w:pPr>
  </w:style>
  <w:style w:type="paragraph" w:styleId="Lista">
    <w:name w:val="List"/>
    <w:basedOn w:val="Tekstpodstawowy"/>
    <w:rsid w:val="00222956"/>
    <w:rPr>
      <w:rFonts w:cs="Lucida Sans"/>
    </w:rPr>
  </w:style>
  <w:style w:type="paragraph" w:styleId="Legenda">
    <w:name w:val="caption"/>
    <w:basedOn w:val="Normalny"/>
    <w:qFormat/>
    <w:rsid w:val="002229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295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22956"/>
  </w:style>
  <w:style w:type="paragraph" w:styleId="Stopka">
    <w:name w:val="footer"/>
    <w:basedOn w:val="Normalny"/>
    <w:link w:val="StopkaZnak"/>
    <w:uiPriority w:val="99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A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23F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F16F38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6F38"/>
    <w:pPr>
      <w:widowControl w:val="0"/>
      <w:shd w:val="clear" w:color="auto" w:fill="FFFFFF"/>
      <w:suppressAutoHyphens w:val="0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Bezodstpw">
    <w:name w:val="No Spacing"/>
    <w:uiPriority w:val="1"/>
    <w:qFormat/>
    <w:rsid w:val="00F16F38"/>
    <w:pPr>
      <w:suppressAutoHyphens w:val="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E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13695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0A88"/>
    <w:rPr>
      <w:sz w:val="20"/>
      <w:szCs w:val="20"/>
    </w:rPr>
  </w:style>
  <w:style w:type="character" w:customStyle="1" w:styleId="Zakotwiczenieprzypisudolnego">
    <w:name w:val="Zakotwiczenie przypisu dolnego"/>
    <w:rsid w:val="0022295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00A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B83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222956"/>
  </w:style>
  <w:style w:type="character" w:customStyle="1" w:styleId="Zakotwiczenieprzypisukocowego">
    <w:name w:val="Zakotwiczenie przypisu końcowego"/>
    <w:rsid w:val="00222956"/>
    <w:rPr>
      <w:vertAlign w:val="superscript"/>
    </w:rPr>
  </w:style>
  <w:style w:type="character" w:customStyle="1" w:styleId="Znakiprzypiswkocowych">
    <w:name w:val="Znaki przypisów końcowych"/>
    <w:qFormat/>
    <w:rsid w:val="00222956"/>
  </w:style>
  <w:style w:type="paragraph" w:styleId="Nagwek">
    <w:name w:val="header"/>
    <w:basedOn w:val="Normalny"/>
    <w:next w:val="Tekstpodstawowy"/>
    <w:link w:val="NagwekZnak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222956"/>
    <w:pPr>
      <w:spacing w:after="140" w:line="276" w:lineRule="auto"/>
    </w:pPr>
  </w:style>
  <w:style w:type="paragraph" w:styleId="Lista">
    <w:name w:val="List"/>
    <w:basedOn w:val="Tekstpodstawowy"/>
    <w:rsid w:val="00222956"/>
    <w:rPr>
      <w:rFonts w:cs="Lucida Sans"/>
    </w:rPr>
  </w:style>
  <w:style w:type="paragraph" w:styleId="Legenda">
    <w:name w:val="caption"/>
    <w:basedOn w:val="Normalny"/>
    <w:qFormat/>
    <w:rsid w:val="002229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295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22956"/>
  </w:style>
  <w:style w:type="paragraph" w:styleId="Stopka">
    <w:name w:val="footer"/>
    <w:basedOn w:val="Normalny"/>
    <w:link w:val="StopkaZnak"/>
    <w:uiPriority w:val="99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A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23F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F16F38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6F38"/>
    <w:pPr>
      <w:widowControl w:val="0"/>
      <w:shd w:val="clear" w:color="auto" w:fill="FFFFFF"/>
      <w:suppressAutoHyphens w:val="0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Bezodstpw">
    <w:name w:val="No Spacing"/>
    <w:uiPriority w:val="1"/>
    <w:qFormat/>
    <w:rsid w:val="00F16F38"/>
    <w:pPr>
      <w:suppressAutoHyphens w:val="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3CE9-AB29-41A8-AE37-EEE6C1C8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</dc:creator>
  <cp:lastModifiedBy>SPLdlaPW</cp:lastModifiedBy>
  <cp:revision>6</cp:revision>
  <cp:lastPrinted>2022-04-01T10:50:00Z</cp:lastPrinted>
  <dcterms:created xsi:type="dcterms:W3CDTF">2022-03-31T12:43:00Z</dcterms:created>
  <dcterms:modified xsi:type="dcterms:W3CDTF">2022-04-01T12:42:00Z</dcterms:modified>
  <dc:language>pl-PL</dc:language>
</cp:coreProperties>
</file>