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6B" w:rsidRPr="00CB72FB" w:rsidRDefault="0052106B" w:rsidP="00F507E7">
      <w:pPr>
        <w:rPr>
          <w:b/>
          <w:spacing w:val="-4"/>
        </w:rPr>
      </w:pP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sprawa BZP.3810.53.</w:t>
      </w:r>
      <w:r w:rsidRPr="00064D26">
        <w:rPr>
          <w:b/>
          <w:spacing w:val="-4"/>
          <w:sz w:val="24"/>
          <w:szCs w:val="24"/>
        </w:rPr>
        <w:t xml:space="preserve">2020.JK -załącznik  do oferty </w:t>
      </w: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pakiet nr 11</w:t>
      </w: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  <w:r w:rsidRPr="00064D26">
        <w:rPr>
          <w:b/>
          <w:spacing w:val="-4"/>
          <w:sz w:val="24"/>
          <w:szCs w:val="24"/>
        </w:rPr>
        <w:t>Zestawienie parametrów  i warunk</w:t>
      </w:r>
      <w:r>
        <w:rPr>
          <w:b/>
          <w:spacing w:val="-4"/>
          <w:sz w:val="24"/>
          <w:szCs w:val="24"/>
        </w:rPr>
        <w:t>ów wymaganych; Pompy infuzyjne - 4</w:t>
      </w:r>
      <w:r w:rsidRPr="00064D26">
        <w:rPr>
          <w:b/>
          <w:spacing w:val="-4"/>
          <w:sz w:val="24"/>
          <w:szCs w:val="24"/>
        </w:rPr>
        <w:t>0 szt.</w:t>
      </w:r>
    </w:p>
    <w:p w:rsidR="0052106B" w:rsidRPr="00CB72FB" w:rsidRDefault="0052106B" w:rsidP="00F507E7">
      <w:pPr>
        <w:spacing w:after="0"/>
        <w:rPr>
          <w:b/>
          <w:spacing w:val="-4"/>
        </w:rPr>
      </w:pP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  <w:r w:rsidRPr="00064D26">
        <w:rPr>
          <w:b/>
          <w:spacing w:val="-4"/>
          <w:sz w:val="24"/>
          <w:szCs w:val="24"/>
        </w:rPr>
        <w:t>Producent……………………..</w:t>
      </w: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  <w:r w:rsidRPr="00064D26">
        <w:rPr>
          <w:b/>
          <w:spacing w:val="-4"/>
          <w:sz w:val="24"/>
          <w:szCs w:val="24"/>
        </w:rPr>
        <w:t>Kraj pochodzenia……………….</w:t>
      </w: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  <w:r w:rsidRPr="00064D26">
        <w:rPr>
          <w:b/>
          <w:spacing w:val="-4"/>
          <w:sz w:val="24"/>
          <w:szCs w:val="24"/>
        </w:rPr>
        <w:t>Rok produkcji………………………</w:t>
      </w: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</w:p>
    <w:p w:rsidR="0052106B" w:rsidRDefault="0052106B" w:rsidP="00F507E7">
      <w:pPr>
        <w:spacing w:after="0"/>
        <w:rPr>
          <w:b/>
          <w:spacing w:val="-4"/>
          <w:sz w:val="24"/>
          <w:szCs w:val="24"/>
        </w:rPr>
      </w:pPr>
      <w:r w:rsidRPr="00064D26">
        <w:rPr>
          <w:b/>
          <w:spacing w:val="-4"/>
          <w:sz w:val="24"/>
          <w:szCs w:val="24"/>
        </w:rPr>
        <w:t>Typ</w:t>
      </w:r>
      <w:r>
        <w:rPr>
          <w:b/>
          <w:spacing w:val="-4"/>
          <w:sz w:val="24"/>
          <w:szCs w:val="24"/>
        </w:rPr>
        <w:t>/model</w:t>
      </w:r>
      <w:r w:rsidRPr="00064D26">
        <w:rPr>
          <w:b/>
          <w:spacing w:val="-4"/>
          <w:sz w:val="24"/>
          <w:szCs w:val="24"/>
        </w:rPr>
        <w:t>………………………</w:t>
      </w:r>
    </w:p>
    <w:p w:rsidR="0052106B" w:rsidRDefault="0052106B" w:rsidP="00F507E7">
      <w:pPr>
        <w:spacing w:after="0"/>
        <w:rPr>
          <w:b/>
          <w:spacing w:val="-4"/>
          <w:sz w:val="24"/>
          <w:szCs w:val="24"/>
        </w:rPr>
      </w:pPr>
    </w:p>
    <w:p w:rsidR="0052106B" w:rsidRPr="00064D26" w:rsidRDefault="0052106B" w:rsidP="00F507E7">
      <w:pPr>
        <w:spacing w:after="0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Klasa wyrobu medycznego…………………………………….</w:t>
      </w:r>
    </w:p>
    <w:p w:rsidR="0052106B" w:rsidRPr="00CB72FB" w:rsidRDefault="0052106B" w:rsidP="00F507E7">
      <w:pPr>
        <w:rPr>
          <w:b/>
          <w:spacing w:val="-4"/>
        </w:rPr>
      </w:pPr>
      <w:r w:rsidRPr="00CB72FB">
        <w:rPr>
          <w:b/>
          <w:spacing w:val="-4"/>
        </w:rPr>
        <w:t xml:space="preserve"> </w:t>
      </w:r>
    </w:p>
    <w:p w:rsidR="0052106B" w:rsidRDefault="0052106B" w:rsidP="00F507E7">
      <w:pPr>
        <w:rPr>
          <w:b/>
        </w:rPr>
      </w:pPr>
      <w:r w:rsidRPr="00CB72FB">
        <w:rPr>
          <w:b/>
        </w:rPr>
        <w:t xml:space="preserve">Pompa  infuzyjna  strzykawkowa </w:t>
      </w:r>
    </w:p>
    <w:p w:rsidR="0052106B" w:rsidRPr="00DF4535" w:rsidRDefault="0052106B" w:rsidP="00F507E7">
      <w:pPr>
        <w:rPr>
          <w:b/>
          <w:color w:val="FF0000"/>
        </w:rPr>
      </w:pPr>
      <w:r w:rsidRPr="00DF4535">
        <w:rPr>
          <w:b/>
          <w:color w:val="FF0000"/>
        </w:rPr>
        <w:t>(Zamawiający posiada stacje dokujące LINK 6 producent Fresenius)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434"/>
        <w:gridCol w:w="1080"/>
        <w:gridCol w:w="1440"/>
        <w:gridCol w:w="2520"/>
      </w:tblGrid>
      <w:tr w:rsidR="0052106B" w:rsidRPr="00064D26" w:rsidTr="00C463B2">
        <w:tc>
          <w:tcPr>
            <w:tcW w:w="496" w:type="dxa"/>
          </w:tcPr>
          <w:p w:rsidR="0052106B" w:rsidRPr="00E96A60" w:rsidRDefault="0052106B" w:rsidP="00C463B2">
            <w:pPr>
              <w:jc w:val="center"/>
              <w:rPr>
                <w:b/>
                <w:i/>
              </w:rPr>
            </w:pPr>
            <w:r w:rsidRPr="00E96A60">
              <w:rPr>
                <w:b/>
                <w:i/>
              </w:rPr>
              <w:t>Lp.</w:t>
            </w:r>
          </w:p>
        </w:tc>
        <w:tc>
          <w:tcPr>
            <w:tcW w:w="4434" w:type="dxa"/>
          </w:tcPr>
          <w:p w:rsidR="0052106B" w:rsidRPr="00E96A60" w:rsidRDefault="0052106B" w:rsidP="00C463B2">
            <w:pPr>
              <w:jc w:val="center"/>
              <w:rPr>
                <w:b/>
                <w:i/>
              </w:rPr>
            </w:pPr>
            <w:r w:rsidRPr="00E96A60">
              <w:rPr>
                <w:b/>
                <w:i/>
              </w:rPr>
              <w:t>Wymagany parametr urządzenia</w:t>
            </w:r>
          </w:p>
        </w:tc>
        <w:tc>
          <w:tcPr>
            <w:tcW w:w="1080" w:type="dxa"/>
          </w:tcPr>
          <w:p w:rsidR="0052106B" w:rsidRPr="00E96A60" w:rsidRDefault="0052106B" w:rsidP="00C463B2">
            <w:pPr>
              <w:jc w:val="center"/>
              <w:rPr>
                <w:b/>
                <w:i/>
              </w:rPr>
            </w:pPr>
            <w:r w:rsidRPr="00E96A60">
              <w:rPr>
                <w:b/>
                <w:i/>
              </w:rPr>
              <w:t>Parametr graniczny</w:t>
            </w:r>
          </w:p>
        </w:tc>
        <w:tc>
          <w:tcPr>
            <w:tcW w:w="1440" w:type="dxa"/>
          </w:tcPr>
          <w:p w:rsidR="0052106B" w:rsidRDefault="0052106B" w:rsidP="00C463B2">
            <w:pPr>
              <w:jc w:val="center"/>
              <w:rPr>
                <w:b/>
                <w:i/>
              </w:rPr>
            </w:pPr>
            <w:r w:rsidRPr="00E96A60">
              <w:rPr>
                <w:b/>
                <w:i/>
              </w:rPr>
              <w:t>Parametr</w:t>
            </w:r>
          </w:p>
          <w:p w:rsidR="0052106B" w:rsidRPr="00E96A60" w:rsidRDefault="0052106B" w:rsidP="00C463B2">
            <w:pPr>
              <w:jc w:val="center"/>
              <w:rPr>
                <w:i/>
              </w:rPr>
            </w:pPr>
            <w:r w:rsidRPr="00E96A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oferowany</w:t>
            </w:r>
          </w:p>
        </w:tc>
        <w:tc>
          <w:tcPr>
            <w:tcW w:w="2520" w:type="dxa"/>
          </w:tcPr>
          <w:p w:rsidR="0052106B" w:rsidRPr="00E96A60" w:rsidRDefault="0052106B" w:rsidP="00C463B2">
            <w:pPr>
              <w:jc w:val="center"/>
              <w:rPr>
                <w:i/>
              </w:rPr>
            </w:pPr>
            <w:r w:rsidRPr="00E96A60">
              <w:rPr>
                <w:b/>
                <w:i/>
                <w:spacing w:val="-4"/>
              </w:rPr>
              <w:t>Strona oferty, na której znajduje się wymagany opis</w:t>
            </w:r>
          </w:p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Pompa strzykawkowa do podawania dożylnego i dojelitowego sterowana elektronicznie umożliwiająca współpracę z systemem centralnego zasilania i zarządzania danymi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rPr>
          <w:trHeight w:val="325"/>
        </w:trPr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Zasilanie AC 230 V 50 Hz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Klasa ochronności zgodnie z IEC/EN60601-1 : Klasa II, typ CF,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rPr>
          <w:trHeight w:val="303"/>
        </w:trPr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Ochrona przed wilgocią wg EN 6060529 min, IP 22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5.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Zasilanie z akumulatora wewnętrznego min 8 godz. przy przepływie 5 ml/godz.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rPr>
          <w:trHeight w:val="309"/>
        </w:trPr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6.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 xml:space="preserve">Masa pompy do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064D26">
                <w:rPr>
                  <w:rFonts w:eastAsia="Batang"/>
                </w:rPr>
                <w:t>2,5 kg</w:t>
              </w:r>
            </w:smartTag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7.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Mechanizm blokujący tłok zapobiegający samoczynnemu opróżnianiu strzykawki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8.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Możliwość mocowania pompy do rury pionowej przy pomocy elementu na stałe wbudowanego w pompę lub elementu zatrzaskowo mocowanego do pompy.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9.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Możliwość mocowania pompy do szyny poziomej przy pomocy elementu na stałe wbudowanego w pompę lub elementu zatrzaskowo mocowanego do pompy.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10.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Zatrzaskowe mocowanie pompy</w:t>
            </w:r>
            <w:r>
              <w:rPr>
                <w:rFonts w:eastAsia="Batang"/>
              </w:rPr>
              <w:t xml:space="preserve"> do posiadanych  stacji dokujących przez zamawiającego (</w:t>
            </w:r>
            <w:r w:rsidRPr="00DF4535">
              <w:rPr>
                <w:b/>
                <w:color w:val="FF0000"/>
              </w:rPr>
              <w:t>stacje dokujące LINK 6 producent Fresenius)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11.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  <w:spacing w:val="2"/>
              </w:rPr>
            </w:pPr>
            <w:r w:rsidRPr="00064D26">
              <w:rPr>
                <w:rFonts w:eastAsia="Batang"/>
                <w:spacing w:val="2"/>
              </w:rPr>
              <w:t>Automatyczne podłączenie zasilania po umieszczeniu pompy w oferowanych stacji dokującej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12.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  <w:color w:val="000000"/>
                <w:spacing w:val="2"/>
              </w:rPr>
              <w:t>Automatyczna funkcja antybolus po okluzji – z</w:t>
            </w:r>
            <w:r w:rsidRPr="00064D26">
              <w:rPr>
                <w:rFonts w:eastAsia="Batang"/>
                <w:color w:val="000000"/>
                <w:spacing w:val="1"/>
              </w:rPr>
              <w:t xml:space="preserve">abezpieczenie przed podaniem </w:t>
            </w:r>
            <w:r w:rsidRPr="00064D26">
              <w:rPr>
                <w:rFonts w:eastAsia="Batang"/>
                <w:color w:val="000000"/>
              </w:rPr>
              <w:t xml:space="preserve">niekontrolowanego bolusa po alarmie okluzji, </w:t>
            </w:r>
            <w:r w:rsidRPr="00064D26">
              <w:rPr>
                <w:rFonts w:eastAsia="Batang"/>
              </w:rPr>
              <w:t>ograniczenie bolusa &lt; 0,2 ml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13.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  <w:color w:val="000000"/>
                <w:spacing w:val="2"/>
              </w:rPr>
            </w:pPr>
            <w:r w:rsidRPr="00064D26">
              <w:rPr>
                <w:rFonts w:eastAsia="Batang"/>
                <w:color w:val="000000"/>
                <w:spacing w:val="2"/>
              </w:rPr>
              <w:t>Mocowanie strzykawki do czoła pompy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14.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  <w:color w:val="000000"/>
                <w:spacing w:val="1"/>
              </w:rPr>
            </w:pPr>
            <w:r w:rsidRPr="00064D26">
              <w:rPr>
                <w:rFonts w:eastAsia="Batang"/>
                <w:color w:val="000000"/>
                <w:spacing w:val="1"/>
              </w:rPr>
              <w:t xml:space="preserve">Pompa skalibrowana do pracy ze strzykawkami o objętości 5, 10, 20, </w:t>
            </w:r>
          </w:p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  <w:color w:val="000000"/>
                <w:spacing w:val="1"/>
              </w:rPr>
              <w:t>i 50/60 ml różnych typów oraz różnych producentów (</w:t>
            </w:r>
            <w:r w:rsidRPr="00064D26">
              <w:rPr>
                <w:rFonts w:eastAsia="Batang"/>
                <w:color w:val="000000"/>
              </w:rPr>
              <w:t>minimum 3 producentów strzykawek dostępnych na rynku polskim)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15.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Zakres szybkości infuzji przynajmniej  0,1 do 1100 ml/godz.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16.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Zmiana szybkości infuzji bez konieczności przerywania wlewu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17.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Możliwość programowania infuzji w jednostkach masy: ng, μg, mg, cal, kcal, U, kU, mmol, mol, Kmol na kg masy ciała pacjenta lub nie, na czas (na 24godziny, godzinę oraz minutę).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18.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Bolus podawany na żądanie bez konieczności wstrzymywania trwającej infuzji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19.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Dwa rodzaje bolusa:</w:t>
            </w:r>
          </w:p>
          <w:p w:rsidR="0052106B" w:rsidRPr="00064D26" w:rsidRDefault="0052106B" w:rsidP="00F507E7">
            <w:pPr>
              <w:numPr>
                <w:ilvl w:val="0"/>
                <w:numId w:val="28"/>
              </w:numPr>
              <w:tabs>
                <w:tab w:val="clear" w:pos="624"/>
                <w:tab w:val="num" w:pos="0"/>
              </w:tabs>
              <w:spacing w:after="0" w:line="240" w:lineRule="auto"/>
              <w:ind w:left="292"/>
              <w:rPr>
                <w:rFonts w:eastAsia="Batang"/>
              </w:rPr>
            </w:pPr>
            <w:r w:rsidRPr="00064D26">
              <w:rPr>
                <w:rFonts w:eastAsia="Batang"/>
              </w:rPr>
              <w:t>Ręczny - szybkości podaży 50 – 1200 ml/h</w:t>
            </w:r>
          </w:p>
          <w:p w:rsidR="0052106B" w:rsidRPr="00064D26" w:rsidRDefault="0052106B" w:rsidP="00F507E7">
            <w:pPr>
              <w:numPr>
                <w:ilvl w:val="0"/>
                <w:numId w:val="28"/>
              </w:numPr>
              <w:tabs>
                <w:tab w:val="clear" w:pos="624"/>
                <w:tab w:val="num" w:pos="0"/>
              </w:tabs>
              <w:spacing w:after="0" w:line="240" w:lineRule="auto"/>
              <w:ind w:left="292"/>
              <w:rPr>
                <w:rFonts w:eastAsia="Batang"/>
              </w:rPr>
            </w:pPr>
            <w:r w:rsidRPr="00064D26">
              <w:rPr>
                <w:rFonts w:eastAsia="Batang"/>
              </w:rPr>
              <w:t>Programowany - dawka lub objętość/czas: 0,1-99,9 jednostek / 0,1  - 1200 ml, automatyczne wyliczenie czasu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>
              <w:t>20.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Dokładność mechanizmu pompy +/- 1%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21.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Funkcja programowania objętości do podania (VTBD) 0,1- 999,9 ml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22.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Funkcja programowania czasu infuzji przynajmniej od 1min – 96 godzin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23.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Ciągły pomiar ciśnienia w linii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24.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Ustawianie poziomu ciśnienia okluzji – przynajmniej 9 poziomów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25.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jc w:val="both"/>
              <w:rPr>
                <w:rFonts w:eastAsia="Batang"/>
              </w:rPr>
            </w:pPr>
            <w:r w:rsidRPr="00064D26">
              <w:rPr>
                <w:rFonts w:eastAsia="Batang"/>
              </w:rPr>
              <w:t xml:space="preserve">Funkcja KVO 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26.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Zróżnicowana prędkość KVO z możliwością programowania szybkości lub automatycznym dopasowaniem prędkości przez pompę.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27.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Funkcja – przerwa (standby) w zakresie od 1min do 24 godz.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28.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Specjalny sposób wyświetlania parametrów dostosowany do pracy przy słabym oświetleniu (tzw. Tryb nocny)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29.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Wskaźnik pracy pompy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30.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  <w:color w:val="000000"/>
              </w:rPr>
            </w:pPr>
            <w:r w:rsidRPr="00064D26">
              <w:rPr>
                <w:rFonts w:eastAsia="Batang"/>
                <w:color w:val="000000"/>
              </w:rPr>
              <w:t>Akustyczno-</w:t>
            </w:r>
            <w:r w:rsidRPr="00064D26">
              <w:rPr>
                <w:rFonts w:eastAsia="Batang"/>
                <w:color w:val="000000"/>
                <w:spacing w:val="-2"/>
              </w:rPr>
              <w:t>optyczny</w:t>
            </w:r>
            <w:r w:rsidRPr="00064D26">
              <w:rPr>
                <w:rFonts w:eastAsia="Batang"/>
                <w:color w:val="000000"/>
              </w:rPr>
              <w:t xml:space="preserve"> system alarmów i ostrzeżeń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31.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Alarm pustej strzykawki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32.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  <w:color w:val="000000"/>
                <w:spacing w:val="-2"/>
              </w:rPr>
            </w:pPr>
            <w:r w:rsidRPr="00064D26">
              <w:rPr>
                <w:rFonts w:eastAsia="Batang"/>
                <w:color w:val="000000"/>
                <w:spacing w:val="-2"/>
              </w:rPr>
              <w:t>Alarm przypominający – zatrzymana infuzja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33.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  <w:color w:val="000000"/>
                <w:spacing w:val="-1"/>
              </w:rPr>
            </w:pPr>
            <w:r w:rsidRPr="00064D26">
              <w:rPr>
                <w:rFonts w:eastAsia="Batang"/>
                <w:color w:val="000000"/>
                <w:spacing w:val="-1"/>
              </w:rPr>
              <w:t>Alarm okluzji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34.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  <w:color w:val="000000"/>
                <w:spacing w:val="-1"/>
              </w:rPr>
            </w:pPr>
            <w:r w:rsidRPr="00064D26">
              <w:rPr>
                <w:rFonts w:eastAsia="Batang"/>
                <w:color w:val="000000"/>
                <w:spacing w:val="-1"/>
              </w:rPr>
              <w:t>Alarm rozłączenia linii – spadku ciśnienia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35.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  <w:color w:val="000000"/>
                <w:spacing w:val="-1"/>
              </w:rPr>
            </w:pPr>
            <w:r w:rsidRPr="00064D26">
              <w:rPr>
                <w:rFonts w:eastAsia="Batang"/>
                <w:color w:val="000000"/>
                <w:spacing w:val="-1"/>
              </w:rPr>
              <w:t>Alarm rozładowanego akumulatora</w:t>
            </w:r>
          </w:p>
          <w:p w:rsidR="0052106B" w:rsidRPr="00064D26" w:rsidRDefault="0052106B" w:rsidP="00C463B2">
            <w:pPr>
              <w:rPr>
                <w:rFonts w:eastAsia="Batang"/>
                <w:color w:val="000000"/>
                <w:spacing w:val="-1"/>
              </w:rPr>
            </w:pP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36.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 xml:space="preserve">Alarm wstępny </w:t>
            </w:r>
            <w:r w:rsidRPr="00064D26">
              <w:rPr>
                <w:rFonts w:eastAsia="Batang"/>
                <w:color w:val="000000"/>
              </w:rPr>
              <w:t>zbliżającego się rozładowania akumulatora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37.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  <w:color w:val="000000"/>
              </w:rPr>
            </w:pPr>
            <w:r w:rsidRPr="00064D26">
              <w:rPr>
                <w:rFonts w:eastAsia="Batang"/>
                <w:color w:val="000000"/>
              </w:rPr>
              <w:t>Alarm braku lub źle założonej strzykawki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38.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Alarm otwartego uchwytu komory strzykawki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39.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  <w:color w:val="000000"/>
              </w:rPr>
            </w:pPr>
            <w:r w:rsidRPr="00064D26">
              <w:rPr>
                <w:rFonts w:eastAsia="Batang"/>
                <w:color w:val="000000"/>
              </w:rPr>
              <w:t>Alarm informujący o uszkodzeniu sprzętu.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40.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Alarm wstępny przed opróżnieniem strzykawki z możliwością zaprogramowania czasu przed opróżnieniem strzykawki, w którym pojawi się alarm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41</w:t>
            </w:r>
          </w:p>
        </w:tc>
        <w:tc>
          <w:tcPr>
            <w:tcW w:w="4434" w:type="dxa"/>
          </w:tcPr>
          <w:p w:rsidR="0052106B" w:rsidRPr="00064D26" w:rsidRDefault="0052106B" w:rsidP="00C463B2">
            <w:pPr>
              <w:rPr>
                <w:rFonts w:eastAsia="Batang"/>
              </w:rPr>
            </w:pPr>
            <w:r w:rsidRPr="00064D26">
              <w:rPr>
                <w:rFonts w:eastAsia="Batang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42.</w:t>
            </w:r>
          </w:p>
        </w:tc>
        <w:tc>
          <w:tcPr>
            <w:tcW w:w="4434" w:type="dxa"/>
          </w:tcPr>
          <w:p w:rsidR="0052106B" w:rsidRPr="00FB5D51" w:rsidRDefault="0052106B" w:rsidP="00FB5D51">
            <w:pPr>
              <w:pStyle w:val="Heading3"/>
              <w:numPr>
                <w:ilvl w:val="0"/>
                <w:numId w:val="0"/>
              </w:numPr>
              <w:rPr>
                <w:rFonts w:ascii="Calibri" w:eastAsia="Batang" w:hAnsi="Calibri" w:cs="Calibri"/>
                <w:sz w:val="22"/>
                <w:szCs w:val="22"/>
              </w:rPr>
            </w:pPr>
            <w:r w:rsidRPr="00FB5D51">
              <w:rPr>
                <w:rFonts w:ascii="Calibri" w:eastAsia="Batang" w:hAnsi="Calibri" w:cs="Calibri"/>
                <w:sz w:val="22"/>
                <w:szCs w:val="22"/>
              </w:rPr>
              <w:t>Możliwość transmisji danych</w:t>
            </w:r>
          </w:p>
          <w:p w:rsidR="0052106B" w:rsidRPr="00064D26" w:rsidRDefault="0052106B" w:rsidP="00C463B2">
            <w:r w:rsidRPr="00064D26">
              <w:rPr>
                <w:rFonts w:eastAsia="Batang"/>
              </w:rPr>
              <w:t>z pompy, możliwość połączenia w sieć z komputerem centralnym samodzielnie lub przez stację dokującą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43.</w:t>
            </w:r>
          </w:p>
        </w:tc>
        <w:tc>
          <w:tcPr>
            <w:tcW w:w="4434" w:type="dxa"/>
          </w:tcPr>
          <w:p w:rsidR="0052106B" w:rsidRPr="00064D26" w:rsidRDefault="0052106B" w:rsidP="00C463B2">
            <w:r w:rsidRPr="00064D26">
              <w:rPr>
                <w:rFonts w:eastAsia="Batang"/>
              </w:rPr>
              <w:t>Możliwość łączenia pomp w moduły po 2 szt. zasilane jednym przewodem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44.</w:t>
            </w:r>
          </w:p>
        </w:tc>
        <w:tc>
          <w:tcPr>
            <w:tcW w:w="4434" w:type="dxa"/>
          </w:tcPr>
          <w:p w:rsidR="0052106B" w:rsidRPr="00FB5D51" w:rsidRDefault="0052106B" w:rsidP="00C463B2">
            <w:pPr>
              <w:rPr>
                <w:rFonts w:eastAsia="Batang"/>
                <w:bCs/>
              </w:rPr>
            </w:pPr>
            <w:r w:rsidRPr="00064D26">
              <w:rPr>
                <w:rFonts w:eastAsia="Batang"/>
                <w:bCs/>
              </w:rPr>
              <w:t>Uchwyt do przenoszenia do 3 pomp w zestawie.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8D69C4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46.</w:t>
            </w:r>
          </w:p>
        </w:tc>
        <w:tc>
          <w:tcPr>
            <w:tcW w:w="4434" w:type="dxa"/>
          </w:tcPr>
          <w:p w:rsidR="0052106B" w:rsidRPr="00653BFE" w:rsidRDefault="0052106B" w:rsidP="00C463B2">
            <w:pPr>
              <w:spacing w:after="0" w:line="223" w:lineRule="exact"/>
              <w:ind w:left="14" w:right="43"/>
              <w:rPr>
                <w:rFonts w:cs="Calibri"/>
                <w:bCs/>
                <w:spacing w:val="-10"/>
              </w:rPr>
            </w:pPr>
            <w:r w:rsidRPr="00653BFE">
              <w:rPr>
                <w:rStyle w:val="Domylnaczcionkaakapitu1"/>
                <w:rFonts w:cs="Calibri"/>
                <w:spacing w:val="-10"/>
                <w:shd w:val="clear" w:color="auto" w:fill="FFFFFF"/>
              </w:rPr>
              <w:t>Gwarancja  minimum 24 miesiące</w:t>
            </w:r>
          </w:p>
        </w:tc>
        <w:tc>
          <w:tcPr>
            <w:tcW w:w="1080" w:type="dxa"/>
          </w:tcPr>
          <w:p w:rsidR="0052106B" w:rsidRDefault="0052106B" w:rsidP="00C463B2">
            <w:pPr>
              <w:spacing w:after="0" w:line="100" w:lineRule="atLeast"/>
              <w:jc w:val="center"/>
              <w:rPr>
                <w:rFonts w:cs="Calibri"/>
                <w:b/>
                <w:bCs/>
                <w:spacing w:val="-10"/>
              </w:rPr>
            </w:pPr>
            <w:r w:rsidRPr="00653BFE">
              <w:rPr>
                <w:rFonts w:cs="Calibri"/>
                <w:b/>
                <w:bCs/>
                <w:spacing w:val="-10"/>
              </w:rPr>
              <w:t>TAK</w:t>
            </w:r>
          </w:p>
          <w:p w:rsidR="0052106B" w:rsidRDefault="0052106B" w:rsidP="00C463B2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  <w:p w:rsidR="0052106B" w:rsidRPr="00653BFE" w:rsidRDefault="0052106B" w:rsidP="00C463B2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m-ce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47</w:t>
            </w:r>
          </w:p>
        </w:tc>
        <w:tc>
          <w:tcPr>
            <w:tcW w:w="4434" w:type="dxa"/>
            <w:vAlign w:val="center"/>
          </w:tcPr>
          <w:p w:rsidR="0052106B" w:rsidRPr="00064D26" w:rsidRDefault="0052106B" w:rsidP="00C463B2">
            <w:pPr>
              <w:snapToGrid w:val="0"/>
            </w:pPr>
            <w:r w:rsidRPr="00E85818">
              <w:rPr>
                <w:rFonts w:cs="Calibri"/>
              </w:rPr>
              <w:t>Okres rękojmi równy okresowi  gwarancji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48</w:t>
            </w:r>
          </w:p>
        </w:tc>
        <w:tc>
          <w:tcPr>
            <w:tcW w:w="4434" w:type="dxa"/>
            <w:vAlign w:val="center"/>
          </w:tcPr>
          <w:p w:rsidR="0052106B" w:rsidRPr="00064D26" w:rsidRDefault="0052106B" w:rsidP="00C463B2">
            <w:pPr>
              <w:snapToGrid w:val="0"/>
            </w:pPr>
            <w:r w:rsidRPr="00064D26">
              <w:t xml:space="preserve">Instrukcja obsługi w języku polskim  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 w:rsidRPr="00064D26">
              <w:t>49</w:t>
            </w:r>
          </w:p>
        </w:tc>
        <w:tc>
          <w:tcPr>
            <w:tcW w:w="4434" w:type="dxa"/>
            <w:vAlign w:val="center"/>
          </w:tcPr>
          <w:p w:rsidR="0052106B" w:rsidRPr="00064D26" w:rsidRDefault="0052106B" w:rsidP="00C463B2">
            <w:pPr>
              <w:snapToGrid w:val="0"/>
              <w:rPr>
                <w:lang w:eastAsia="ar-SA"/>
              </w:rPr>
            </w:pPr>
            <w:r w:rsidRPr="00064D26">
              <w:t>Szkolenia dla pracowników w zakresie obsługi zaoferowanego sprzętu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  <w:tr w:rsidR="0052106B" w:rsidRPr="00064D26" w:rsidTr="00C463B2">
        <w:tc>
          <w:tcPr>
            <w:tcW w:w="496" w:type="dxa"/>
            <w:vAlign w:val="center"/>
          </w:tcPr>
          <w:p w:rsidR="0052106B" w:rsidRPr="00064D26" w:rsidRDefault="0052106B" w:rsidP="00C463B2">
            <w:r>
              <w:t>50</w:t>
            </w:r>
          </w:p>
        </w:tc>
        <w:tc>
          <w:tcPr>
            <w:tcW w:w="4434" w:type="dxa"/>
            <w:vAlign w:val="center"/>
          </w:tcPr>
          <w:p w:rsidR="0052106B" w:rsidRPr="00064D26" w:rsidRDefault="0052106B" w:rsidP="00C463B2">
            <w:pPr>
              <w:snapToGrid w:val="0"/>
            </w:pPr>
            <w:r w:rsidRPr="00064D26">
              <w:t>Certyfikat CE wraz z Deklaracją zgodności</w:t>
            </w:r>
          </w:p>
        </w:tc>
        <w:tc>
          <w:tcPr>
            <w:tcW w:w="1080" w:type="dxa"/>
            <w:vAlign w:val="center"/>
          </w:tcPr>
          <w:p w:rsidR="0052106B" w:rsidRPr="00064D26" w:rsidRDefault="0052106B" w:rsidP="00C463B2">
            <w:pPr>
              <w:snapToGrid w:val="0"/>
              <w:jc w:val="center"/>
            </w:pPr>
            <w:r w:rsidRPr="00064D26">
              <w:t>TAK</w:t>
            </w:r>
          </w:p>
        </w:tc>
        <w:tc>
          <w:tcPr>
            <w:tcW w:w="1440" w:type="dxa"/>
          </w:tcPr>
          <w:p w:rsidR="0052106B" w:rsidRPr="00064D26" w:rsidRDefault="0052106B" w:rsidP="00C463B2"/>
        </w:tc>
        <w:tc>
          <w:tcPr>
            <w:tcW w:w="2520" w:type="dxa"/>
          </w:tcPr>
          <w:p w:rsidR="0052106B" w:rsidRPr="00064D26" w:rsidRDefault="0052106B" w:rsidP="00C463B2"/>
        </w:tc>
      </w:tr>
    </w:tbl>
    <w:p w:rsidR="0052106B" w:rsidRPr="00064D26" w:rsidRDefault="0052106B" w:rsidP="00F507E7"/>
    <w:p w:rsidR="0052106B" w:rsidRPr="00064D26" w:rsidRDefault="0052106B" w:rsidP="00F507E7">
      <w:r w:rsidRPr="00064D26">
        <w:t>Niniejszym oświadczamy, że oferowane powyżej wyspecyfikowane urządzenia są  fabrycznie nowe, kompletne i będą po uruchomieniu gotowe do pracy bez żadnych dodatkowych zakupów i inwestycji.</w:t>
      </w:r>
    </w:p>
    <w:p w:rsidR="0052106B" w:rsidRPr="00064D26" w:rsidRDefault="0052106B" w:rsidP="00F507E7"/>
    <w:p w:rsidR="0052106B" w:rsidRPr="00064D26" w:rsidRDefault="0052106B" w:rsidP="00F507E7">
      <w:pPr>
        <w:jc w:val="right"/>
      </w:pPr>
      <w:r w:rsidRPr="00064D26">
        <w:t>data , podpis osób uprawnionych do reprezentacji Wykonawcy</w:t>
      </w:r>
    </w:p>
    <w:p w:rsidR="0052106B" w:rsidRPr="00813156" w:rsidRDefault="0052106B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2106B" w:rsidRPr="00813156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6B" w:rsidRDefault="0052106B" w:rsidP="00F56204">
      <w:pPr>
        <w:spacing w:after="0" w:line="240" w:lineRule="auto"/>
      </w:pPr>
      <w:r>
        <w:separator/>
      </w:r>
    </w:p>
  </w:endnote>
  <w:endnote w:type="continuationSeparator" w:id="0">
    <w:p w:rsidR="0052106B" w:rsidRDefault="0052106B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6B" w:rsidRDefault="005210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6B" w:rsidRDefault="005210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6B" w:rsidRDefault="00521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6B" w:rsidRDefault="0052106B" w:rsidP="00F56204">
      <w:pPr>
        <w:spacing w:after="0" w:line="240" w:lineRule="auto"/>
      </w:pPr>
      <w:r>
        <w:separator/>
      </w:r>
    </w:p>
  </w:footnote>
  <w:footnote w:type="continuationSeparator" w:id="0">
    <w:p w:rsidR="0052106B" w:rsidRDefault="0052106B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6B" w:rsidRDefault="005210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6B" w:rsidRDefault="00521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6B" w:rsidRDefault="005210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1211D"/>
    <w:rsid w:val="00021DED"/>
    <w:rsid w:val="0005658A"/>
    <w:rsid w:val="000643C8"/>
    <w:rsid w:val="00064D26"/>
    <w:rsid w:val="00081E01"/>
    <w:rsid w:val="00093358"/>
    <w:rsid w:val="000A3B26"/>
    <w:rsid w:val="000B5617"/>
    <w:rsid w:val="000D67A3"/>
    <w:rsid w:val="000E0F3D"/>
    <w:rsid w:val="000E5739"/>
    <w:rsid w:val="000F4EE2"/>
    <w:rsid w:val="001000FA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A3A96"/>
    <w:rsid w:val="001B474D"/>
    <w:rsid w:val="001F4890"/>
    <w:rsid w:val="001F6949"/>
    <w:rsid w:val="0023310C"/>
    <w:rsid w:val="0027127B"/>
    <w:rsid w:val="002749AB"/>
    <w:rsid w:val="002F03B2"/>
    <w:rsid w:val="002F6086"/>
    <w:rsid w:val="002F7F6F"/>
    <w:rsid w:val="00300D21"/>
    <w:rsid w:val="0031146E"/>
    <w:rsid w:val="0031277D"/>
    <w:rsid w:val="00355295"/>
    <w:rsid w:val="0038393D"/>
    <w:rsid w:val="00383D9B"/>
    <w:rsid w:val="00387578"/>
    <w:rsid w:val="003B2830"/>
    <w:rsid w:val="003E4461"/>
    <w:rsid w:val="00407F12"/>
    <w:rsid w:val="00423DDD"/>
    <w:rsid w:val="00441918"/>
    <w:rsid w:val="0045737E"/>
    <w:rsid w:val="00467EE2"/>
    <w:rsid w:val="004F07A3"/>
    <w:rsid w:val="004F1137"/>
    <w:rsid w:val="004F283B"/>
    <w:rsid w:val="004F68AC"/>
    <w:rsid w:val="00503791"/>
    <w:rsid w:val="005130D6"/>
    <w:rsid w:val="0052106B"/>
    <w:rsid w:val="005219EB"/>
    <w:rsid w:val="00533B59"/>
    <w:rsid w:val="00541292"/>
    <w:rsid w:val="00541647"/>
    <w:rsid w:val="00542713"/>
    <w:rsid w:val="0054520C"/>
    <w:rsid w:val="00573BDA"/>
    <w:rsid w:val="0058709D"/>
    <w:rsid w:val="005A5137"/>
    <w:rsid w:val="005A5519"/>
    <w:rsid w:val="005B3F2F"/>
    <w:rsid w:val="005E7609"/>
    <w:rsid w:val="006004D2"/>
    <w:rsid w:val="006054E9"/>
    <w:rsid w:val="0061609F"/>
    <w:rsid w:val="00621308"/>
    <w:rsid w:val="006246CB"/>
    <w:rsid w:val="006306E1"/>
    <w:rsid w:val="0063129A"/>
    <w:rsid w:val="00653BFE"/>
    <w:rsid w:val="00682B4A"/>
    <w:rsid w:val="006A0042"/>
    <w:rsid w:val="006B355B"/>
    <w:rsid w:val="006B3DC6"/>
    <w:rsid w:val="006C5D55"/>
    <w:rsid w:val="006C64D1"/>
    <w:rsid w:val="006D5B10"/>
    <w:rsid w:val="006F385F"/>
    <w:rsid w:val="007015E2"/>
    <w:rsid w:val="00737C59"/>
    <w:rsid w:val="00746227"/>
    <w:rsid w:val="00750C2D"/>
    <w:rsid w:val="00753A33"/>
    <w:rsid w:val="00762023"/>
    <w:rsid w:val="007A3895"/>
    <w:rsid w:val="007C21AB"/>
    <w:rsid w:val="007F3877"/>
    <w:rsid w:val="00813156"/>
    <w:rsid w:val="00825A57"/>
    <w:rsid w:val="0083007D"/>
    <w:rsid w:val="008344ED"/>
    <w:rsid w:val="008435D9"/>
    <w:rsid w:val="008470BB"/>
    <w:rsid w:val="008666EA"/>
    <w:rsid w:val="008757FC"/>
    <w:rsid w:val="00885EB3"/>
    <w:rsid w:val="008A4629"/>
    <w:rsid w:val="008B1E48"/>
    <w:rsid w:val="008B5C01"/>
    <w:rsid w:val="008D69C4"/>
    <w:rsid w:val="00925712"/>
    <w:rsid w:val="009340CB"/>
    <w:rsid w:val="00943C97"/>
    <w:rsid w:val="00945FC8"/>
    <w:rsid w:val="009603C0"/>
    <w:rsid w:val="00985072"/>
    <w:rsid w:val="00992EF5"/>
    <w:rsid w:val="00995189"/>
    <w:rsid w:val="009D0000"/>
    <w:rsid w:val="009E7962"/>
    <w:rsid w:val="00A05318"/>
    <w:rsid w:val="00A11B3D"/>
    <w:rsid w:val="00A16DB5"/>
    <w:rsid w:val="00A320D4"/>
    <w:rsid w:val="00A361E1"/>
    <w:rsid w:val="00A43D2A"/>
    <w:rsid w:val="00A5663D"/>
    <w:rsid w:val="00A568E9"/>
    <w:rsid w:val="00A6490D"/>
    <w:rsid w:val="00A978CD"/>
    <w:rsid w:val="00AD4794"/>
    <w:rsid w:val="00B450AF"/>
    <w:rsid w:val="00B73D7D"/>
    <w:rsid w:val="00B85C98"/>
    <w:rsid w:val="00B90DB4"/>
    <w:rsid w:val="00BC2435"/>
    <w:rsid w:val="00BD4BAE"/>
    <w:rsid w:val="00BF2F88"/>
    <w:rsid w:val="00BF5BDD"/>
    <w:rsid w:val="00BF672B"/>
    <w:rsid w:val="00C01896"/>
    <w:rsid w:val="00C30E4C"/>
    <w:rsid w:val="00C37F18"/>
    <w:rsid w:val="00C463B2"/>
    <w:rsid w:val="00C502F0"/>
    <w:rsid w:val="00C54C31"/>
    <w:rsid w:val="00C62F28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CE3578"/>
    <w:rsid w:val="00D33739"/>
    <w:rsid w:val="00D45C1E"/>
    <w:rsid w:val="00D47BA1"/>
    <w:rsid w:val="00DA1ECA"/>
    <w:rsid w:val="00DB11DC"/>
    <w:rsid w:val="00DC4129"/>
    <w:rsid w:val="00DD1102"/>
    <w:rsid w:val="00DD19C4"/>
    <w:rsid w:val="00DE3F5A"/>
    <w:rsid w:val="00DF0F5F"/>
    <w:rsid w:val="00DF1A22"/>
    <w:rsid w:val="00DF1F6F"/>
    <w:rsid w:val="00DF2896"/>
    <w:rsid w:val="00DF4531"/>
    <w:rsid w:val="00DF4535"/>
    <w:rsid w:val="00E104C3"/>
    <w:rsid w:val="00E16B5B"/>
    <w:rsid w:val="00E17B74"/>
    <w:rsid w:val="00E53409"/>
    <w:rsid w:val="00E63678"/>
    <w:rsid w:val="00E714B7"/>
    <w:rsid w:val="00E806C5"/>
    <w:rsid w:val="00E85818"/>
    <w:rsid w:val="00E87613"/>
    <w:rsid w:val="00E911EF"/>
    <w:rsid w:val="00E94682"/>
    <w:rsid w:val="00E952F9"/>
    <w:rsid w:val="00E96A60"/>
    <w:rsid w:val="00E96CB1"/>
    <w:rsid w:val="00EA1E10"/>
    <w:rsid w:val="00EA5326"/>
    <w:rsid w:val="00EA75DE"/>
    <w:rsid w:val="00EB43E7"/>
    <w:rsid w:val="00EB649D"/>
    <w:rsid w:val="00EC1BE8"/>
    <w:rsid w:val="00ED076D"/>
    <w:rsid w:val="00EF2303"/>
    <w:rsid w:val="00F1721A"/>
    <w:rsid w:val="00F26B21"/>
    <w:rsid w:val="00F35AD3"/>
    <w:rsid w:val="00F36EE9"/>
    <w:rsid w:val="00F507E7"/>
    <w:rsid w:val="00F56204"/>
    <w:rsid w:val="00F56FAC"/>
    <w:rsid w:val="00F77E4A"/>
    <w:rsid w:val="00F8221D"/>
    <w:rsid w:val="00F90D59"/>
    <w:rsid w:val="00FB5D51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688</Words>
  <Characters>4134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5</cp:revision>
  <cp:lastPrinted>2020-04-10T05:47:00Z</cp:lastPrinted>
  <dcterms:created xsi:type="dcterms:W3CDTF">2020-09-01T09:35:00Z</dcterms:created>
  <dcterms:modified xsi:type="dcterms:W3CDTF">2020-09-04T08:01:00Z</dcterms:modified>
</cp:coreProperties>
</file>