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0C44D06D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stawę materacy przeciwodleżynowych</w:t>
      </w:r>
    </w:p>
    <w:p w14:paraId="6A4FBDDA" w14:textId="50078E68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038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1F87C985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A33B7D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E06204">
        <w:rPr>
          <w:rFonts w:ascii="Times New Roman" w:eastAsia="Times New Roman" w:hAnsi="Times New Roman"/>
          <w:b/>
          <w:lang w:eastAsia="ar-SA"/>
        </w:rPr>
        <w:t>038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53ADEDF4" w14:textId="77777777" w:rsidR="00E06204" w:rsidRDefault="00E06204" w:rsidP="00E062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>
        <w:rPr>
          <w:rFonts w:ascii="Times New Roman" w:eastAsia="Times New Roman" w:hAnsi="Times New Roman"/>
          <w:b/>
          <w:lang w:eastAsia="ar-SA"/>
        </w:rPr>
        <w:t>materacy przeciwodleżynowych</w:t>
      </w:r>
      <w:r w:rsidRPr="0066362F">
        <w:rPr>
          <w:rFonts w:ascii="Times New Roman" w:eastAsia="Times New Roman" w:hAnsi="Times New Roman"/>
          <w:b/>
          <w:lang w:eastAsia="ar-SA"/>
        </w:rPr>
        <w:t xml:space="preserve">, </w:t>
      </w:r>
      <w:r>
        <w:rPr>
          <w:rFonts w:ascii="Times New Roman" w:eastAsia="Times New Roman" w:hAnsi="Times New Roman"/>
          <w:b/>
          <w:lang w:eastAsia="ar-SA"/>
        </w:rPr>
        <w:t>w ramach Zadania nr…..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B9D4D1D" w:rsidR="00666E33" w:rsidRPr="00E06204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E06204">
        <w:rPr>
          <w:rFonts w:ascii="Times New Roman" w:eastAsia="Times New Roman" w:hAnsi="Times New Roman"/>
          <w:bCs/>
          <w:lang w:eastAsia="ar-SA"/>
        </w:rPr>
        <w:t>do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E31C19">
        <w:rPr>
          <w:rFonts w:ascii="Times New Roman" w:eastAsia="Times New Roman" w:hAnsi="Times New Roman"/>
          <w:b/>
          <w:bCs/>
          <w:lang w:eastAsia="ar-SA"/>
        </w:rPr>
        <w:t>….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od </w:t>
      </w:r>
      <w:r w:rsidR="00B64FAD" w:rsidRPr="00E06204">
        <w:rPr>
          <w:rFonts w:ascii="Times New Roman" w:eastAsia="Times New Roman" w:hAnsi="Times New Roman"/>
          <w:bCs/>
          <w:lang w:eastAsia="ar-SA"/>
        </w:rPr>
        <w:t>daty</w:t>
      </w:r>
      <w:r w:rsidR="001755E5" w:rsidRPr="00E06204">
        <w:rPr>
          <w:rFonts w:ascii="Times New Roman" w:eastAsia="Times New Roman" w:hAnsi="Times New Roman"/>
          <w:bCs/>
          <w:lang w:eastAsia="ar-SA"/>
        </w:rPr>
        <w:t xml:space="preserve"> podpisania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 umowy</w:t>
      </w:r>
      <w:r w:rsidRPr="00E06204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36B79B4B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E06204">
        <w:rPr>
          <w:rFonts w:ascii="Times New Roman" w:eastAsia="Arial" w:hAnsi="Times New Roman"/>
          <w:lang w:eastAsia="ar-SA"/>
        </w:rPr>
        <w:t xml:space="preserve">lub trzech </w:t>
      </w:r>
      <w:r w:rsidRPr="0066362F">
        <w:rPr>
          <w:rFonts w:ascii="Times New Roman" w:eastAsia="Arial" w:hAnsi="Times New Roman"/>
          <w:lang w:eastAsia="ar-SA"/>
        </w:rPr>
        <w:t xml:space="preserve">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5911F9B" w14:textId="77777777" w:rsidR="008D5A1C" w:rsidRPr="008D5A1C" w:rsidRDefault="008D5A1C" w:rsidP="008D5A1C">
      <w:pPr>
        <w:numPr>
          <w:ilvl w:val="0"/>
          <w:numId w:val="27"/>
        </w:numPr>
        <w:shd w:val="clear" w:color="auto" w:fill="FFFF0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0B767220" w14:textId="77777777" w:rsidR="008D5A1C" w:rsidRPr="008D5A1C" w:rsidRDefault="008D5A1C" w:rsidP="008D5A1C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5A04EFEB" w14:textId="77777777" w:rsidR="008D5A1C" w:rsidRPr="008D5A1C" w:rsidRDefault="008D5A1C" w:rsidP="008D5A1C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>dokument spełnia wymogi określone w niniejszej umowie (w tym zawiera numer zamówienia, numer umowy),</w:t>
      </w:r>
    </w:p>
    <w:p w14:paraId="641C60BF" w14:textId="3C337FA9" w:rsidR="00661A8C" w:rsidRPr="008D5A1C" w:rsidRDefault="008D5A1C" w:rsidP="008D5A1C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43356857" w14:textId="5E9B380F" w:rsidR="008D5A1C" w:rsidRPr="008D5A1C" w:rsidRDefault="008D5A1C" w:rsidP="008D5A1C">
      <w:pPr>
        <w:numPr>
          <w:ilvl w:val="0"/>
          <w:numId w:val="27"/>
        </w:numPr>
        <w:shd w:val="clear" w:color="auto" w:fill="FFFF00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2FB864C4" w14:textId="77777777" w:rsidR="00F57B5E" w:rsidRPr="0066362F" w:rsidRDefault="00661A8C" w:rsidP="008D5A1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</w:t>
      </w:r>
      <w:bookmarkStart w:id="0" w:name="_GoBack"/>
      <w:bookmarkEnd w:id="0"/>
      <w:r w:rsidRPr="0066362F">
        <w:rPr>
          <w:rFonts w:ascii="Times New Roman" w:hAnsi="Times New Roman"/>
        </w:rPr>
        <w:t xml:space="preserve">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112D1E66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A33B7D">
        <w:rPr>
          <w:rFonts w:ascii="Times New Roman" w:eastAsia="Times New Roman" w:hAnsi="Times New Roman"/>
          <w:lang w:eastAsia="ar-SA"/>
        </w:rPr>
        <w:t>3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74E7805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</w:t>
      </w:r>
      <w:r w:rsidR="00A33B7D">
        <w:rPr>
          <w:rFonts w:ascii="Times New Roman" w:eastAsia="Times New Roman" w:hAnsi="Times New Roman"/>
          <w:lang w:eastAsia="ar-SA"/>
        </w:rPr>
        <w:t xml:space="preserve">dmiot umowy objęty jest </w:t>
      </w:r>
      <w:r w:rsidR="00E31C19">
        <w:rPr>
          <w:rFonts w:ascii="Times New Roman" w:eastAsia="Times New Roman" w:hAnsi="Times New Roman"/>
          <w:b/>
          <w:lang w:eastAsia="ar-SA"/>
        </w:rPr>
        <w:t>……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lastRenderedPageBreak/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B7F07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590F60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3A1FA4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C8E8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6514F1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23B0DEBF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A33B7D">
              <w:rPr>
                <w:rFonts w:ascii="Times New Roman" w:hAnsi="Times New Roman"/>
                <w:b/>
                <w:sz w:val="24"/>
                <w:szCs w:val="24"/>
              </w:rPr>
              <w:t>-241</w:t>
            </w:r>
            <w:r w:rsidR="00E31C19">
              <w:rPr>
                <w:rFonts w:ascii="Times New Roman" w:hAnsi="Times New Roman"/>
                <w:b/>
                <w:sz w:val="24"/>
                <w:szCs w:val="24"/>
              </w:rPr>
              <w:t>/ZP-038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lastRenderedPageBreak/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8D5A1C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7"/>
  </w:num>
  <w:num w:numId="6">
    <w:abstractNumId w:val="25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0"/>
  </w:num>
  <w:num w:numId="26">
    <w:abstractNumId w:val="16"/>
  </w:num>
  <w:num w:numId="27">
    <w:abstractNumId w:val="20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B1E9F0D-67F9-4931-AE52-516C71FB88A5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3B7E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4B1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391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5A1C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3B7D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6204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1C19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9F0D-67F9-4931-AE52-516C71FB88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B8D9E2B-375A-436D-A53B-ED4A7F0B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2023-07-12T08:12:00Z</dcterms:created>
  <dcterms:modified xsi:type="dcterms:W3CDTF">2023-07-12T08:12:00Z</dcterms:modified>
</cp:coreProperties>
</file>