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45B4687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22D82" w:rsidRPr="00722D82">
        <w:rPr>
          <w:rStyle w:val="Hipercze"/>
          <w:rFonts w:ascii="Open Sans" w:hAnsi="Open Sans" w:cs="Open Sans"/>
          <w:sz w:val="16"/>
          <w:szCs w:val="16"/>
          <w:u w:val="none"/>
        </w:rPr>
        <w:t>2021/BZP</w:t>
      </w:r>
      <w:r w:rsidR="001F0551">
        <w:rPr>
          <w:rStyle w:val="Hipercze"/>
          <w:rFonts w:ascii="Open Sans" w:hAnsi="Open Sans" w:cs="Open Sans"/>
          <w:sz w:val="16"/>
          <w:szCs w:val="16"/>
          <w:u w:val="none"/>
        </w:rPr>
        <w:t xml:space="preserve"> </w:t>
      </w:r>
      <w:r w:rsidR="00222A8B" w:rsidRPr="00222A8B">
        <w:rPr>
          <w:rStyle w:val="Hipercze"/>
          <w:rFonts w:ascii="Open Sans" w:hAnsi="Open Sans" w:cs="Open Sans"/>
          <w:sz w:val="16"/>
          <w:szCs w:val="16"/>
          <w:u w:val="none"/>
        </w:rPr>
        <w:t xml:space="preserve"> 00326024/01</w:t>
      </w:r>
    </w:p>
    <w:p w14:paraId="0898A118" w14:textId="1C0720A3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F1BBE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7</w:t>
      </w:r>
      <w:r w:rsidR="001F0551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6</w:t>
      </w:r>
    </w:p>
    <w:bookmarkEnd w:id="0"/>
    <w:p w14:paraId="6268D93A" w14:textId="267812EC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D15BA2" w:rsidRPr="00D15BA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ocds-148610-9a91d4b9-628a-11ec-8c2d-66c2f1230e9c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7E9AC1E2" w:rsidR="00051257" w:rsidRDefault="00C301D1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C301D1">
        <w:rPr>
          <w:rFonts w:ascii="Open Sans" w:hAnsi="Open Sans" w:cs="Open Sans"/>
          <w:b/>
          <w:sz w:val="20"/>
          <w:szCs w:val="20"/>
        </w:rPr>
        <w:t xml:space="preserve">Świadczenie profilaktycznej opieki lekarskiej nad pracownikami PGK Sp. z o.o. w Koszalinie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0508810E" w14:textId="64E751B9" w:rsidR="00730A5E" w:rsidRPr="00D72BBB" w:rsidRDefault="00730A5E" w:rsidP="00690544">
      <w:pPr>
        <w:pStyle w:val="tekstdokumentu"/>
        <w:rPr>
          <w:rStyle w:val="tekstdokbold"/>
          <w:b w:val="0"/>
          <w:bCs w:val="0"/>
        </w:rPr>
      </w:pPr>
      <w:r w:rsidRPr="00D72BBB">
        <w:t xml:space="preserve">CPV: </w:t>
      </w:r>
      <w:r w:rsidR="002E0C34">
        <w:t>85100000-0       85121000-3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13A7BD34" w14:textId="25123C59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02C1603" w14:textId="77777777" w:rsidR="00D72BBB" w:rsidRDefault="00D72BBB" w:rsidP="00690544">
      <w:pPr>
        <w:pStyle w:val="tekstdokumentu"/>
        <w:rPr>
          <w:rStyle w:val="tekstdokbold"/>
          <w:b w:val="0"/>
          <w:bCs w:val="0"/>
        </w:rPr>
      </w:pPr>
    </w:p>
    <w:p w14:paraId="0A5D43DD" w14:textId="39191E2F" w:rsidR="00A0066F" w:rsidRDefault="00A0066F" w:rsidP="00690544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41E1B9E2" w14:textId="65C05DF8" w:rsidR="00A0066F" w:rsidRDefault="004F7F18" w:rsidP="00690544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Anabelle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Marcińczak</w:t>
      </w:r>
      <w:proofErr w:type="spellEnd"/>
      <w:r w:rsidR="00A0066F"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</w:t>
      </w:r>
      <w:r w:rsidR="003F19B7">
        <w:rPr>
          <w:rStyle w:val="tekstdokbold"/>
          <w:b w:val="0"/>
          <w:bCs w:val="0"/>
        </w:rPr>
        <w:t xml:space="preserve">Magdalena </w:t>
      </w:r>
      <w:proofErr w:type="spellStart"/>
      <w:r w:rsidR="003F19B7">
        <w:rPr>
          <w:rStyle w:val="tekstdokbold"/>
          <w:b w:val="0"/>
          <w:bCs w:val="0"/>
        </w:rPr>
        <w:t>Wałęska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</w:p>
    <w:p w14:paraId="07F4D736" w14:textId="513F27F6" w:rsidR="004F7F18" w:rsidRDefault="004F7F18" w:rsidP="00690544">
      <w:pPr>
        <w:pStyle w:val="tekstdokumentu"/>
      </w:pPr>
    </w:p>
    <w:p w14:paraId="7EECDEE8" w14:textId="77777777" w:rsidR="00D72BBB" w:rsidRDefault="00D72BBB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2B3E6148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3F19B7">
        <w:t>2</w:t>
      </w:r>
      <w:r w:rsidR="007B5DA0">
        <w:t>1</w:t>
      </w:r>
      <w:r w:rsidR="00D46A83" w:rsidRPr="00CA5D9D">
        <w:t xml:space="preserve"> </w:t>
      </w:r>
      <w:r w:rsidR="00D72BBB">
        <w:t>grudnia</w:t>
      </w:r>
      <w:r w:rsidR="00B74EF8" w:rsidRPr="00CA5D9D">
        <w:t xml:space="preserve"> </w:t>
      </w:r>
      <w:r w:rsidRPr="00CA5D9D">
        <w:t>2021 r.</w:t>
      </w:r>
    </w:p>
    <w:p w14:paraId="31D1260E" w14:textId="3FADC7D2" w:rsidR="00AA3053" w:rsidRDefault="00AA3053" w:rsidP="00690544">
      <w:pPr>
        <w:pStyle w:val="tekstdokumentu"/>
      </w:pPr>
    </w:p>
    <w:p w14:paraId="38260530" w14:textId="77777777" w:rsidR="00370C42" w:rsidRDefault="00370C42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45BF1F74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24A6A98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4D76688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46D29F6" w14:textId="5AEFA44C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67EE0F6" w14:textId="3C88FFAE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2ECDE96" w14:textId="7BDD3774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09A13995" w:rsidR="00D365CC" w:rsidRDefault="001431C8" w:rsidP="00690A83">
      <w:pPr>
        <w:jc w:val="both"/>
        <w:rPr>
          <w:rFonts w:ascii="Open Sans" w:hAnsi="Open Sans" w:cs="Open Sans"/>
          <w:b/>
          <w:sz w:val="20"/>
          <w:szCs w:val="20"/>
        </w:rPr>
      </w:pPr>
      <w:r w:rsidRPr="001431C8">
        <w:rPr>
          <w:rFonts w:ascii="Open Sans" w:hAnsi="Open Sans" w:cs="Open Sans"/>
          <w:b/>
          <w:sz w:val="20"/>
          <w:szCs w:val="20"/>
        </w:rPr>
        <w:t>Świadczenie profilaktycznej opieki lekarskiej nad pracownikami PGK Sp. z o.o. w Koszalinie</w:t>
      </w:r>
      <w:r>
        <w:rPr>
          <w:rFonts w:ascii="Open Sans" w:hAnsi="Open Sans" w:cs="Open Sans"/>
          <w:b/>
          <w:sz w:val="20"/>
          <w:szCs w:val="20"/>
        </w:rPr>
        <w:t>.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757EA517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386B632F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575E898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5F41B387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72456C" w:rsidRPr="004E532F">
        <w:rPr>
          <w:rFonts w:ascii="Open Sans" w:hAnsi="Open Sans" w:cs="Open Sans"/>
          <w:sz w:val="22"/>
          <w:szCs w:val="22"/>
        </w:rPr>
        <w:t xml:space="preserve">Od dnia </w:t>
      </w:r>
      <w:r w:rsidR="00460286">
        <w:rPr>
          <w:rFonts w:ascii="Open Sans" w:hAnsi="Open Sans" w:cs="Open Sans"/>
          <w:sz w:val="22"/>
          <w:szCs w:val="22"/>
        </w:rPr>
        <w:t xml:space="preserve">podpisania umowy </w:t>
      </w:r>
      <w:r w:rsidR="0072456C" w:rsidRPr="004E532F">
        <w:rPr>
          <w:rFonts w:ascii="Open Sans" w:hAnsi="Open Sans" w:cs="Open Sans"/>
          <w:sz w:val="22"/>
          <w:szCs w:val="22"/>
        </w:rPr>
        <w:t xml:space="preserve">do dnia </w:t>
      </w:r>
      <w:r w:rsidR="00470860" w:rsidRPr="004E532F">
        <w:rPr>
          <w:rFonts w:ascii="Open Sans" w:hAnsi="Open Sans" w:cs="Open Sans"/>
          <w:sz w:val="22"/>
          <w:szCs w:val="22"/>
        </w:rPr>
        <w:t>31</w:t>
      </w:r>
      <w:r w:rsidR="0072456C" w:rsidRPr="004E532F">
        <w:rPr>
          <w:rFonts w:ascii="Open Sans" w:hAnsi="Open Sans" w:cs="Open Sans"/>
          <w:sz w:val="22"/>
          <w:szCs w:val="22"/>
        </w:rPr>
        <w:t>.12.202</w:t>
      </w:r>
      <w:r w:rsidR="00B57BAE" w:rsidRPr="004E532F">
        <w:rPr>
          <w:rFonts w:ascii="Open Sans" w:hAnsi="Open Sans" w:cs="Open Sans"/>
          <w:sz w:val="22"/>
          <w:szCs w:val="22"/>
        </w:rPr>
        <w:t>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8C8F67F" w14:textId="4E2286B5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r>
        <w:rPr>
          <w:rFonts w:ascii="Open Sans" w:hAnsi="Open Sans" w:cs="Open Sans"/>
          <w:sz w:val="22"/>
          <w:szCs w:val="22"/>
        </w:rPr>
        <w:t>usług.</w:t>
      </w:r>
      <w:r w:rsidRPr="00587D60">
        <w:rPr>
          <w:rFonts w:ascii="Open Sans" w:hAnsi="Open Sans" w:cs="Open Sans"/>
          <w:sz w:val="22"/>
          <w:szCs w:val="22"/>
        </w:rPr>
        <w:t xml:space="preserve"> </w:t>
      </w: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 xml:space="preserve">i konsumentów, złożyli odrębne oferty, oferty częściowe lub wnioski o dopuszczenie </w:t>
      </w:r>
      <w:r>
        <w:rPr>
          <w:rFonts w:ascii="Open Sans" w:hAnsi="Open Sans" w:cs="Open Sans"/>
          <w:sz w:val="22"/>
          <w:szCs w:val="22"/>
        </w:rPr>
        <w:lastRenderedPageBreak/>
        <w:t>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lastRenderedPageBreak/>
        <w:t>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FE0E2D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E0A55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4A15D49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27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01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7D9ACC6F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29.12.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2021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2165E52C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29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.1</w:t>
      </w:r>
      <w:r w:rsidR="008C249D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2021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lastRenderedPageBreak/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28BBA3FB" w14:textId="77777777"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137D80CD" w14:textId="1D177A4D"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14:paraId="4051C20D" w14:textId="77777777"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50C2F277" w14:textId="26059C81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14:paraId="61DCAFB2" w14:textId="4CE8775C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10F69B43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9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9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1FE2541F" w14:textId="0CAFDF24" w:rsidR="00EE0C02" w:rsidRPr="00470485" w:rsidRDefault="00EE0C02" w:rsidP="00470485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77777777" w:rsidR="0025107F" w:rsidRPr="00176B32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176B32">
        <w:rPr>
          <w:rFonts w:ascii="Open Sans" w:hAnsi="Open Sans" w:cs="Open Sans"/>
          <w:color w:val="FF0000"/>
          <w:sz w:val="22"/>
          <w:szCs w:val="22"/>
        </w:rPr>
        <w:t xml:space="preserve">18.5. Wykonawca dostarczy umowę ubezpieczenia odpowiedzialności cywilnej </w:t>
      </w:r>
      <w:r w:rsidRPr="00176B32">
        <w:rPr>
          <w:rFonts w:ascii="Open Sans" w:hAnsi="Open Sans" w:cs="Open Sans"/>
          <w:color w:val="FF0000"/>
          <w:sz w:val="22"/>
          <w:szCs w:val="22"/>
        </w:rPr>
        <w:br/>
        <w:t>w ramach wykonywanej przez siebie działalności na kwotę co najmniej 100% wartości nominalnej umowy w okresie trwania umowy.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71192420" w14:textId="73325712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Zamawiający  </w:t>
      </w:r>
      <w:r w:rsidR="00631F43">
        <w:rPr>
          <w:rFonts w:ascii="Open Sans" w:hAnsi="Open Sans" w:cs="Open Sans"/>
          <w:color w:val="000000"/>
          <w:sz w:val="22"/>
          <w:szCs w:val="22"/>
        </w:rPr>
        <w:t xml:space="preserve">nie </w:t>
      </w:r>
      <w:r>
        <w:rPr>
          <w:rFonts w:ascii="Open Sans" w:hAnsi="Open Sans" w:cs="Open Sans"/>
          <w:color w:val="000000"/>
          <w:sz w:val="22"/>
          <w:szCs w:val="22"/>
        </w:rPr>
        <w:t>wymaga od Wykonawcy wniesienia  zabezpieczenia należytego wykonania umowy.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4799" w14:textId="77777777" w:rsidR="00FE0E2D" w:rsidRDefault="00FE0E2D" w:rsidP="00BC0344">
      <w:r>
        <w:separator/>
      </w:r>
    </w:p>
  </w:endnote>
  <w:endnote w:type="continuationSeparator" w:id="0">
    <w:p w14:paraId="01FFC78C" w14:textId="77777777" w:rsidR="00FE0E2D" w:rsidRDefault="00FE0E2D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E474" w14:textId="77777777" w:rsidR="00FE0E2D" w:rsidRDefault="00FE0E2D" w:rsidP="00BC0344">
      <w:r>
        <w:separator/>
      </w:r>
    </w:p>
  </w:footnote>
  <w:footnote w:type="continuationSeparator" w:id="0">
    <w:p w14:paraId="68434493" w14:textId="77777777" w:rsidR="00FE0E2D" w:rsidRDefault="00FE0E2D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9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433E4"/>
    <w:rsid w:val="000472DA"/>
    <w:rsid w:val="00051257"/>
    <w:rsid w:val="000660F5"/>
    <w:rsid w:val="00067ED1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5107F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E0C34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785D"/>
    <w:rsid w:val="003A0049"/>
    <w:rsid w:val="003A360B"/>
    <w:rsid w:val="003A4D29"/>
    <w:rsid w:val="003A4ED3"/>
    <w:rsid w:val="003A5444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53D4"/>
    <w:rsid w:val="004C4835"/>
    <w:rsid w:val="004C63CB"/>
    <w:rsid w:val="004C7FFC"/>
    <w:rsid w:val="004D4F3D"/>
    <w:rsid w:val="004E532F"/>
    <w:rsid w:val="004E61B2"/>
    <w:rsid w:val="004F7F18"/>
    <w:rsid w:val="00500B6E"/>
    <w:rsid w:val="00502BF0"/>
    <w:rsid w:val="00512098"/>
    <w:rsid w:val="0051233D"/>
    <w:rsid w:val="00523974"/>
    <w:rsid w:val="00536219"/>
    <w:rsid w:val="00546962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F09AE"/>
    <w:rsid w:val="005F16BB"/>
    <w:rsid w:val="00603B7B"/>
    <w:rsid w:val="00606E2F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629F"/>
    <w:rsid w:val="006B532A"/>
    <w:rsid w:val="006C2369"/>
    <w:rsid w:val="006E4789"/>
    <w:rsid w:val="006F5EE3"/>
    <w:rsid w:val="00703597"/>
    <w:rsid w:val="00703C5C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B14F5"/>
    <w:rsid w:val="009B65A3"/>
    <w:rsid w:val="009C0836"/>
    <w:rsid w:val="009D11BF"/>
    <w:rsid w:val="009D2E0E"/>
    <w:rsid w:val="009D394A"/>
    <w:rsid w:val="009D3E8C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4303"/>
    <w:rsid w:val="00BE5A51"/>
    <w:rsid w:val="00C00610"/>
    <w:rsid w:val="00C01578"/>
    <w:rsid w:val="00C0251A"/>
    <w:rsid w:val="00C03172"/>
    <w:rsid w:val="00C21BA1"/>
    <w:rsid w:val="00C301D1"/>
    <w:rsid w:val="00C322C6"/>
    <w:rsid w:val="00C33D6D"/>
    <w:rsid w:val="00C479BD"/>
    <w:rsid w:val="00C56E2C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E6BC5"/>
    <w:rsid w:val="00DF6575"/>
    <w:rsid w:val="00E12D7C"/>
    <w:rsid w:val="00E143AD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A0FC4"/>
    <w:rsid w:val="00EA53D3"/>
    <w:rsid w:val="00EB2921"/>
    <w:rsid w:val="00EB43EA"/>
    <w:rsid w:val="00ED01DF"/>
    <w:rsid w:val="00ED05E1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6E55"/>
    <w:rsid w:val="00F7760E"/>
    <w:rsid w:val="00F8287F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18</Pages>
  <Words>5560</Words>
  <Characters>33365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163</cp:revision>
  <cp:lastPrinted>2021-12-08T11:35:00Z</cp:lastPrinted>
  <dcterms:created xsi:type="dcterms:W3CDTF">2021-10-14T06:29:00Z</dcterms:created>
  <dcterms:modified xsi:type="dcterms:W3CDTF">2021-12-22T17:07:00Z</dcterms:modified>
</cp:coreProperties>
</file>