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F5" w:rsidRDefault="00411FE7">
      <w:pPr>
        <w:ind w:left="360" w:hanging="426"/>
        <w:jc w:val="right"/>
        <w:rPr>
          <w:rFonts w:cs="Arial"/>
          <w:b/>
          <w:bCs/>
          <w:sz w:val="20"/>
          <w:szCs w:val="20"/>
          <w:lang w:eastAsia="ar-SA"/>
        </w:rPr>
      </w:pPr>
      <w:r>
        <w:rPr>
          <w:rFonts w:cs="Arial"/>
          <w:b/>
          <w:sz w:val="20"/>
          <w:szCs w:val="20"/>
        </w:rPr>
        <w:t>Z</w:t>
      </w:r>
      <w:r>
        <w:rPr>
          <w:rFonts w:cs="Arial"/>
          <w:b/>
          <w:bCs/>
          <w:sz w:val="20"/>
          <w:szCs w:val="20"/>
          <w:lang w:eastAsia="ar-SA"/>
        </w:rPr>
        <w:t xml:space="preserve">ałącznik nr 2 do SWZ </w:t>
      </w:r>
    </w:p>
    <w:p w:rsidR="00C745F5" w:rsidRDefault="00411FE7">
      <w:pPr>
        <w:pStyle w:val="Bezodstpw"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FZ-2380/27</w:t>
      </w:r>
      <w:r>
        <w:rPr>
          <w:b/>
          <w:sz w:val="20"/>
          <w:szCs w:val="20"/>
          <w:lang w:eastAsia="ar-SA"/>
        </w:rPr>
        <w:t>/24/RK</w:t>
      </w:r>
    </w:p>
    <w:p w:rsidR="00C745F5" w:rsidRDefault="00C745F5">
      <w:pPr>
        <w:spacing w:line="240" w:lineRule="auto"/>
        <w:jc w:val="both"/>
        <w:rPr>
          <w:b/>
          <w:sz w:val="32"/>
          <w:szCs w:val="32"/>
        </w:rPr>
      </w:pPr>
    </w:p>
    <w:p w:rsidR="00C745F5" w:rsidRDefault="00411FE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Opis przedmiotu zamówienia</w:t>
      </w:r>
    </w:p>
    <w:p w:rsidR="00C745F5" w:rsidRDefault="00411FE7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bCs/>
          <w:sz w:val="22"/>
        </w:rPr>
        <w:t>na dostawę sprzętu telefonii IP w ramach zadania inwestycyjnego pn.</w:t>
      </w:r>
      <w:r>
        <w:rPr>
          <w:rFonts w:cs="Arial"/>
          <w:sz w:val="28"/>
          <w:szCs w:val="28"/>
        </w:rPr>
        <w:t xml:space="preserve"> </w:t>
      </w:r>
      <w:r>
        <w:rPr>
          <w:rFonts w:eastAsia="SimSun" w:cs="Arial"/>
          <w:b/>
          <w:bCs/>
          <w:color w:val="000000"/>
          <w:sz w:val="22"/>
          <w:lang w:eastAsia="pl-PL"/>
        </w:rPr>
        <w:t xml:space="preserve">„Rewitalizacja Obszarowa Centrum Łodzi - Projekt 2” [WND-RPLD.06.03.01-10-0003/17 - Projekt współfinansowany z </w:t>
      </w:r>
      <w:r>
        <w:rPr>
          <w:rFonts w:eastAsia="SimSun" w:cs="Arial"/>
          <w:b/>
          <w:bCs/>
          <w:color w:val="000000"/>
          <w:sz w:val="22"/>
          <w:lang w:eastAsia="pl-PL"/>
        </w:rPr>
        <w:t>Europejskiego Funduszu Rozwoju Regionalnego w ramach Regionalnego Programu Operacyjnego Województwa Łódzkiego na lata 2014-2020]</w:t>
      </w:r>
    </w:p>
    <w:p w:rsidR="00C745F5" w:rsidRDefault="00C745F5">
      <w:pPr>
        <w:spacing w:line="240" w:lineRule="auto"/>
        <w:jc w:val="both"/>
        <w:rPr>
          <w:sz w:val="20"/>
          <w:szCs w:val="20"/>
        </w:rPr>
      </w:pPr>
    </w:p>
    <w:p w:rsidR="00C745F5" w:rsidRDefault="00411FE7">
      <w:pPr>
        <w:spacing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Postanowienia ogólne.</w:t>
      </w:r>
    </w:p>
    <w:p w:rsidR="00C745F5" w:rsidRDefault="00C745F5">
      <w:pPr>
        <w:pStyle w:val="Bezodstpw"/>
      </w:pPr>
    </w:p>
    <w:p w:rsidR="00C745F5" w:rsidRDefault="00411FE7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Wykonawca udziela Zamawiającemu gwarancji na dostarczone urządzenia wg zasad:</w:t>
      </w:r>
    </w:p>
    <w:p w:rsidR="00C745F5" w:rsidRDefault="00411FE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dostarczonego sprzętu </w:t>
      </w:r>
      <w:r>
        <w:rPr>
          <w:sz w:val="20"/>
          <w:szCs w:val="20"/>
        </w:rPr>
        <w:t>będą dołączone karty gwarancyjne zawierające numer seryjny, termin i warunki ważności gwarancji, adresy i numery telefonów punktów serwisowych świadczących usługi gwarancyjne (dopuszcza się zastosowanie jednej gwarancji zbiorczej)</w:t>
      </w:r>
    </w:p>
    <w:p w:rsidR="00C745F5" w:rsidRDefault="00411FE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okresie gwarancji Wykon</w:t>
      </w:r>
      <w:r>
        <w:rPr>
          <w:sz w:val="20"/>
          <w:szCs w:val="20"/>
        </w:rPr>
        <w:t xml:space="preserve">awca zapewnia nieodpłatne usługi serwisowe, autoryzowanego przez producenta urządzenia punktu serwisowego (lub jego oficjalnego przedstawiciela w Polsce). </w:t>
      </w:r>
    </w:p>
    <w:p w:rsidR="00C745F5" w:rsidRDefault="00411FE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dokonania naprawy gwarancyjnej w ciągu maksymalnie 14 dni (zgodnie ze z</w:t>
      </w:r>
      <w:r>
        <w:rPr>
          <w:sz w:val="20"/>
          <w:szCs w:val="20"/>
        </w:rPr>
        <w:t>łożoną ofertą) od chwili pisemnego zgłoszenia uszkodzenia. W przypadku gdy naprawa w tym terminie nie jest możliwa, Wykonawca dostarczy Zamawiającemu urządzenie zastępcze o takich samych lub lepszych parametrach technicznych co naprawiany sprzęt.</w:t>
      </w:r>
    </w:p>
    <w:p w:rsidR="00C745F5" w:rsidRDefault="00411FE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z w:val="20"/>
          <w:szCs w:val="20"/>
        </w:rPr>
        <w:t xml:space="preserve"> dokona nieodpłatnej wymiany urządzenia na nowe w terminie 7 dni, gdy urządzenie po dwóch kolejnych naprawach tego samego elementu lub zespołu wykaże wady w działaniu. </w:t>
      </w:r>
    </w:p>
    <w:p w:rsidR="00C745F5" w:rsidRDefault="00411FE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Wymiana urządzenia automatycznie powoduje obowiązek Wykonawcy wystawienia nowej karty g</w:t>
      </w:r>
      <w:r>
        <w:rPr>
          <w:sz w:val="20"/>
          <w:szCs w:val="20"/>
        </w:rPr>
        <w:t>warancyjnej z określonym terminem gwarancji , począwszy od dnia wymiany.</w:t>
      </w:r>
    </w:p>
    <w:p w:rsidR="00C745F5" w:rsidRDefault="00411FE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zgłoszenia związane z wykonaniem warunków gwarancji, dokonywane w formie pisemnej będą przyjmowane w dni robocze. Wykonawca w karcie gwarancyjnej zamieści adres i numer faksu</w:t>
      </w:r>
      <w:r>
        <w:rPr>
          <w:sz w:val="20"/>
          <w:szCs w:val="20"/>
        </w:rPr>
        <w:t xml:space="preserve"> autoryzowanego punktu serwisowego.</w:t>
      </w:r>
    </w:p>
    <w:p w:rsidR="00C745F5" w:rsidRDefault="00411FE7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koszty związane ze świadczeniem zobowiązań gwarancyjnych, w tym dojazdów i transportu w okresie gwarancji ponosi Wykonawca.</w:t>
      </w:r>
    </w:p>
    <w:p w:rsidR="00C745F5" w:rsidRDefault="00C745F5">
      <w:pPr>
        <w:pStyle w:val="Bezodstpw"/>
      </w:pPr>
    </w:p>
    <w:p w:rsidR="00C745F5" w:rsidRDefault="00411FE7">
      <w:pPr>
        <w:rPr>
          <w:rFonts w:cs="Arial"/>
          <w:b/>
          <w:sz w:val="40"/>
          <w:szCs w:val="40"/>
          <w:u w:val="single"/>
        </w:rPr>
      </w:pPr>
      <w:r>
        <w:br w:type="page"/>
      </w:r>
    </w:p>
    <w:p w:rsidR="00C745F5" w:rsidRDefault="00C745F5">
      <w:pPr>
        <w:pStyle w:val="Bezodstpw1"/>
        <w:jc w:val="both"/>
        <w:rPr>
          <w:rFonts w:cs="Arial"/>
          <w:b/>
          <w:sz w:val="28"/>
          <w:szCs w:val="28"/>
        </w:rPr>
      </w:pPr>
    </w:p>
    <w:p w:rsidR="00411FE7" w:rsidRDefault="00411FE7">
      <w:pPr>
        <w:pStyle w:val="Bezodstpw1"/>
        <w:jc w:val="both"/>
        <w:rPr>
          <w:rFonts w:cs="Arial"/>
          <w:b/>
          <w:sz w:val="28"/>
          <w:szCs w:val="28"/>
        </w:rPr>
      </w:pPr>
    </w:p>
    <w:p w:rsidR="00C745F5" w:rsidRDefault="00411FE7">
      <w:pPr>
        <w:pStyle w:val="Bezodstpw1"/>
        <w:ind w:left="36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Dostawa sprzętu telefonii IP dla potrzeb zadania inwestycyjnego – obiekt:  KMP, ul.</w:t>
      </w:r>
      <w:r>
        <w:rPr>
          <w:rFonts w:cs="Arial"/>
          <w:b/>
          <w:szCs w:val="24"/>
        </w:rPr>
        <w:t xml:space="preserve"> Sienkiewicza 28/30</w:t>
      </w:r>
    </w:p>
    <w:p w:rsidR="00C745F5" w:rsidRDefault="00C745F5">
      <w:pPr>
        <w:pStyle w:val="Bezodstpw1"/>
        <w:jc w:val="both"/>
        <w:rPr>
          <w:rFonts w:cs="Arial"/>
          <w:b/>
          <w:szCs w:val="24"/>
        </w:rPr>
      </w:pPr>
    </w:p>
    <w:p w:rsidR="00C745F5" w:rsidRPr="00411FE7" w:rsidRDefault="00411FE7" w:rsidP="00411FE7">
      <w:pPr>
        <w:pStyle w:val="Akapitzlist"/>
        <w:widowControl w:val="0"/>
        <w:numPr>
          <w:ilvl w:val="0"/>
          <w:numId w:val="2"/>
        </w:numPr>
        <w:tabs>
          <w:tab w:val="clear" w:pos="425"/>
          <w:tab w:val="left" w:pos="1680"/>
        </w:tabs>
        <w:spacing w:after="0" w:line="240" w:lineRule="auto"/>
        <w:ind w:left="430" w:hanging="453"/>
        <w:jc w:val="both"/>
        <w:rPr>
          <w:rFonts w:ascii="Arial" w:hAnsi="Arial" w:cs="Arial"/>
          <w:b/>
        </w:rPr>
      </w:pPr>
      <w:bookmarkStart w:id="0" w:name="_Ref350430265"/>
      <w:bookmarkEnd w:id="0"/>
      <w:r>
        <w:rPr>
          <w:rFonts w:ascii="Arial" w:hAnsi="Arial" w:cs="Arial"/>
          <w:b/>
        </w:rPr>
        <w:t>Wszystkie dostarczone przez Wykonawcę urządzenia:</w:t>
      </w:r>
    </w:p>
    <w:p w:rsidR="00C745F5" w:rsidRDefault="00411FE7">
      <w:pPr>
        <w:pStyle w:val="Akapitzlist"/>
        <w:numPr>
          <w:ilvl w:val="1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Muszą być fabrycznie nowe. Nie dopuszcza się dostaw pochodzących z demontażu, używanych lub uprzednio naprawianych.</w:t>
      </w:r>
    </w:p>
    <w:p w:rsidR="00C745F5" w:rsidRDefault="00411FE7">
      <w:pPr>
        <w:pStyle w:val="Akapitzlist"/>
        <w:numPr>
          <w:ilvl w:val="1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Urządzenia muszą być dostarczone przez Wykonawcę w oryginalnych </w:t>
      </w:r>
      <w:r>
        <w:rPr>
          <w:rFonts w:ascii="Arial" w:hAnsi="Arial" w:cs="Arial"/>
          <w:sz w:val="20"/>
          <w:szCs w:val="20"/>
        </w:rPr>
        <w:t>opakowaniach producenta wraz z  instrukcją obsługi w języku polskim lub angielskim (instrukcja może być w formie elektronicznej).</w:t>
      </w:r>
    </w:p>
    <w:p w:rsidR="00C745F5" w:rsidRDefault="00411FE7">
      <w:pPr>
        <w:pStyle w:val="Akapitzlist"/>
        <w:numPr>
          <w:ilvl w:val="1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mogą być starsze niż 6 miesięcy od daty dostawy.</w:t>
      </w:r>
    </w:p>
    <w:p w:rsidR="00C745F5" w:rsidRDefault="00411FE7">
      <w:pPr>
        <w:pStyle w:val="Akapitzlist"/>
        <w:numPr>
          <w:ilvl w:val="1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Muszą pochodzić z  autoryzowanego kanału dystrybucji producenta.</w:t>
      </w:r>
    </w:p>
    <w:p w:rsidR="00C745F5" w:rsidRDefault="00411FE7">
      <w:pPr>
        <w:pStyle w:val="Akapitzlist"/>
        <w:numPr>
          <w:ilvl w:val="1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Muszą by</w:t>
      </w:r>
      <w:r>
        <w:rPr>
          <w:rFonts w:ascii="Arial" w:hAnsi="Arial" w:cs="Arial"/>
          <w:sz w:val="20"/>
          <w:szCs w:val="20"/>
        </w:rPr>
        <w:t>ć produktem przeznaczonym na rynek polski lub na rynek Unii Europejskiej</w:t>
      </w:r>
    </w:p>
    <w:p w:rsidR="00C745F5" w:rsidRDefault="00411FE7">
      <w:pPr>
        <w:pStyle w:val="Akapitzlist"/>
        <w:numPr>
          <w:ilvl w:val="1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Muszą posiadać nie mniej niż </w:t>
      </w:r>
      <w:bookmarkStart w:id="1" w:name="_Hlk80185586"/>
      <w:r>
        <w:rPr>
          <w:rFonts w:ascii="Arial" w:hAnsi="Arial" w:cs="Arial"/>
          <w:sz w:val="20"/>
          <w:szCs w:val="20"/>
        </w:rPr>
        <w:t>24 miesiące gwarancji producenta realizowanej na terenie Polski przez autoryzowany serwis</w:t>
      </w:r>
      <w:bookmarkEnd w:id="1"/>
      <w:r>
        <w:rPr>
          <w:rFonts w:ascii="Arial" w:hAnsi="Arial" w:cs="Arial"/>
          <w:sz w:val="20"/>
          <w:szCs w:val="20"/>
        </w:rPr>
        <w:t>.</w:t>
      </w:r>
    </w:p>
    <w:p w:rsidR="00C745F5" w:rsidRDefault="00411FE7">
      <w:pPr>
        <w:pStyle w:val="Akapitzlist"/>
        <w:numPr>
          <w:ilvl w:val="1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Korzystanie przez Zamawiającego z  zakupionych urządzeń i oprog</w:t>
      </w:r>
      <w:r>
        <w:rPr>
          <w:rFonts w:ascii="Arial" w:hAnsi="Arial" w:cs="Arial"/>
          <w:sz w:val="20"/>
          <w:szCs w:val="20"/>
        </w:rPr>
        <w:t>ramowania nie może naruszać majątkowych praw autorskich osób trzecich.</w:t>
      </w:r>
    </w:p>
    <w:p w:rsidR="00C745F5" w:rsidRDefault="00411FE7">
      <w:pPr>
        <w:pStyle w:val="Akapitzlist"/>
        <w:numPr>
          <w:ilvl w:val="1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wymaga, by w chwili nabycia licencji stał się ich jedynym właścicielem z  pełnymi prawami oraz pełnymi prawami do korzystania z oprogramowania.</w:t>
      </w:r>
    </w:p>
    <w:p w:rsidR="00C745F5" w:rsidRDefault="00411FE7">
      <w:pPr>
        <w:pStyle w:val="Akapitzlist"/>
        <w:numPr>
          <w:ilvl w:val="1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posiada wiedzę na</w:t>
      </w:r>
      <w:r>
        <w:rPr>
          <w:rFonts w:ascii="Arial" w:hAnsi="Arial" w:cs="Arial"/>
          <w:sz w:val="20"/>
          <w:szCs w:val="20"/>
        </w:rPr>
        <w:t xml:space="preserve"> temat nadzoru i konfiguracji oraz używa w swojej infrastrukturze VoIP produktów marki Cisco. W związku z tym dostarczony sprzęt musi być w pełni kompatybilny z urządzeniami posiadanymi przez Zamawiającego oraz dawać możliwość wykorzystywania wszystkich fu</w:t>
      </w:r>
      <w:r>
        <w:rPr>
          <w:rFonts w:ascii="Arial" w:hAnsi="Arial" w:cs="Arial"/>
          <w:sz w:val="20"/>
          <w:szCs w:val="20"/>
        </w:rPr>
        <w:t>nkcjonalności posiadanego oraz dostarczonego przez Wykonawcę sprzętu</w:t>
      </w:r>
    </w:p>
    <w:p w:rsidR="00C745F5" w:rsidRDefault="00411FE7">
      <w:pPr>
        <w:pStyle w:val="Akapitzlist"/>
        <w:numPr>
          <w:ilvl w:val="1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zaoferowania produktów innej firmy koniecznym jest by Wykonawca :</w:t>
      </w:r>
    </w:p>
    <w:p w:rsidR="00C745F5" w:rsidRDefault="00411FE7">
      <w:pPr>
        <w:pStyle w:val="Akapitzlist"/>
        <w:numPr>
          <w:ilvl w:val="2"/>
          <w:numId w:val="2"/>
        </w:numPr>
        <w:tabs>
          <w:tab w:val="left" w:pos="1680"/>
        </w:tabs>
        <w:spacing w:after="0" w:line="240" w:lineRule="auto"/>
        <w:ind w:left="1270" w:hanging="4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dołączył do oferty szczegółowe parametry techniczne w formie opisowej wraz z kartami katalogowymi produktu</w:t>
      </w:r>
    </w:p>
    <w:p w:rsidR="00C745F5" w:rsidRDefault="00411FE7">
      <w:pPr>
        <w:pStyle w:val="Akapitzlist"/>
        <w:numPr>
          <w:ilvl w:val="2"/>
          <w:numId w:val="2"/>
        </w:numPr>
        <w:tabs>
          <w:tab w:val="left" w:pos="1680"/>
        </w:tabs>
        <w:spacing w:after="0" w:line="240" w:lineRule="auto"/>
        <w:ind w:left="1270" w:hanging="4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instalował i uruchomił urządzenia,</w:t>
      </w:r>
    </w:p>
    <w:p w:rsidR="00C745F5" w:rsidRDefault="00411FE7">
      <w:pPr>
        <w:pStyle w:val="Akapitzlist"/>
        <w:numPr>
          <w:ilvl w:val="2"/>
          <w:numId w:val="2"/>
        </w:numPr>
        <w:tabs>
          <w:tab w:val="left" w:pos="1680"/>
        </w:tabs>
        <w:spacing w:after="0" w:line="240" w:lineRule="auto"/>
        <w:ind w:left="1270" w:hanging="4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urządzeń zarządzalnych dostarczył komplet oprogramowania i okablowania do konfiguracji,</w:t>
      </w:r>
    </w:p>
    <w:p w:rsidR="00C745F5" w:rsidRDefault="00411FE7">
      <w:pPr>
        <w:pStyle w:val="Akapitzlist"/>
        <w:numPr>
          <w:ilvl w:val="2"/>
          <w:numId w:val="2"/>
        </w:numPr>
        <w:tabs>
          <w:tab w:val="left" w:pos="1680"/>
        </w:tabs>
        <w:spacing w:after="0" w:line="240" w:lineRule="auto"/>
        <w:ind w:left="1270" w:hanging="453"/>
        <w:jc w:val="both"/>
        <w:rPr>
          <w:rFonts w:ascii="Arial" w:hAnsi="Arial" w:cs="Arial"/>
          <w:sz w:val="20"/>
          <w:szCs w:val="20"/>
        </w:rPr>
      </w:pPr>
      <w:bookmarkStart w:id="2" w:name="_Hlk76629202"/>
      <w:r>
        <w:rPr>
          <w:rFonts w:ascii="Arial" w:hAnsi="Arial" w:cs="Arial"/>
          <w:sz w:val="20"/>
          <w:szCs w:val="20"/>
        </w:rPr>
        <w:t>przeszkolił 4 administratorów w zakresie konfiguracji i zarządzania urządzeniami. (szkolenie powinno zapewnić poziom wied</w:t>
      </w:r>
      <w:r>
        <w:rPr>
          <w:rFonts w:ascii="Arial" w:hAnsi="Arial" w:cs="Arial"/>
          <w:sz w:val="20"/>
          <w:szCs w:val="20"/>
        </w:rPr>
        <w:t>zy pozwalający na wykorzystanie wszystkich funkcjonalności dostarczonych urządzeń).</w:t>
      </w:r>
      <w:bookmarkEnd w:id="2"/>
    </w:p>
    <w:p w:rsidR="00C745F5" w:rsidRDefault="00C745F5">
      <w:pPr>
        <w:spacing w:after="0" w:line="240" w:lineRule="auto"/>
        <w:ind w:left="340"/>
        <w:jc w:val="both"/>
        <w:rPr>
          <w:rFonts w:cs="Arial"/>
          <w:szCs w:val="24"/>
        </w:rPr>
      </w:pPr>
      <w:bookmarkStart w:id="3" w:name="_Ref350430265_kopia_1"/>
      <w:bookmarkEnd w:id="3"/>
    </w:p>
    <w:p w:rsidR="00C745F5" w:rsidRPr="00411FE7" w:rsidRDefault="00411FE7" w:rsidP="00411FE7">
      <w:pPr>
        <w:pStyle w:val="Akapitzlist"/>
        <w:numPr>
          <w:ilvl w:val="0"/>
          <w:numId w:val="2"/>
        </w:numPr>
        <w:tabs>
          <w:tab w:val="clear" w:pos="425"/>
          <w:tab w:val="left" w:pos="1680"/>
        </w:tabs>
        <w:spacing w:after="0" w:line="240" w:lineRule="auto"/>
        <w:ind w:left="430" w:hanging="4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Aparaty – wymagania dla wszystkich aparatów VoIP: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cyfrowych łączy Ethernet 10/100/1000 Mb/s z protokołem sygnalizacyjnym SCCP lub SIP (RFC 3261).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Obsługa kodeków </w:t>
      </w:r>
      <w:r>
        <w:rPr>
          <w:rFonts w:ascii="Arial" w:hAnsi="Arial" w:cs="Arial"/>
          <w:sz w:val="20"/>
          <w:szCs w:val="20"/>
        </w:rPr>
        <w:t>G.711a, G.729a, G.722, iLBC.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IP telefonu ustawiany statycznie lub przydzielany dynamicznie poprzez DHCP;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transmisji poprzez zastosowanie protokołów Transport Layer Security (TLS) i Secure Real-Time Protocol (SRTP);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Zaimplementowane mec</w:t>
      </w:r>
      <w:r>
        <w:rPr>
          <w:rFonts w:ascii="Arial" w:hAnsi="Arial" w:cs="Arial"/>
          <w:sz w:val="20"/>
          <w:szCs w:val="20"/>
          <w:lang w:val="en-US"/>
        </w:rPr>
        <w:t>hanizmy Quality Of Service (QOS) bazujące na protokole IEEE 802.1p oraz 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Differentiated Services Code Point (DSCP).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RTCP.</w:t>
      </w:r>
    </w:p>
    <w:p w:rsidR="00411FE7" w:rsidRPr="00411FE7" w:rsidRDefault="00411FE7" w:rsidP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protokołów IEEE 802.1Q, 802.1p, ICMP.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ełna współpraca z klastrem (CUCM) Cisco Unified Communication Manager </w:t>
      </w:r>
      <w:r>
        <w:rPr>
          <w:rFonts w:ascii="Arial" w:hAnsi="Arial" w:cs="Arial"/>
          <w:sz w:val="20"/>
          <w:szCs w:val="20"/>
        </w:rPr>
        <w:t>wersja 14.0.1 (właściwa sygnalizacja zwrotna, BLF itp.).</w:t>
      </w:r>
    </w:p>
    <w:p w:rsidR="00411FE7" w:rsidRDefault="00411FE7" w:rsidP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wszystkich funkcji oferowanych przez serwer VoIP a w szczególności:</w:t>
      </w:r>
    </w:p>
    <w:p w:rsidR="00411FE7" w:rsidRDefault="00411FE7" w:rsidP="00411FE7">
      <w:pPr>
        <w:pStyle w:val="Akapitzlist"/>
        <w:spacing w:after="0" w:line="240" w:lineRule="auto"/>
        <w:ind w:left="1213"/>
        <w:jc w:val="both"/>
        <w:rPr>
          <w:rFonts w:ascii="Arial" w:hAnsi="Arial" w:cs="Arial"/>
          <w:sz w:val="20"/>
          <w:szCs w:val="20"/>
        </w:rPr>
      </w:pPr>
    </w:p>
    <w:p w:rsidR="00411FE7" w:rsidRDefault="00411FE7" w:rsidP="00411FE7">
      <w:pPr>
        <w:pStyle w:val="Akapitzlist"/>
        <w:spacing w:after="0" w:line="240" w:lineRule="auto"/>
        <w:ind w:left="1213"/>
        <w:jc w:val="both"/>
        <w:rPr>
          <w:rFonts w:ascii="Arial" w:hAnsi="Arial" w:cs="Arial"/>
          <w:sz w:val="20"/>
          <w:szCs w:val="20"/>
        </w:rPr>
      </w:pPr>
    </w:p>
    <w:p w:rsidR="00411FE7" w:rsidRPr="00411FE7" w:rsidRDefault="00411FE7" w:rsidP="00411FE7">
      <w:pPr>
        <w:pStyle w:val="Akapitzlist"/>
        <w:spacing w:after="0" w:line="240" w:lineRule="auto"/>
        <w:ind w:left="1213"/>
        <w:jc w:val="both"/>
        <w:rPr>
          <w:rFonts w:ascii="Arial" w:hAnsi="Arial" w:cs="Arial"/>
          <w:sz w:val="20"/>
          <w:szCs w:val="20"/>
        </w:rPr>
      </w:pP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dentyfikacja numeru dla połączeń przychodzących,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warunkowe i bezwarunkowe przenoszenie wywołań,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parkowanie połączeń, 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połączenia oczekujące,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transferowanie połączeń,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funkcja sygnalizacji zajętości (BLF) 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zestawianie telekonferencji.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musi posiadać następujące przyciski funkcyjne zdefiniowane jako klawisze stałe lub programowe (softkey):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listy kontaktów,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ostęp do ustawień urządzenia,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 rozmowy,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konferencji,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zawieszenie połączenia,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poczty głosowej,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sterowanie głośnością,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włączenie/wyłączenie mikrofonu,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włączenie/wyłączenie zestawu nagłownego,</w:t>
      </w:r>
    </w:p>
    <w:p w:rsidR="00C745F5" w:rsidRDefault="00411FE7">
      <w:pPr>
        <w:pStyle w:val="Akapitzlist"/>
        <w:numPr>
          <w:ilvl w:val="2"/>
          <w:numId w:val="2"/>
        </w:numPr>
        <w:spacing w:after="0" w:line="240" w:lineRule="auto"/>
        <w:ind w:left="1876" w:hanging="1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włączenie/wyłączenie trybu głośnomówi</w:t>
      </w:r>
      <w:r>
        <w:rPr>
          <w:rFonts w:ascii="Arial" w:hAnsi="Arial" w:cs="Arial"/>
          <w:sz w:val="20"/>
          <w:szCs w:val="20"/>
        </w:rPr>
        <w:t>ącego.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Zdalne wykonywanie zmian konfiguracyjnych oraz nadzoru z poziomu CUCM (poprzez interfejs zarządzania CUCM).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Automatyczny upgrade/downgrade firmware-u i pobieranie konfiguracji z serwera TFTP wbudowanego w CUCM (nie dopuszcza się innych serwerów wymi</w:t>
      </w:r>
      <w:r>
        <w:rPr>
          <w:rFonts w:ascii="Arial" w:hAnsi="Arial" w:cs="Arial"/>
          <w:sz w:val="20"/>
          <w:szCs w:val="20"/>
        </w:rPr>
        <w:t>any plików dostępnych w sieci IP przeznaczonej dla telefonów).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Szyfrowanie plików konfiguracyjnych.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Uwierzytelnienie przy użyciu podpisu elektronicznego plików firmware i konfiguracyjnych.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uwierzytelniania za pomocą mechanizmu IEEE 802.1X zarówno t</w:t>
      </w:r>
      <w:r>
        <w:rPr>
          <w:rFonts w:ascii="Arial" w:hAnsi="Arial" w:cs="Arial"/>
          <w:sz w:val="20"/>
          <w:szCs w:val="20"/>
        </w:rPr>
        <w:t>elefonu jak i komputera podłączonego do sieci poprzez telefon.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Wbudowana przeglądarka XML.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przez PoE w standardzie IEEE 802.3af lub 802.3at oraz z sieci elektroenergetycznej ~230V (zasilacz sieciowy 230V nie jest wymagany).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gniazdo Ethe</w:t>
      </w:r>
      <w:r>
        <w:rPr>
          <w:rFonts w:ascii="Arial" w:hAnsi="Arial" w:cs="Arial"/>
          <w:sz w:val="20"/>
          <w:szCs w:val="20"/>
        </w:rPr>
        <w:t>rnet RJ-45 10/100/1000 BASE-T do podłączenia komputera.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Transmisja głosu z  telefonu i danych z  komputera PC musi być przesyłana w dwóch różnych sieciach VLAN, przy czym konfiguracja VLAN-ów powinna być pobierana ze switcha dostępowego przy wykorzystaniu </w:t>
      </w:r>
      <w:r>
        <w:rPr>
          <w:rFonts w:ascii="Arial" w:hAnsi="Arial" w:cs="Arial"/>
          <w:sz w:val="20"/>
          <w:szCs w:val="20"/>
        </w:rPr>
        <w:t>protokołu CDP.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Połączenie pomiędzy telefonem a przełącznikiem dostępowym powinno być realizowane przy wykorzystaniu trunku w standardzie IEEE 802.1Q.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Identyfikacja numeru dla połączeń przychodzących.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Wyświetlacz niedotykowy, z  podświetleniem.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Ciemny kolor</w:t>
      </w:r>
      <w:r>
        <w:rPr>
          <w:rFonts w:ascii="Arial" w:hAnsi="Arial" w:cs="Arial"/>
          <w:sz w:val="20"/>
          <w:szCs w:val="20"/>
        </w:rPr>
        <w:t xml:space="preserve"> obudowy (czarny,grafit, antracyt itp.)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Dedykowane gniazdo do podłączenia zestawu nagłownego.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głośnomówiący dwukierunkowy, działający w trybie pełnego dupleksu.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Niezależna regulacja głośności słuchawki i systemu głośnomówiącego.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w języku pol</w:t>
      </w:r>
      <w:r>
        <w:rPr>
          <w:rFonts w:ascii="Arial" w:hAnsi="Arial" w:cs="Arial"/>
          <w:sz w:val="20"/>
          <w:szCs w:val="20"/>
        </w:rPr>
        <w:t>skim.</w:t>
      </w:r>
    </w:p>
    <w:p w:rsidR="00411FE7" w:rsidRPr="00411FE7" w:rsidRDefault="00411FE7" w:rsidP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obsługi w języku polskim</w:t>
      </w:r>
      <w:r>
        <w:rPr>
          <w:rFonts w:cs="Arial"/>
          <w:sz w:val="20"/>
          <w:szCs w:val="20"/>
        </w:rPr>
        <w:t>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ożliwość montażu na ścianie (opcjonalny zestaw do montażu na ścianie nie jest wymagany);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protokołu CDP (Cisco Discovery Protocol).</w:t>
      </w:r>
    </w:p>
    <w:p w:rsidR="00411FE7" w:rsidRDefault="00411FE7" w:rsidP="00411FE7">
      <w:pPr>
        <w:pStyle w:val="Akapitzlist"/>
        <w:spacing w:after="0" w:line="240" w:lineRule="auto"/>
        <w:ind w:left="1213"/>
        <w:jc w:val="both"/>
        <w:rPr>
          <w:rFonts w:ascii="Arial" w:hAnsi="Arial" w:cs="Arial"/>
          <w:sz w:val="20"/>
          <w:szCs w:val="20"/>
        </w:rPr>
      </w:pPr>
    </w:p>
    <w:p w:rsidR="00C745F5" w:rsidRDefault="00C745F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5F5" w:rsidRDefault="00411FE7">
      <w:pPr>
        <w:pStyle w:val="Akapitzlist"/>
        <w:numPr>
          <w:ilvl w:val="0"/>
          <w:numId w:val="2"/>
        </w:numPr>
        <w:tabs>
          <w:tab w:val="clear" w:pos="425"/>
          <w:tab w:val="left" w:pos="1680"/>
        </w:tabs>
        <w:spacing w:after="0" w:line="240" w:lineRule="auto"/>
        <w:ind w:left="430" w:hanging="4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Aparat sekretarsko-dyrektorski </w:t>
      </w:r>
      <w:r>
        <w:rPr>
          <w:rFonts w:ascii="Arial" w:hAnsi="Arial" w:cs="Arial"/>
          <w:b/>
        </w:rPr>
        <w:noBreakHyphen/>
        <w:t xml:space="preserve"> 15 szt. - aparat VoIP wraz z </w:t>
      </w:r>
      <w:r>
        <w:rPr>
          <w:rFonts w:ascii="Arial" w:hAnsi="Arial" w:cs="Arial"/>
          <w:b/>
        </w:rPr>
        <w:t>licencjami spełniający poniższe wymagania :</w:t>
      </w:r>
    </w:p>
    <w:p w:rsidR="00C745F5" w:rsidRDefault="00C745F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Spełnia wymagania opisane w punkcie 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” Aparaty – wymagania dla wszystkich aparatów VoIP”.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nie mniej niż pięciu (5) linii (numerów) telefonicznych.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mniej niż trzydzieści dwa (32) klawisze szybkiego</w:t>
      </w:r>
      <w:r>
        <w:rPr>
          <w:rFonts w:ascii="Arial" w:hAnsi="Arial" w:cs="Arial"/>
          <w:sz w:val="20"/>
          <w:szCs w:val="20"/>
        </w:rPr>
        <w:t xml:space="preserve"> wyboru z  możliwością zaprogramowania funkcji BLF.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klawiszy linii telefonicznych można używać zamiennie jako klawiszy szybkiego wyboru to wszystkie - oprócz pierwszego- można wliczyć do puli klawiszy szybkiego wyboru.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Kolorowy graficzny wyświetlacz</w:t>
      </w:r>
      <w:r>
        <w:rPr>
          <w:rFonts w:ascii="Arial" w:hAnsi="Arial" w:cs="Arial"/>
          <w:sz w:val="20"/>
          <w:szCs w:val="20"/>
        </w:rPr>
        <w:t xml:space="preserve"> o rozdzielczości nie mniejszej niż 800 x 480 pixeli.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włączonym zasilaniu PoE pobór mocy nie może przekroczyć 25,5 W.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rozbudowy telefonu o nie mniej niż dwadzieścia osiem (28) dodatkowych programowalnych klawiszy szybkiego wyboru obsługujący</w:t>
      </w:r>
      <w:r>
        <w:rPr>
          <w:rFonts w:ascii="Arial" w:hAnsi="Arial" w:cs="Arial"/>
          <w:sz w:val="20"/>
          <w:szCs w:val="20"/>
        </w:rPr>
        <w:t>ch funkcję BLF (np. poprzez dołączenie dodatkowego modułu z klawiszami).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Zapewnia prowadzenie wideorozmowy z rozdzielczością pionową 720p przy wykorzystaniu kodeka </w:t>
      </w:r>
      <w:r>
        <w:rPr>
          <w:rFonts w:ascii="Arial" w:hAnsi="Arial"/>
          <w:sz w:val="20"/>
          <w:szCs w:val="20"/>
        </w:rPr>
        <w:t>H.264 AVC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45F5" w:rsidRPr="00411FE7" w:rsidRDefault="00411FE7" w:rsidP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Wbudowana kamera z przesłoną zapewniającą prywatność użytkownikowi aparatu.</w:t>
      </w:r>
    </w:p>
    <w:p w:rsidR="00C745F5" w:rsidRDefault="00C745F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45F5" w:rsidRPr="00411FE7" w:rsidRDefault="00411FE7" w:rsidP="00411FE7">
      <w:pPr>
        <w:pStyle w:val="Akapitzlist"/>
        <w:numPr>
          <w:ilvl w:val="0"/>
          <w:numId w:val="2"/>
        </w:numPr>
        <w:tabs>
          <w:tab w:val="clear" w:pos="425"/>
          <w:tab w:val="left" w:pos="1680"/>
        </w:tabs>
        <w:spacing w:after="0" w:line="240" w:lineRule="auto"/>
        <w:ind w:left="430" w:hanging="4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Apa</w:t>
      </w:r>
      <w:r>
        <w:rPr>
          <w:rFonts w:ascii="Arial" w:hAnsi="Arial" w:cs="Arial"/>
          <w:b/>
        </w:rPr>
        <w:t>rat abonencki </w:t>
      </w:r>
      <w:r>
        <w:rPr>
          <w:rFonts w:ascii="Arial" w:hAnsi="Arial" w:cs="Arial"/>
          <w:b/>
        </w:rPr>
        <w:noBreakHyphen/>
        <w:t xml:space="preserve"> 30 szt. aparat VoIP wraz z licencjami spełniający poniższe wymagania: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pełnia wymagania opisane w punkcie 2 - ” Aparaty – wymagania dla wszystkich aparatów VoIP”.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nie mniej niż czterech (4) linii (numerów) telefonicznych.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mniej</w:t>
      </w:r>
      <w:r>
        <w:rPr>
          <w:rFonts w:ascii="Arial" w:hAnsi="Arial" w:cs="Arial"/>
          <w:sz w:val="20"/>
          <w:szCs w:val="20"/>
        </w:rPr>
        <w:t xml:space="preserve"> niż trzy (3) klawisze szybkiego wyboru z  możliwością zaprogramowania funkcji BLF.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klawiszy linii telefonicznych można używać zamiennie jako klawiszy szybkiego wyboru to wszystkie - oprócz pierwszego- można wliczyć do puli klawiszy szybkiego wyboru</w:t>
      </w:r>
      <w:r>
        <w:rPr>
          <w:rFonts w:ascii="Arial" w:hAnsi="Arial" w:cs="Arial"/>
          <w:sz w:val="20"/>
          <w:szCs w:val="20"/>
        </w:rPr>
        <w:t>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Monochromatyczny graficzny wyświetlacz o rozdzielczości nie mniejszej niż 390 x 160 pixeli.</w:t>
      </w:r>
    </w:p>
    <w:p w:rsidR="00C745F5" w:rsidRDefault="00411FE7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włączonym zasilaniu PoE pobór mocy nie może przekroczyć 3,84 W.</w:t>
      </w:r>
    </w:p>
    <w:p w:rsidR="00C745F5" w:rsidRDefault="00C745F5">
      <w:pPr>
        <w:pStyle w:val="Akapitzlist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C745F5" w:rsidRDefault="00411FE7">
      <w:pPr>
        <w:pStyle w:val="Akapitzlist"/>
        <w:numPr>
          <w:ilvl w:val="0"/>
          <w:numId w:val="2"/>
        </w:numPr>
        <w:tabs>
          <w:tab w:val="clear" w:pos="425"/>
          <w:tab w:val="left" w:pos="1680"/>
        </w:tabs>
        <w:spacing w:after="0" w:line="240" w:lineRule="auto"/>
        <w:ind w:left="430" w:hanging="4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Licencje wraz ze wsparciem producenckim do klastra Cisco Unified Communication Manager</w:t>
      </w:r>
    </w:p>
    <w:p w:rsidR="00411FE7" w:rsidRPr="00411FE7" w:rsidRDefault="00411FE7" w:rsidP="00411FE7">
      <w:pPr>
        <w:pStyle w:val="Akapitzlist1"/>
        <w:tabs>
          <w:tab w:val="left" w:pos="1680"/>
        </w:tabs>
        <w:spacing w:after="0" w:line="24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licencje Flex Named User Calling Enhanced (</w:t>
      </w:r>
      <w:r>
        <w:rPr>
          <w:rFonts w:ascii="Arial" w:hAnsi="Arial"/>
        </w:rPr>
        <w:t>A-FLEX-NUPL-E</w:t>
      </w:r>
      <w:r>
        <w:rPr>
          <w:rFonts w:ascii="Arial" w:hAnsi="Arial" w:cs="Arial"/>
        </w:rPr>
        <w:t>)</w:t>
      </w:r>
      <w:r>
        <w:rPr>
          <w:rFonts w:ascii="Arial" w:hAnsi="Arial"/>
        </w:rPr>
        <w:t xml:space="preserve"> wraz ze wsparciem producenckim </w:t>
      </w:r>
      <w:r>
        <w:rPr>
          <w:rFonts w:ascii="Arial" w:hAnsi="Arial" w:cs="Arial"/>
        </w:rPr>
        <w:t>do klastra CUCM wersji 14.0.1 spełniające następujące warunki :</w:t>
      </w:r>
    </w:p>
    <w:p w:rsidR="00C745F5" w:rsidRDefault="00411FE7">
      <w:pPr>
        <w:pStyle w:val="Akapitzlist1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Ilość licencji nie mniejsza niż wymagana do uruchomienia wszystkich dostarczony</w:t>
      </w:r>
      <w:r>
        <w:rPr>
          <w:rFonts w:ascii="Arial" w:hAnsi="Arial" w:cs="Arial"/>
          <w:sz w:val="20"/>
          <w:szCs w:val="20"/>
        </w:rPr>
        <w:t xml:space="preserve">ch aparatów VoIP </w:t>
      </w:r>
    </w:p>
    <w:p w:rsidR="00C745F5" w:rsidRDefault="00411FE7">
      <w:pPr>
        <w:pStyle w:val="Akapitzlist1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Dostarczone licencje muszą zapewnić migrację do wyższych wersji CUCM w okresie nie krótszym niż 36 miesięcy od daty podpisania umowy.</w:t>
      </w:r>
    </w:p>
    <w:p w:rsidR="00C745F5" w:rsidRDefault="00411FE7">
      <w:pPr>
        <w:pStyle w:val="Akapitzlist1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ważności licencji nie może być krótszy niż 36 miesięcy od daty podpisania umowy.</w:t>
      </w:r>
    </w:p>
    <w:p w:rsidR="00C745F5" w:rsidRDefault="00411FE7">
      <w:pPr>
        <w:pStyle w:val="Akapitzlist1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przypisze</w:t>
      </w:r>
      <w:r>
        <w:rPr>
          <w:rFonts w:ascii="Arial" w:hAnsi="Arial" w:cs="Arial"/>
          <w:sz w:val="20"/>
          <w:szCs w:val="20"/>
        </w:rPr>
        <w:t xml:space="preserve"> licencje do domeny „policja.gov.pl”,</w:t>
      </w:r>
    </w:p>
    <w:p w:rsidR="00C745F5" w:rsidRPr="00411FE7" w:rsidRDefault="00411FE7" w:rsidP="00411FE7">
      <w:pPr>
        <w:pStyle w:val="Akapitzlist1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doda zakupione licencje wraz ze wsparciem producenta do identyfikatora Cisco: „dyzurny.ost@policja.gov.pl”.</w:t>
      </w:r>
      <w:bookmarkStart w:id="4" w:name="_GoBack"/>
      <w:bookmarkEnd w:id="4"/>
    </w:p>
    <w:sectPr w:rsidR="00C745F5" w:rsidRPr="00411FE7">
      <w:headerReference w:type="default" r:id="rId7"/>
      <w:footerReference w:type="default" r:id="rId8"/>
      <w:pgSz w:w="12240" w:h="15840"/>
      <w:pgMar w:top="1440" w:right="1797" w:bottom="1440" w:left="1797" w:header="708" w:footer="708" w:gutter="0"/>
      <w:cols w:space="708"/>
      <w:formProt w:val="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1FE7">
      <w:pPr>
        <w:spacing w:after="0" w:line="240" w:lineRule="auto"/>
      </w:pPr>
      <w:r>
        <w:separator/>
      </w:r>
    </w:p>
  </w:endnote>
  <w:endnote w:type="continuationSeparator" w:id="0">
    <w:p w:rsidR="00000000" w:rsidRDefault="0041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roman"/>
    <w:pitch w:val="variable"/>
  </w:font>
  <w:font w:name="Segoe UI">
    <w:panose1 w:val="020B0502040204020203"/>
    <w:charset w:val="EE"/>
    <w:family w:val="roman"/>
    <w:pitch w:val="variable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5F5" w:rsidRDefault="00411FE7">
    <w:pPr>
      <w:pStyle w:val="Stopka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</w:rPr>
      <w:drawing>
        <wp:inline distT="0" distB="0" distL="0" distR="0">
          <wp:extent cx="5753100" cy="666750"/>
          <wp:effectExtent l="0" t="0" r="0" b="0"/>
          <wp:docPr id="2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5F5" w:rsidRDefault="00C74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1FE7">
      <w:pPr>
        <w:spacing w:after="0" w:line="240" w:lineRule="auto"/>
      </w:pPr>
      <w:r>
        <w:separator/>
      </w:r>
    </w:p>
  </w:footnote>
  <w:footnote w:type="continuationSeparator" w:id="0">
    <w:p w:rsidR="00000000" w:rsidRDefault="0041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5F5" w:rsidRDefault="00411FE7">
    <w:pPr>
      <w:spacing w:after="0" w:line="240" w:lineRule="auto"/>
      <w:ind w:left="360"/>
      <w:jc w:val="center"/>
      <w:outlineLvl w:val="0"/>
      <w:rPr>
        <w:rFonts w:ascii="Times New Roman" w:eastAsia="Times New Roman" w:hAnsi="Times New Roman"/>
        <w:b/>
        <w:bCs/>
        <w:sz w:val="15"/>
        <w:szCs w:val="15"/>
        <w:lang w:eastAsia="pl-PL"/>
      </w:rPr>
    </w:pPr>
    <w:r>
      <w:rPr>
        <w:noProof/>
      </w:rPr>
      <w:drawing>
        <wp:anchor distT="0" distB="0" distL="114300" distR="114300" simplePos="0" relativeHeight="13" behindDoc="0" locked="0" layoutInCell="0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0"/>
          <wp:wrapTight wrapText="bothSides">
            <wp:wrapPolygon edited="0">
              <wp:start x="-14" y="0"/>
              <wp:lineTo x="-14" y="21348"/>
              <wp:lineTo x="21191" y="21348"/>
              <wp:lineTo x="21191" y="0"/>
              <wp:lineTo x="-14" y="0"/>
            </wp:wrapPolygon>
          </wp:wrapTight>
          <wp:docPr id="1" name="Obraz 18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logo Łód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  <w:bCs/>
        <w:sz w:val="15"/>
        <w:szCs w:val="15"/>
        <w:lang w:eastAsia="pl-PL"/>
      </w:rPr>
      <w:t xml:space="preserve">„Rewitalizacja Obszarowa </w:t>
    </w:r>
    <w:r>
      <w:rPr>
        <w:rFonts w:ascii="Times New Roman" w:eastAsia="Times New Roman" w:hAnsi="Times New Roman"/>
        <w:b/>
        <w:bCs/>
        <w:sz w:val="15"/>
        <w:szCs w:val="15"/>
        <w:lang w:eastAsia="pl-PL"/>
      </w:rPr>
      <w:t>Centrum Łodzi - Projekt 2”</w:t>
    </w:r>
    <w:r>
      <w:rPr>
        <w:rFonts w:ascii="Times New Roman" w:eastAsia="Times New Roman" w:hAnsi="Times New Roman"/>
        <w:b/>
        <w:bCs/>
        <w:sz w:val="15"/>
        <w:szCs w:val="15"/>
        <w:lang w:eastAsia="pl-PL"/>
      </w:rPr>
      <w:br/>
      <w:t>WND-RPLD.06.03.01-10-0003/17</w:t>
    </w:r>
  </w:p>
  <w:p w:rsidR="00C745F5" w:rsidRDefault="00411FE7">
    <w:pPr>
      <w:spacing w:after="0" w:line="240" w:lineRule="auto"/>
      <w:ind w:left="360"/>
      <w:jc w:val="center"/>
      <w:outlineLvl w:val="0"/>
      <w:rPr>
        <w:rFonts w:ascii="Times New Roman" w:eastAsia="Times New Roman" w:hAnsi="Times New Roman"/>
        <w:sz w:val="15"/>
        <w:szCs w:val="15"/>
        <w:lang w:eastAsia="pl-PL"/>
      </w:rPr>
    </w:pPr>
    <w:r>
      <w:rPr>
        <w:rFonts w:ascii="Times New Roman" w:eastAsia="Times New Roman" w:hAnsi="Times New Roman"/>
        <w:sz w:val="15"/>
        <w:szCs w:val="15"/>
        <w:lang w:eastAsia="pl-PL"/>
      </w:rPr>
      <w:t xml:space="preserve">Projekt współfinansowany z Europejskiego Funduszu Rozwoju Regionalnego w ramach </w:t>
    </w:r>
    <w:r>
      <w:rPr>
        <w:rFonts w:ascii="Times New Roman" w:eastAsia="Times New Roman" w:hAnsi="Times New Roman"/>
        <w:i/>
        <w:iCs/>
        <w:sz w:val="15"/>
        <w:szCs w:val="15"/>
        <w:lang w:eastAsia="pl-PL"/>
      </w:rPr>
      <w:t>Regionalnego Programu Operacyjnego Województwa Łódzkiego na lata 2014-2020.</w:t>
    </w:r>
  </w:p>
  <w:p w:rsidR="00C745F5" w:rsidRDefault="00C745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50DEB"/>
    <w:multiLevelType w:val="multilevel"/>
    <w:tmpl w:val="5C42B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8BE695B"/>
    <w:multiLevelType w:val="multilevel"/>
    <w:tmpl w:val="18D870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08"/>
      </w:pPr>
    </w:lvl>
    <w:lvl w:ilvl="3">
      <w:start w:val="1"/>
      <w:numFmt w:val="decimal"/>
      <w:lvlText w:val="%1.%2.%3.%4."/>
      <w:lvlJc w:val="left"/>
      <w:pPr>
        <w:tabs>
          <w:tab w:val="num" w:pos="2053"/>
        </w:tabs>
        <w:ind w:left="2053" w:hanging="853"/>
      </w:p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895"/>
      </w:pPr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3136" w:hanging="1136"/>
      </w:pPr>
    </w:lvl>
    <w:lvl w:ilvl="6">
      <w:start w:val="1"/>
      <w:numFmt w:val="decimal"/>
      <w:lvlText w:val="%1.%2.%3.%4.%5.%6.%7."/>
      <w:lvlJc w:val="left"/>
      <w:pPr>
        <w:tabs>
          <w:tab w:val="num" w:pos="3673"/>
        </w:tabs>
        <w:ind w:left="3673" w:hanging="1273"/>
      </w:p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42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448"/>
      </w:pPr>
    </w:lvl>
  </w:abstractNum>
  <w:abstractNum w:abstractNumId="2" w15:restartNumberingAfterBreak="0">
    <w:nsid w:val="7F413D52"/>
    <w:multiLevelType w:val="multilevel"/>
    <w:tmpl w:val="7BE6B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F5"/>
    <w:rsid w:val="00411FE7"/>
    <w:rsid w:val="00C7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7D66"/>
  <w15:docId w15:val="{41538E01-3897-4E1F-AFB1-635E121A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 w:qFormat="1"/>
    <w:lsdException w:name="header" w:qFormat="1"/>
    <w:lsdException w:name="footer" w:uiPriority="99" w:qFormat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next w:val="Bezodstpw"/>
    <w:qFormat/>
    <w:pPr>
      <w:spacing w:after="80" w:line="276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 w:line="240" w:lineRule="auto"/>
      <w:outlineLvl w:val="0"/>
    </w:pPr>
    <w:rPr>
      <w:b/>
      <w:kern w:val="2"/>
      <w:sz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240" w:after="60" w:line="240" w:lineRule="auto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40" w:after="60" w:line="240" w:lineRule="auto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</w:rPr>
  </w:style>
  <w:style w:type="paragraph" w:styleId="Nagwek7">
    <w:name w:val="heading 7"/>
    <w:basedOn w:val="Normalny"/>
    <w:next w:val="Normalny"/>
    <w:qFormat/>
    <w:pPr>
      <w:keepNext/>
      <w:keepLines/>
      <w:spacing w:before="240" w:after="60" w:line="240" w:lineRule="auto"/>
      <w:outlineLvl w:val="6"/>
    </w:pPr>
  </w:style>
  <w:style w:type="paragraph" w:styleId="Nagwek8">
    <w:name w:val="heading 8"/>
    <w:basedOn w:val="Normalny"/>
    <w:next w:val="Normalny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</w:rPr>
  </w:style>
  <w:style w:type="paragraph" w:styleId="Nagwek9">
    <w:name w:val="heading 9"/>
    <w:basedOn w:val="Normalny"/>
    <w:next w:val="Normalny"/>
    <w:qFormat/>
    <w:pPr>
      <w:keepNext/>
      <w:keepLines/>
      <w:spacing w:before="240" w:after="60" w:line="240" w:lineRule="auto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qFormat/>
    <w:rPr>
      <w:sz w:val="16"/>
      <w:szCs w:val="16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 Narrow" w:eastAsia="Times New Roman" w:hAnsi="Arial Narrow"/>
      <w:sz w:val="2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Pr>
      <w:rFonts w:ascii="Arial" w:eastAsia="Calibri" w:hAnsi="Arial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Pr>
      <w:rFonts w:ascii="Arial" w:eastAsia="Calibri" w:hAnsi="Arial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qFormat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Arial" w:eastAsia="Calibri" w:hAnsi="Arial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4282"/>
    <w:rPr>
      <w:rFonts w:ascii="Arial" w:eastAsia="Calibri" w:hAnsi="Arial"/>
      <w:sz w:val="18"/>
      <w:szCs w:val="18"/>
      <w:lang w:eastAsia="en-US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  <w:jc w:val="both"/>
    </w:pPr>
    <w:rPr>
      <w:rFonts w:ascii="Arial Narrow" w:eastAsia="Times New Roman" w:hAnsi="Arial Narrow"/>
      <w:sz w:val="22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Pr>
      <w:rFonts w:ascii="Arial" w:hAnsi="Arial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semiHidden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pPr>
      <w:spacing w:after="200"/>
      <w:ind w:left="720"/>
      <w:contextualSpacing/>
    </w:pPr>
    <w:rPr>
      <w:rFonts w:ascii="Calibri" w:hAnsi="Calibri"/>
      <w:sz w:val="22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Bezodstpw1">
    <w:name w:val="Bez odstępów1"/>
    <w:uiPriority w:val="1"/>
    <w:qFormat/>
    <w:rPr>
      <w:rFonts w:ascii="Arial" w:eastAsia="Calibri" w:hAnsi="Arial"/>
      <w:sz w:val="24"/>
      <w:szCs w:val="22"/>
      <w:lang w:eastAsia="en-US"/>
    </w:rPr>
  </w:style>
  <w:style w:type="paragraph" w:customStyle="1" w:styleId="Poprawka1">
    <w:name w:val="Poprawka1"/>
    <w:uiPriority w:val="99"/>
    <w:semiHidden/>
    <w:qFormat/>
    <w:rPr>
      <w:rFonts w:ascii="Arial" w:eastAsia="Calibri" w:hAnsi="Arial"/>
      <w:sz w:val="24"/>
      <w:szCs w:val="22"/>
      <w:lang w:eastAsia="en-US"/>
    </w:rPr>
  </w:style>
  <w:style w:type="table" w:styleId="Tabela-Siatka">
    <w:name w:val="Table Grid"/>
    <w:basedOn w:val="Standardowy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1369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???:</dc:title>
  <dc:subject/>
  <dc:creator>Robert</dc:creator>
  <dc:description/>
  <cp:lastModifiedBy>A50589</cp:lastModifiedBy>
  <cp:revision>25</cp:revision>
  <cp:lastPrinted>2023-10-12T10:49:00Z</cp:lastPrinted>
  <dcterms:created xsi:type="dcterms:W3CDTF">2021-10-01T11:49:00Z</dcterms:created>
  <dcterms:modified xsi:type="dcterms:W3CDTF">2024-05-23T07:49:00Z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645A8FE5FF2A4F64BC83D98C81A17D75</vt:lpwstr>
  </property>
  <property fmtid="{D5CDD505-2E9C-101B-9397-08002B2CF9AE}" pid="3" name="KSOProductBuildVer">
    <vt:lpwstr>1045-12.2.0.13215</vt:lpwstr>
  </property>
</Properties>
</file>