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514B6C4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D252B">
        <w:rPr>
          <w:rFonts w:cstheme="minorHAnsi"/>
          <w:b/>
        </w:rPr>
        <w:t>16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8DEB94D" w14:textId="67FC587F" w:rsidR="005502D2" w:rsidRDefault="00CA3D53" w:rsidP="005502D2">
      <w:pPr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>ez Narodowe Muzeum Morskie</w:t>
      </w:r>
      <w:r w:rsidR="005502D2">
        <w:rPr>
          <w:rFonts w:eastAsia="Calibri" w:cstheme="minorHAnsi"/>
        </w:rPr>
        <w:br/>
      </w:r>
      <w:r w:rsidRPr="00201A16">
        <w:rPr>
          <w:rFonts w:eastAsia="Calibri" w:cstheme="minorHAnsi"/>
        </w:rPr>
        <w:t xml:space="preserve">w Gdańsku (postępowanie nr </w:t>
      </w:r>
      <w:r w:rsidRPr="00201A16">
        <w:rPr>
          <w:rFonts w:cstheme="minorHAnsi"/>
          <w:b/>
        </w:rPr>
        <w:t>ZP/27-</w:t>
      </w:r>
      <w:r w:rsidR="00FD252B">
        <w:rPr>
          <w:rFonts w:cstheme="minorHAnsi"/>
          <w:b/>
        </w:rPr>
        <w:t>16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44970" w:rsidRPr="00244970">
        <w:rPr>
          <w:rFonts w:cstheme="minorHAnsi"/>
          <w:b/>
          <w:bCs/>
        </w:rPr>
        <w:t>wydruk i dostawę książki</w:t>
      </w:r>
      <w:r w:rsidR="005502D2">
        <w:rPr>
          <w:rFonts w:cstheme="minorHAnsi"/>
          <w:b/>
          <w:bCs/>
        </w:rPr>
        <w:t>:</w:t>
      </w:r>
      <w:r w:rsidR="005502D2">
        <w:rPr>
          <w:rFonts w:cstheme="minorHAnsi"/>
          <w:b/>
          <w:bCs/>
        </w:rPr>
        <w:br/>
      </w:r>
      <w:r w:rsidR="005502D2" w:rsidRPr="005502D2">
        <w:rPr>
          <w:rFonts w:cstheme="minorHAnsi"/>
          <w:b/>
          <w:bCs/>
        </w:rPr>
        <w:t>"Narodowe Muzeum Morskie w Gdańsku. Sprawozdanie roczne 2023"</w:t>
      </w:r>
    </w:p>
    <w:p w14:paraId="3FA78383" w14:textId="4A1CA436" w:rsidR="001102B7" w:rsidRPr="005502D2" w:rsidRDefault="005502D2" w:rsidP="005502D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lastRenderedPageBreak/>
        <w:t xml:space="preserve">         </w:t>
      </w:r>
      <w:r w:rsidR="00542A9A">
        <w:rPr>
          <w:rFonts w:cstheme="minorHAnsi"/>
        </w:rPr>
        <w:t>O</w:t>
      </w:r>
      <w:r w:rsidR="00AC7E14">
        <w:rPr>
          <w:rFonts w:cstheme="minorHAnsi"/>
        </w:rPr>
        <w:t>feruj</w:t>
      </w:r>
      <w:r w:rsidR="00542A9A"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4181078F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464B0A">
        <w:rPr>
          <w:rFonts w:cstheme="minorHAnsi"/>
          <w:b/>
        </w:rPr>
        <w:t>25</w:t>
      </w:r>
      <w:r w:rsidR="00986000" w:rsidRPr="00605C61">
        <w:rPr>
          <w:rFonts w:cstheme="minorHAnsi"/>
          <w:b/>
        </w:rPr>
        <w:t>.</w:t>
      </w:r>
      <w:r w:rsidR="008B0CC1" w:rsidRPr="00605C61">
        <w:rPr>
          <w:rFonts w:cstheme="minorHAnsi"/>
          <w:b/>
        </w:rPr>
        <w:t>0</w:t>
      </w:r>
      <w:r w:rsidR="00464B0A">
        <w:rPr>
          <w:rFonts w:cstheme="minorHAnsi"/>
          <w:b/>
        </w:rPr>
        <w:t>9</w:t>
      </w:r>
      <w:r w:rsidRPr="00605C61">
        <w:rPr>
          <w:rFonts w:cstheme="minorHAnsi"/>
          <w:b/>
        </w:rPr>
        <w:t>.202</w:t>
      </w:r>
      <w:r w:rsidR="006B1D60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4278668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B3785D">
        <w:rPr>
          <w:rFonts w:cstheme="minorHAnsi"/>
          <w:b/>
        </w:rPr>
        <w:t>16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E60647">
        <w:rPr>
          <w:rFonts w:cstheme="minorHAnsi"/>
          <w:b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44BBC90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D76244">
        <w:rPr>
          <w:rFonts w:cstheme="minorHAnsi"/>
          <w:b/>
        </w:rPr>
        <w:t>16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15F4D5B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D76244">
        <w:rPr>
          <w:rFonts w:cstheme="minorHAnsi"/>
          <w:b/>
        </w:rPr>
        <w:t>16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0FA606D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68245F">
        <w:rPr>
          <w:rFonts w:cstheme="minorHAnsi"/>
          <w:b/>
        </w:rPr>
        <w:t>16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47C76EC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86ACC">
        <w:rPr>
          <w:rFonts w:cstheme="minorHAnsi"/>
          <w:b/>
        </w:rPr>
        <w:t>16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5FA6AB09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686ACC">
        <w:rPr>
          <w:rFonts w:cstheme="minorHAnsi"/>
          <w:b/>
        </w:rPr>
        <w:t>16</w:t>
      </w:r>
      <w:bookmarkStart w:id="1" w:name="_GoBack"/>
      <w:bookmarkEnd w:id="1"/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EA24BC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9679" w14:textId="77777777" w:rsidR="00EA24BC" w:rsidRDefault="00EA24BC" w:rsidP="00CA5E57">
      <w:pPr>
        <w:spacing w:after="0" w:line="240" w:lineRule="auto"/>
      </w:pPr>
      <w:r>
        <w:separator/>
      </w:r>
    </w:p>
  </w:endnote>
  <w:endnote w:type="continuationSeparator" w:id="0">
    <w:p w14:paraId="37E178F8" w14:textId="77777777" w:rsidR="00EA24BC" w:rsidRDefault="00EA24BC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3E6A" w14:textId="77777777" w:rsidR="00EA24BC" w:rsidRDefault="00EA24BC" w:rsidP="00CA5E57">
      <w:pPr>
        <w:spacing w:after="0" w:line="240" w:lineRule="auto"/>
      </w:pPr>
      <w:r>
        <w:separator/>
      </w:r>
    </w:p>
  </w:footnote>
  <w:footnote w:type="continuationSeparator" w:id="0">
    <w:p w14:paraId="68A02B85" w14:textId="77777777" w:rsidR="00EA24BC" w:rsidRDefault="00EA24BC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57B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B0A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2D2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5C61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960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45F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86A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633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64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473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3785D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244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1F4B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97904"/>
    <w:rsid w:val="00EA2328"/>
    <w:rsid w:val="00EA23DE"/>
    <w:rsid w:val="00EA24BC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8F2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52B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AC4E2-9FB5-47D7-8F7A-9AAE83A8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261</cp:revision>
  <cp:lastPrinted>2021-06-28T17:25:00Z</cp:lastPrinted>
  <dcterms:created xsi:type="dcterms:W3CDTF">2021-07-05T07:35:00Z</dcterms:created>
  <dcterms:modified xsi:type="dcterms:W3CDTF">2024-08-21T10:48:00Z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