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BFB59FE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</w:t>
      </w:r>
      <w:r w:rsidR="00F73ECC">
        <w:rPr>
          <w:szCs w:val="20"/>
        </w:rPr>
        <w:t>6.</w:t>
      </w:r>
      <w:r w:rsidR="002E7A0B">
        <w:rPr>
          <w:szCs w:val="20"/>
        </w:rPr>
        <w:t>2</w:t>
      </w:r>
      <w:r w:rsidR="00C121A1" w:rsidRPr="00865D8C">
        <w:rPr>
          <w:szCs w:val="20"/>
        </w:rPr>
        <w:t>.202</w:t>
      </w:r>
      <w:r w:rsidR="001521E6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BF7B79F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</w:t>
      </w:r>
      <w:r w:rsidR="00F73ECC">
        <w:rPr>
          <w:b/>
        </w:rPr>
        <w:t>6.</w:t>
      </w:r>
      <w:r w:rsidR="0098642E">
        <w:rPr>
          <w:b/>
        </w:rPr>
        <w:t>2.</w:t>
      </w:r>
      <w:bookmarkStart w:id="0" w:name="_GoBack"/>
      <w:bookmarkEnd w:id="0"/>
      <w:r w:rsidR="00C121A1" w:rsidRPr="00C121A1">
        <w:rPr>
          <w:b/>
        </w:rPr>
        <w:t>202</w:t>
      </w:r>
      <w:r w:rsidR="001521E6">
        <w:rPr>
          <w:b/>
        </w:rPr>
        <w:t>4</w:t>
      </w:r>
      <w:r w:rsidRPr="00C121A1">
        <w:t xml:space="preserve">, pn.: </w:t>
      </w:r>
      <w:r w:rsidR="002E7A0B" w:rsidRPr="003F14F5">
        <w:t>.:</w:t>
      </w:r>
      <w:r w:rsidR="002E7A0B">
        <w:t> </w:t>
      </w:r>
      <w:r w:rsidR="002E7A0B" w:rsidRPr="000634E0">
        <w:rPr>
          <w:b/>
        </w:rPr>
        <w:t>Usługa cateringowa w ramach szkoleń dla studentów, doktorantów i pracowników Uniwersytetu Śląskiego w ramach projektu pt. „</w:t>
      </w:r>
      <w:proofErr w:type="spellStart"/>
      <w:r w:rsidR="002E7A0B" w:rsidRPr="000634E0">
        <w:rPr>
          <w:b/>
        </w:rPr>
        <w:t>jUŚt</w:t>
      </w:r>
      <w:proofErr w:type="spellEnd"/>
      <w:r w:rsidR="002E7A0B" w:rsidRPr="000634E0">
        <w:rPr>
          <w:b/>
        </w:rPr>
        <w:t xml:space="preserve"> </w:t>
      </w:r>
      <w:proofErr w:type="spellStart"/>
      <w:r w:rsidR="002E7A0B" w:rsidRPr="000634E0">
        <w:rPr>
          <w:b/>
        </w:rPr>
        <w:t>transition</w:t>
      </w:r>
      <w:proofErr w:type="spellEnd"/>
      <w:r w:rsidR="002E7A0B" w:rsidRPr="000634E0">
        <w:rPr>
          <w:b/>
        </w:rPr>
        <w:t xml:space="preserve"> – Potencjał Uniwersytetu Śląskiego podstawą Sprawiedliwej Transformacji regionu”</w:t>
      </w:r>
      <w:r w:rsidR="002E7A0B">
        <w:rPr>
          <w:b/>
        </w:rPr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A1629F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A1629F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A1629F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A1629F">
      <w:pPr>
        <w:pStyle w:val="Nagwek4"/>
        <w:ind w:hanging="294"/>
      </w:pPr>
      <w:r w:rsidRPr="003C0CBE">
        <w:t>handlu ludźmi, o którym mowa w art. 189a Kodeksu karnego,</w:t>
      </w:r>
    </w:p>
    <w:p w14:paraId="14C5512E" w14:textId="77777777" w:rsidR="002A124A" w:rsidRPr="00090ADB" w:rsidRDefault="002A124A" w:rsidP="002A124A">
      <w:pPr>
        <w:pStyle w:val="Nagwek4"/>
        <w:ind w:hanging="294"/>
      </w:pPr>
      <w:r w:rsidRPr="001E4645">
        <w:t xml:space="preserve">o którym mowa w art. 228–230a, art. 250a Kodeksu karnego, w art. 46–48 ustawy z dnia 25 czerwca 2010 r. o sporcie (Dz. U. z </w:t>
      </w:r>
      <w:r>
        <w:rPr>
          <w:lang w:val="pl-PL"/>
        </w:rPr>
        <w:t>2022</w:t>
      </w:r>
      <w:r w:rsidRPr="001E4645">
        <w:t xml:space="preserve"> r. poz</w:t>
      </w:r>
      <w:r>
        <w:rPr>
          <w:lang w:val="pl-PL"/>
        </w:rPr>
        <w:t>. 1599 ze zm.</w:t>
      </w:r>
      <w:r w:rsidRPr="001E4645">
        <w:t xml:space="preserve">) lub w art. 54 ust. 1–4 ustawy z dnia 12 maja 2011 r. </w:t>
      </w:r>
      <w:r w:rsidRPr="001E4645">
        <w:lastRenderedPageBreak/>
        <w:t xml:space="preserve">o refundacji leków, środków spożywczych specjalnego przeznaczenia żywieniowego oraz wyrobów medycznych (Dz. U. z </w:t>
      </w:r>
      <w:r>
        <w:rPr>
          <w:lang w:val="pl-PL"/>
        </w:rPr>
        <w:t>2022</w:t>
      </w:r>
      <w:r w:rsidRPr="001E4645">
        <w:t xml:space="preserve"> r. poz. </w:t>
      </w:r>
      <w:r>
        <w:rPr>
          <w:lang w:val="pl-PL"/>
        </w:rPr>
        <w:t>2555 ze zm.</w:t>
      </w:r>
      <w:r>
        <w:t>)</w:t>
      </w:r>
      <w:r w:rsidRPr="00283D40">
        <w:t>;</w:t>
      </w:r>
    </w:p>
    <w:p w14:paraId="717950E3" w14:textId="77777777" w:rsidR="00A1629F" w:rsidRPr="00090ADB" w:rsidRDefault="00A1629F" w:rsidP="00A1629F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A1629F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A1629F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A1629F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A1629F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A1629F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A1629F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A1629F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A1629F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7777777" w:rsidR="00A1629F" w:rsidRPr="00090ADB" w:rsidRDefault="00A1629F" w:rsidP="00A1629F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77777777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D5289A">
      <w:pPr>
        <w:pStyle w:val="Nagwek3"/>
        <w:keepNext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A1629F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D3A040B" w14:textId="77777777" w:rsidR="00A1629F" w:rsidRDefault="00A1629F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258A240E" w:rsidR="00A1629F" w:rsidRDefault="00CF1120" w:rsidP="00A1629F">
      <w:pPr>
        <w:pStyle w:val="Akapitzlist"/>
        <w:numPr>
          <w:ilvl w:val="0"/>
          <w:numId w:val="24"/>
        </w:numPr>
        <w:spacing w:before="240"/>
      </w:pPr>
      <w:r>
        <w:t>wykonawcę oraz uczestnika konkursu, którego jednostką dominującą w rozumieniu art. 3 ust. 1 pkt 37 ustawy z dnia 29 września 1994 r. o rachunkowości (Dz. U. z 2023 r. poz. 120 ze</w:t>
      </w:r>
      <w:r w:rsidR="007C63C5">
        <w:t xml:space="preserve">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</w:t>
      </w:r>
      <w:r w:rsidR="00A1629F">
        <w:t>.</w:t>
      </w:r>
    </w:p>
    <w:p w14:paraId="5A2DFC65" w14:textId="77777777" w:rsidR="00A1629F" w:rsidRPr="007F2357" w:rsidRDefault="00A1629F" w:rsidP="00A1629F">
      <w:pPr>
        <w:ind w:left="567" w:firstLine="0"/>
      </w:pPr>
    </w:p>
    <w:p w14:paraId="31388396" w14:textId="77777777" w:rsidR="00A1629F" w:rsidRPr="00AF3FA8" w:rsidRDefault="00A1629F" w:rsidP="00A1629F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A1629F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4F54DADF" w14:textId="77777777" w:rsidR="00A1629F" w:rsidRPr="007F2357" w:rsidRDefault="00A1629F" w:rsidP="00A1629F"/>
    <w:p w14:paraId="2E57987D" w14:textId="77777777" w:rsidR="00771552" w:rsidRDefault="00A1629F" w:rsidP="00CB5E1E">
      <w:pPr>
        <w:keepNext/>
        <w:jc w:val="center"/>
        <w:rPr>
          <w:b/>
          <w:sz w:val="22"/>
        </w:rPr>
      </w:pPr>
      <w:r w:rsidRPr="00773110">
        <w:rPr>
          <w:b/>
          <w:sz w:val="22"/>
        </w:rPr>
        <w:lastRenderedPageBreak/>
        <w:t xml:space="preserve">Oświadczenie dotyczące dostępności podmiotowych środków dowodowych </w:t>
      </w:r>
    </w:p>
    <w:p w14:paraId="6DF2F75F" w14:textId="7181B186" w:rsidR="00A1629F" w:rsidRPr="00773110" w:rsidRDefault="00A1629F" w:rsidP="00A1629F">
      <w:pPr>
        <w:jc w:val="center"/>
        <w:rPr>
          <w:b/>
          <w:sz w:val="22"/>
        </w:rPr>
      </w:pP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A1629F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przez </w:t>
      </w:r>
      <w:r w:rsidRPr="00A1629F">
        <w:rPr>
          <w:sz w:val="18"/>
          <w:szCs w:val="18"/>
        </w:rPr>
        <w:lastRenderedPageBreak/>
        <w:t>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3048EC">
      <w:headerReference w:type="default" r:id="rId8"/>
      <w:footerReference w:type="default" r:id="rId9"/>
      <w:pgSz w:w="11906" w:h="16838" w:code="9"/>
      <w:pgMar w:top="1276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17DEEA7F" w14:textId="77777777" w:rsidR="001521E6" w:rsidRDefault="001521E6" w:rsidP="001521E6">
        <w:pPr>
          <w:pStyle w:val="Stopka"/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1521E6" w:rsidRPr="00330722" w14:paraId="68B1BD06" w14:textId="77777777" w:rsidTr="00EB2195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5DD6C388" w14:textId="77777777" w:rsidR="001521E6" w:rsidRPr="00330722" w:rsidRDefault="001521E6" w:rsidP="001521E6">
              <w:pPr>
                <w:pStyle w:val="Stopka"/>
                <w:ind w:left="709" w:hanging="709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2" w:name="_Hlk98499597"/>
              <w:bookmarkStart w:id="3" w:name="_Hlk98499598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1318177E" w14:textId="77777777" w:rsidR="001521E6" w:rsidRPr="00556062" w:rsidRDefault="001521E6" w:rsidP="001521E6">
              <w:pPr>
                <w:pStyle w:val="Stopka"/>
                <w:ind w:left="0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1E4A0382" w14:textId="77777777" w:rsidR="001521E6" w:rsidRPr="00330722" w:rsidRDefault="001521E6" w:rsidP="001521E6">
              <w:pPr>
                <w:pStyle w:val="Stopka"/>
                <w:ind w:left="709" w:hanging="709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187557B0" w14:textId="77777777" w:rsidR="001521E6" w:rsidRPr="00330722" w:rsidRDefault="001521E6" w:rsidP="001521E6">
              <w:pPr>
                <w:pStyle w:val="Stopka"/>
                <w:ind w:left="709" w:right="34" w:hanging="709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05AD70F7" wp14:editId="69D368C7">
                    <wp:extent cx="2174562" cy="257175"/>
                    <wp:effectExtent l="0" t="0" r="0" b="0"/>
                    <wp:docPr id="37" name="Obraz 37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  <w:bookmarkEnd w:id="2"/>
        <w:bookmarkEnd w:id="3"/>
      </w:tbl>
      <w:p w14:paraId="09FA8570" w14:textId="7342B22F" w:rsidR="00EB506A" w:rsidRDefault="00EB506A" w:rsidP="001521E6">
        <w:pPr>
          <w:pStyle w:val="Stopka"/>
          <w:ind w:left="0" w:firstLine="0"/>
          <w:jc w:val="center"/>
        </w:pPr>
      </w:p>
      <w:p w14:paraId="0AD92E19" w14:textId="58F1A4FF" w:rsidR="007E7448" w:rsidRPr="00EB506A" w:rsidRDefault="0098642E" w:rsidP="00EB506A">
        <w:pPr>
          <w:pStyle w:val="Stopka"/>
          <w:ind w:left="0" w:firstLine="0"/>
          <w:jc w:val="center"/>
          <w:rPr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892A6" w14:textId="2FBC0A5D" w:rsidR="001521E6" w:rsidRDefault="0098642E" w:rsidP="001521E6">
    <w:pPr>
      <w:pStyle w:val="Nagwek"/>
    </w:pPr>
    <w:sdt>
      <w:sdtPr>
        <w:id w:val="-1211342404"/>
        <w:docPartObj>
          <w:docPartGallery w:val="Page Numbers (Margins)"/>
          <w:docPartUnique/>
        </w:docPartObj>
      </w:sdtPr>
      <w:sdtEndPr/>
      <w:sdtContent>
        <w:r w:rsidR="001521E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C4A6A93" wp14:editId="0AA5056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77812" w14:textId="5CAE361C" w:rsidR="001521E6" w:rsidRPr="001521E6" w:rsidRDefault="001521E6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 </w: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1521E6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1521E6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1521E6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C4A6A93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DE77812" w14:textId="5CAE361C" w:rsidR="001521E6" w:rsidRPr="001521E6" w:rsidRDefault="001521E6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 xml:space="preserve">Strona  </w: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1521E6">
                          <w:rPr>
                            <w:szCs w:val="20"/>
                          </w:rPr>
                          <w:instrText>PAGE    \* MERGEFORMAT</w:instrText>
                        </w:r>
                        <w:r w:rsidRPr="001521E6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1521E6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521E6">
      <w:rPr>
        <w:b/>
        <w:bCs/>
        <w:noProof/>
      </w:rPr>
      <w:drawing>
        <wp:inline distT="0" distB="0" distL="0" distR="0" wp14:anchorId="0A6D52DF" wp14:editId="1F10DED3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8EF0CD" w14:textId="77777777" w:rsidR="001521E6" w:rsidRDefault="001521E6" w:rsidP="001521E6">
    <w:pPr>
      <w:pStyle w:val="Nagwek"/>
    </w:pPr>
  </w:p>
  <w:p w14:paraId="2CB8C41D" w14:textId="77777777" w:rsidR="001521E6" w:rsidRPr="00782615" w:rsidRDefault="001521E6" w:rsidP="001521E6">
    <w:pPr>
      <w:pStyle w:val="Nagwek"/>
      <w:jc w:val="center"/>
      <w:rPr>
        <w:rFonts w:ascii="Calibri" w:hAnsi="Calibri" w:cs="Calibri"/>
        <w:b/>
        <w:bCs/>
        <w:sz w:val="22"/>
      </w:rPr>
    </w:pPr>
    <w:r w:rsidRPr="00782615">
      <w:rPr>
        <w:rFonts w:ascii="Calibri" w:hAnsi="Calibri" w:cs="Calibri"/>
        <w:sz w:val="22"/>
      </w:rPr>
      <w:t xml:space="preserve">Projekt pt. </w:t>
    </w:r>
    <w:r w:rsidRPr="00782615">
      <w:rPr>
        <w:rFonts w:ascii="Calibri" w:hAnsi="Calibri" w:cs="Calibri"/>
        <w:b/>
        <w:bCs/>
        <w:sz w:val="22"/>
      </w:rPr>
      <w:t>„</w:t>
    </w:r>
    <w:bookmarkStart w:id="1" w:name="_Hlk161997889"/>
    <w:proofErr w:type="spellStart"/>
    <w:r w:rsidRPr="00782615">
      <w:rPr>
        <w:rFonts w:ascii="Calibri" w:hAnsi="Calibri" w:cs="Calibri"/>
        <w:b/>
        <w:bCs/>
        <w:sz w:val="22"/>
      </w:rPr>
      <w:t>jUŚt</w:t>
    </w:r>
    <w:proofErr w:type="spellEnd"/>
    <w:r w:rsidRPr="00782615">
      <w:rPr>
        <w:rFonts w:ascii="Calibri" w:hAnsi="Calibri" w:cs="Calibri"/>
        <w:b/>
        <w:bCs/>
        <w:sz w:val="22"/>
      </w:rPr>
      <w:t xml:space="preserve"> </w:t>
    </w:r>
    <w:proofErr w:type="spellStart"/>
    <w:r w:rsidRPr="00782615">
      <w:rPr>
        <w:rFonts w:ascii="Calibri" w:hAnsi="Calibri" w:cs="Calibri"/>
        <w:b/>
        <w:bCs/>
        <w:sz w:val="22"/>
      </w:rPr>
      <w:t>transition</w:t>
    </w:r>
    <w:proofErr w:type="spellEnd"/>
    <w:r w:rsidRPr="00782615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44AF0C07" w14:textId="654105C3" w:rsidR="001521E6" w:rsidRPr="001521E6" w:rsidRDefault="001521E6" w:rsidP="001521E6">
    <w:pPr>
      <w:pStyle w:val="Nagwek"/>
      <w:jc w:val="center"/>
      <w:rPr>
        <w:rFonts w:ascii="Calibri" w:hAnsi="Calibri" w:cs="Calibri"/>
        <w:sz w:val="22"/>
      </w:rPr>
    </w:pPr>
    <w:r w:rsidRPr="00782615">
      <w:rPr>
        <w:rFonts w:ascii="Calibri" w:hAnsi="Calibri" w:cs="Calibri"/>
        <w:b/>
        <w:bCs/>
        <w:sz w:val="22"/>
      </w:rPr>
      <w:t>Transformacji regionu</w:t>
    </w:r>
    <w:bookmarkEnd w:id="1"/>
    <w:r w:rsidRPr="00782615">
      <w:rPr>
        <w:rFonts w:ascii="Calibri" w:hAnsi="Calibri" w:cs="Calibri"/>
        <w:b/>
        <w:bCs/>
        <w:sz w:val="22"/>
      </w:rPr>
      <w:t>”</w:t>
    </w:r>
  </w:p>
  <w:p w14:paraId="32BE7846" w14:textId="49B30139" w:rsidR="003048EC" w:rsidRPr="001521E6" w:rsidRDefault="003048EC" w:rsidP="00152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21E6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124A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E7A0B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63C5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642E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1120"/>
    <w:rsid w:val="00CF4850"/>
    <w:rsid w:val="00CF6A08"/>
    <w:rsid w:val="00D006E3"/>
    <w:rsid w:val="00D00A2F"/>
    <w:rsid w:val="00D00D00"/>
    <w:rsid w:val="00D052E5"/>
    <w:rsid w:val="00D05F0F"/>
    <w:rsid w:val="00D06776"/>
    <w:rsid w:val="00D10C02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73ECC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9C7B9-63F6-46EE-9193-513FB5812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2137</Words>
  <Characters>12827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2023-10-04T07:12:00Z</cp:lastPrinted>
  <dcterms:created xsi:type="dcterms:W3CDTF">2024-04-30T08:36:00Z</dcterms:created>
  <dcterms:modified xsi:type="dcterms:W3CDTF">2024-05-09T09:33:00Z</dcterms:modified>
</cp:coreProperties>
</file>