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2831F" w14:textId="77777777" w:rsidR="00154491" w:rsidRDefault="00D72B72" w:rsidP="00154491">
      <w:pPr>
        <w:spacing w:after="0" w:line="360" w:lineRule="auto"/>
        <w:rPr>
          <w:rFonts w:ascii="Calibri" w:hAnsi="Calibri" w:cs="Calibri"/>
          <w:b/>
          <w:spacing w:val="20"/>
          <w:sz w:val="24"/>
          <w:szCs w:val="24"/>
        </w:rPr>
      </w:pPr>
      <w:bookmarkStart w:id="0" w:name="_Hlk26886531"/>
      <w:r w:rsidRPr="00154491">
        <w:rPr>
          <w:rFonts w:ascii="Calibri" w:hAnsi="Calibri" w:cs="Calibri"/>
          <w:b/>
          <w:spacing w:val="20"/>
          <w:sz w:val="24"/>
          <w:szCs w:val="24"/>
        </w:rPr>
        <w:t>Dotyczy</w:t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: postępowania o udzielenie zamówienia publicznego prowadzonego w </w:t>
      </w:r>
      <w:r w:rsidRP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trybie podstawowym bez negocjacji na podstawie art. 275 pkt 1 ustawy </w:t>
      </w:r>
      <w:r w:rsid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br/>
      </w:r>
      <w:r w:rsidRP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z dnia 11 września 2019 r. Prawo zamówień publicznych (</w:t>
      </w:r>
      <w:proofErr w:type="spellStart"/>
      <w:r w:rsidRPr="00154491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t.j</w:t>
      </w:r>
      <w:proofErr w:type="spellEnd"/>
      <w:r w:rsidRPr="00154491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>. Dz. U. 2023 r. poz. 1605</w:t>
      </w:r>
      <w:r w:rsidRP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)</w:t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, </w:t>
      </w:r>
      <w:r w:rsidRP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zw. dalej </w:t>
      </w:r>
      <w:proofErr w:type="spellStart"/>
      <w:r w:rsidRPr="00154491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154491">
        <w:rPr>
          <w:rFonts w:ascii="Calibri" w:hAnsi="Calibri" w:cs="Calibri"/>
          <w:spacing w:val="20"/>
          <w:sz w:val="24"/>
          <w:szCs w:val="24"/>
        </w:rPr>
        <w:t xml:space="preserve"> na zadanie </w:t>
      </w:r>
      <w:r w:rsidR="00457FC1" w:rsidRPr="00154491">
        <w:rPr>
          <w:rFonts w:ascii="Calibri" w:hAnsi="Calibri" w:cs="Calibri"/>
          <w:spacing w:val="20"/>
          <w:sz w:val="24"/>
          <w:szCs w:val="24"/>
        </w:rPr>
        <w:t xml:space="preserve">– realizacja robót budowlanych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="00457FC1" w:rsidRPr="00154491">
        <w:rPr>
          <w:rFonts w:ascii="Calibri" w:hAnsi="Calibri" w:cs="Calibri"/>
          <w:spacing w:val="20"/>
          <w:sz w:val="24"/>
          <w:szCs w:val="24"/>
        </w:rPr>
        <w:t xml:space="preserve">dla zadania  inwestycyjnego </w:t>
      </w:r>
      <w:r w:rsidRPr="00154491">
        <w:rPr>
          <w:rFonts w:ascii="Calibri" w:hAnsi="Calibri" w:cs="Calibri"/>
          <w:spacing w:val="20"/>
          <w:sz w:val="24"/>
          <w:szCs w:val="24"/>
        </w:rPr>
        <w:t>pn.</w:t>
      </w:r>
      <w:bookmarkEnd w:id="0"/>
      <w:r w:rsidR="00457FC1" w:rsidRPr="00154491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457FC1" w:rsidRPr="00154491">
        <w:rPr>
          <w:rFonts w:ascii="Calibri" w:hAnsi="Calibri" w:cs="Calibri"/>
          <w:b/>
          <w:spacing w:val="20"/>
          <w:sz w:val="24"/>
          <w:szCs w:val="24"/>
        </w:rPr>
        <w:t xml:space="preserve">„Utworzenie integracyjnego </w:t>
      </w:r>
    </w:p>
    <w:p w14:paraId="2E02818B" w14:textId="470CFB20" w:rsidR="00D72B72" w:rsidRPr="00154491" w:rsidRDefault="00457FC1" w:rsidP="00154491">
      <w:pPr>
        <w:spacing w:after="0" w:line="360" w:lineRule="auto"/>
        <w:rPr>
          <w:rFonts w:ascii="Calibri" w:hAnsi="Calibri" w:cs="Calibri"/>
          <w:b/>
          <w:iCs/>
          <w:spacing w:val="20"/>
          <w:sz w:val="24"/>
          <w:szCs w:val="24"/>
        </w:rPr>
      </w:pPr>
      <w:r w:rsidRPr="00154491">
        <w:rPr>
          <w:rFonts w:ascii="Calibri" w:hAnsi="Calibri" w:cs="Calibri"/>
          <w:b/>
          <w:spacing w:val="20"/>
          <w:sz w:val="24"/>
          <w:szCs w:val="24"/>
        </w:rPr>
        <w:t xml:space="preserve">i ogólnodostępnego placu zabaw przy  ul. </w:t>
      </w:r>
      <w:proofErr w:type="spellStart"/>
      <w:r w:rsidRPr="00154491">
        <w:rPr>
          <w:rFonts w:ascii="Calibri" w:hAnsi="Calibri" w:cs="Calibri"/>
          <w:b/>
          <w:spacing w:val="20"/>
          <w:sz w:val="24"/>
          <w:szCs w:val="24"/>
        </w:rPr>
        <w:t>Gołębickiej</w:t>
      </w:r>
      <w:proofErr w:type="spellEnd"/>
      <w:r w:rsidRPr="00154491">
        <w:rPr>
          <w:rFonts w:ascii="Calibri" w:hAnsi="Calibri" w:cs="Calibri"/>
          <w:b/>
          <w:spacing w:val="20"/>
          <w:sz w:val="24"/>
          <w:szCs w:val="24"/>
        </w:rPr>
        <w:t xml:space="preserve"> w Sandomierzu”.</w:t>
      </w:r>
      <w:r w:rsidRPr="00154491">
        <w:rPr>
          <w:rFonts w:ascii="Calibri" w:hAnsi="Calibri" w:cs="Calibri"/>
          <w:b/>
          <w:i/>
          <w:iCs/>
          <w:spacing w:val="20"/>
          <w:sz w:val="24"/>
          <w:szCs w:val="24"/>
        </w:rPr>
        <w:t xml:space="preserve">                  </w:t>
      </w:r>
      <w:r w:rsidRPr="00154491">
        <w:rPr>
          <w:rFonts w:ascii="Calibri" w:hAnsi="Calibri" w:cs="Calibri"/>
          <w:b/>
          <w:iCs/>
          <w:spacing w:val="20"/>
          <w:sz w:val="24"/>
          <w:szCs w:val="24"/>
        </w:rPr>
        <w:t xml:space="preserve">                   </w:t>
      </w:r>
    </w:p>
    <w:p w14:paraId="31307B74" w14:textId="77777777" w:rsidR="003756E3" w:rsidRPr="00154491" w:rsidRDefault="003756E3" w:rsidP="00154491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</w:p>
    <w:p w14:paraId="1CAAC094" w14:textId="27CC8ACB" w:rsidR="0089660E" w:rsidRPr="00154491" w:rsidRDefault="00172DCB" w:rsidP="00154491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FB685E"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treści</w:t>
      </w:r>
      <w:r w:rsidR="00230479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89660E"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Specyfikacji Warunków Zamówienia</w:t>
      </w:r>
    </w:p>
    <w:p w14:paraId="79934FAE" w14:textId="559201D4" w:rsidR="0089660E" w:rsidRPr="00154491" w:rsidRDefault="0089660E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</w:pPr>
    </w:p>
    <w:p w14:paraId="5D5D0AB0" w14:textId="77777777" w:rsidR="00A141A1" w:rsidRPr="00154491" w:rsidRDefault="00A141A1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</w:pPr>
    </w:p>
    <w:p w14:paraId="2364B375" w14:textId="08C85E19" w:rsidR="0089660E" w:rsidRPr="00154491" w:rsidRDefault="0089660E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 w:themeColor="text1"/>
          <w:spacing w:val="20"/>
          <w:sz w:val="24"/>
          <w:szCs w:val="24"/>
          <w:u w:val="single"/>
        </w:rPr>
      </w:pP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Zamawiający Gmina Sandomierz działają</w:t>
      </w:r>
      <w:r w:rsidR="00E46C21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c na podstawie art. 284 ust. </w:t>
      </w:r>
      <w:r w:rsidR="00457FC1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2 i </w:t>
      </w:r>
      <w:r w:rsidR="00FB685E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6</w:t>
      </w: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, </w:t>
      </w:r>
      <w:r w:rsid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br/>
      </w: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w odpowiedzi na</w:t>
      </w:r>
      <w:r w:rsidR="00457FC1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wniosek Wykonawcy o wyjaśnienie</w:t>
      </w: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 treści Specyfi</w:t>
      </w:r>
      <w:r w:rsidR="00943D25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kacji Warunków Zamówienia </w:t>
      </w: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udziela wyja</w:t>
      </w:r>
      <w:r w:rsidR="00FB685E"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śnień </w:t>
      </w:r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 xml:space="preserve">treści SWZ </w:t>
      </w:r>
      <w:proofErr w:type="spellStart"/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jn</w:t>
      </w:r>
      <w:proofErr w:type="spellEnd"/>
      <w:r w:rsidRPr="00154491">
        <w:rPr>
          <w:rFonts w:ascii="Calibri" w:eastAsia="Times New Roman" w:hAnsi="Calibri" w:cs="Calibri"/>
          <w:color w:val="000000" w:themeColor="text1"/>
          <w:spacing w:val="20"/>
          <w:sz w:val="24"/>
          <w:szCs w:val="24"/>
          <w:lang w:eastAsia="pl-PL"/>
        </w:rPr>
        <w:t>:</w:t>
      </w:r>
    </w:p>
    <w:p w14:paraId="6A9C7555" w14:textId="77777777" w:rsidR="005E0D5B" w:rsidRPr="00154491" w:rsidRDefault="005E0D5B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</w:p>
    <w:p w14:paraId="5DA77C26" w14:textId="77777777" w:rsidR="00D72B72" w:rsidRPr="00154491" w:rsidRDefault="000106D0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15449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1: </w:t>
      </w:r>
    </w:p>
    <w:p w14:paraId="699B0C8B" w14:textId="5504A007" w:rsidR="00457FC1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 xml:space="preserve">„Proszę o potwierdzenie, że Zamawiający udostępnił całą dokumentację projektową, techniczną niezbędną do wykonania przedmiotu zamówienia oraz, że dokumentacja ta jest kompletna i odzwierciedla stan faktyczny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>w zakresie warunków realizacji zamówienia, zaś brak jakichkolwiek dokumentów istotnych dla oceny warunków realizacji inwestycji nie obciąża Wykonawcy.”</w:t>
      </w:r>
    </w:p>
    <w:p w14:paraId="384AFFD2" w14:textId="72FA542B" w:rsidR="0063763A" w:rsidRPr="00154491" w:rsidRDefault="005E0D5B" w:rsidP="00154491">
      <w:pPr>
        <w:spacing w:line="360" w:lineRule="auto"/>
        <w:rPr>
          <w:rFonts w:ascii="Calibri" w:hAnsi="Calibri" w:cs="Calibri"/>
          <w:iCs/>
          <w:color w:val="0070C0"/>
          <w:spacing w:val="20"/>
          <w:sz w:val="24"/>
          <w:szCs w:val="24"/>
        </w:rPr>
      </w:pP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0106D0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="005E28FF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Zamawiający potwierdza, że udostępnił całą dokumentację techniczną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br/>
        <w:t xml:space="preserve">i że jest ona kompletna </w:t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i odzwierciedla stan faktyczny w zakresie realizacji zamówienia.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t xml:space="preserve">Zamawiający informuje ponadto, </w:t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że warunki realizacji zamówienia, w tym obowiązki i uprawnienia Wykonawcy i Zamawiającego reguluje SWZ a w szczególności umowa, której wzór został udostępniony. </w:t>
      </w:r>
    </w:p>
    <w:p w14:paraId="2DE5869C" w14:textId="6C6C21AD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15449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2: </w:t>
      </w:r>
    </w:p>
    <w:p w14:paraId="4E82A157" w14:textId="087BEA23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 xml:space="preserve">„Proszę o potwierdzenie, że Zamawiający dysponuje wszelkimi wymaganymi prawem decyzjami administracyjnymi oraz uzgodnieniami niezbędnymi w celu wykonania zamówienia, które zachowują ważność na okres zgodny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>z wymaganym terminem realizacji, a skutki ewentualnych braków w tym zakresie nie obciążają Wykonawcy.”</w:t>
      </w:r>
    </w:p>
    <w:p w14:paraId="2F992CC5" w14:textId="5298F799" w:rsidR="0063763A" w:rsidRPr="00154491" w:rsidRDefault="005E0D5B" w:rsidP="00154491">
      <w:pPr>
        <w:spacing w:line="360" w:lineRule="auto"/>
        <w:rPr>
          <w:rFonts w:ascii="Calibri" w:hAnsi="Calibri" w:cs="Calibri"/>
          <w:iCs/>
          <w:color w:val="0070C0"/>
          <w:spacing w:val="20"/>
          <w:sz w:val="24"/>
          <w:szCs w:val="24"/>
        </w:rPr>
      </w:pP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63763A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="0063763A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>Zamawiający potwierdza, że</w:t>
      </w:r>
      <w:r w:rsidR="0063763A" w:rsidRPr="00154491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dysponuje wszelkimi wymaganymi prawem decyzjami administracyjnymi oraz uzgodnieniami niezbędnymi w celu wykonania zamówienia, które zachowują ważność na okres zgodny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br/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z wymaganym terminem. Zamawiający informuje ponadto, że warunki realizacji zamówienia, w tym obowiązki i uprawnienia Wykonawcy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br/>
        <w:t xml:space="preserve">i Zamawiającego reguluje SWZ </w:t>
      </w:r>
      <w:r w:rsidR="0063763A" w:rsidRPr="00154491">
        <w:rPr>
          <w:rFonts w:ascii="Calibri" w:hAnsi="Calibri" w:cs="Calibri"/>
          <w:iCs/>
          <w:spacing w:val="20"/>
          <w:sz w:val="24"/>
          <w:szCs w:val="24"/>
        </w:rPr>
        <w:t xml:space="preserve">a w szczególności umowa, której wzór został udostępniony. </w:t>
      </w:r>
    </w:p>
    <w:p w14:paraId="047461DF" w14:textId="77777777" w:rsidR="0063763A" w:rsidRPr="00154491" w:rsidRDefault="0063763A" w:rsidP="00154491">
      <w:pPr>
        <w:spacing w:line="360" w:lineRule="auto"/>
        <w:rPr>
          <w:rFonts w:ascii="Calibri" w:eastAsia="Times New Roman" w:hAnsi="Calibri" w:cs="Calibri"/>
          <w:bCs/>
          <w:color w:val="000000" w:themeColor="text1"/>
          <w:spacing w:val="20"/>
          <w:sz w:val="24"/>
          <w:szCs w:val="24"/>
          <w:lang w:eastAsia="pl-PL"/>
        </w:rPr>
      </w:pPr>
    </w:p>
    <w:p w14:paraId="11E48223" w14:textId="3C08C2E2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15449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3: </w:t>
      </w:r>
    </w:p>
    <w:p w14:paraId="59CF1B20" w14:textId="1C0AC2C0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>„Czy występują ograniczenia w dojeździe do placu budowy dla sprzętu budowalnego i samochodów ciężarowych niezbędnych do wykonania robót?”</w:t>
      </w:r>
    </w:p>
    <w:p w14:paraId="6834E3C5" w14:textId="7B1D4F92" w:rsidR="00FB685E" w:rsidRPr="00154491" w:rsidRDefault="005E0D5B" w:rsidP="00154491">
      <w:pPr>
        <w:spacing w:line="360" w:lineRule="auto"/>
        <w:rPr>
          <w:rFonts w:ascii="Calibri" w:hAnsi="Calibri" w:cs="Calibri"/>
          <w:iCs/>
          <w:spacing w:val="20"/>
          <w:sz w:val="24"/>
          <w:szCs w:val="24"/>
        </w:rPr>
      </w:pP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63763A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="0063763A"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>Zamawiający informuje, że umożliwi na wniosek Wykonawcy dojazd do placu budowy pojazdów ciężarowych o D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t>MC przekraczającej 3,5t (3,5t -</w:t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>ogranicze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t xml:space="preserve">nie dla pojazdów poruszających </w:t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 xml:space="preserve">się po drogach gminnych), przy czym mając na względzie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t xml:space="preserve">geometrię drogi nie przewiduje </w:t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>się możliwości dojazdu pojazdów z przyczepami i naczepami. W zakresie wykorzystania dróg powiatowych znajdujących się w rejonie inwestycji (ul. Różana i Wojska Polskiego) na których występuje ograniczenie ruchu p</w:t>
      </w:r>
      <w:r w:rsidR="00D52D2A" w:rsidRPr="00154491">
        <w:rPr>
          <w:rFonts w:ascii="Calibri" w:hAnsi="Calibri" w:cs="Calibri"/>
          <w:iCs/>
          <w:spacing w:val="20"/>
          <w:sz w:val="24"/>
          <w:szCs w:val="24"/>
        </w:rPr>
        <w:t xml:space="preserve">ojazdów ciężarowych 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br/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>w kwestii umożliwienia dojazdu pojazdów ciężarowych z odpowiednim wnioskiem należy zwrócić s</w:t>
      </w:r>
      <w:r w:rsidR="00154491">
        <w:rPr>
          <w:rFonts w:ascii="Calibri" w:hAnsi="Calibri" w:cs="Calibri"/>
          <w:iCs/>
          <w:spacing w:val="20"/>
          <w:sz w:val="24"/>
          <w:szCs w:val="24"/>
        </w:rPr>
        <w:t xml:space="preserve">ię do Zarządu Dróg Powiatowych </w:t>
      </w:r>
      <w:r w:rsidR="00FB685E" w:rsidRPr="00154491">
        <w:rPr>
          <w:rFonts w:ascii="Calibri" w:hAnsi="Calibri" w:cs="Calibri"/>
          <w:iCs/>
          <w:spacing w:val="20"/>
          <w:sz w:val="24"/>
          <w:szCs w:val="24"/>
        </w:rPr>
        <w:t xml:space="preserve">w Sandomierzu. </w:t>
      </w:r>
    </w:p>
    <w:p w14:paraId="49B803F5" w14:textId="5BB088B6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 w:rsidRPr="0015449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4: </w:t>
      </w:r>
    </w:p>
    <w:p w14:paraId="5347F839" w14:textId="15E557C8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>„Czy utylizacja materiałów z rozbiórki leży po stronie Wykonawcy, czy należy je przetransportować w miejsce wskazane przez Zamawiającego?”</w:t>
      </w:r>
    </w:p>
    <w:p w14:paraId="5E119317" w14:textId="2E828542" w:rsidR="0063763A" w:rsidRPr="00154491" w:rsidRDefault="0063763A" w:rsidP="00154491">
      <w:pPr>
        <w:spacing w:line="360" w:lineRule="auto"/>
        <w:rPr>
          <w:rFonts w:ascii="Calibri" w:eastAsia="Times New Roman" w:hAnsi="Calibri" w:cs="Calibri"/>
          <w:bCs/>
          <w:color w:val="000000" w:themeColor="text1"/>
          <w:spacing w:val="20"/>
          <w:sz w:val="24"/>
          <w:szCs w:val="24"/>
          <w:lang w:eastAsia="pl-PL"/>
        </w:rPr>
      </w:pP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="00FB685E" w:rsidRPr="00154491">
        <w:rPr>
          <w:rFonts w:ascii="Calibri" w:hAnsi="Calibri" w:cs="Calibri"/>
          <w:spacing w:val="20"/>
          <w:sz w:val="24"/>
          <w:szCs w:val="24"/>
        </w:rPr>
        <w:t>Zamawiający informuje, że utylizacja materiałów z rozbiórki leży po stronie Wykonawcy.</w:t>
      </w:r>
    </w:p>
    <w:p w14:paraId="7005EF26" w14:textId="603EFA22" w:rsidR="0063763A" w:rsidRPr="00154491" w:rsidRDefault="00154491" w:rsidP="00154491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br/>
      </w:r>
      <w:r w:rsidR="0063763A" w:rsidRPr="00154491">
        <w:rPr>
          <w:rFonts w:ascii="Calibri" w:eastAsia="Times New Roman" w:hAnsi="Calibri" w:cs="Calibri"/>
          <w:b/>
          <w:spacing w:val="20"/>
          <w:sz w:val="24"/>
          <w:szCs w:val="24"/>
          <w:u w:val="single"/>
          <w:lang w:eastAsia="pl-PL"/>
        </w:rPr>
        <w:t xml:space="preserve">Pytanie nr 5: </w:t>
      </w:r>
    </w:p>
    <w:p w14:paraId="59B96503" w14:textId="6B0EDD4A" w:rsidR="0063763A" w:rsidRPr="00154491" w:rsidRDefault="0063763A" w:rsidP="0015449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 xml:space="preserve">„Zwracamy się do Zamawiającego z zapytaniem czy Zamawiający wyraża zgodę na modyfikację SWZ o zapis dotyczący przedłożenia kart technicznych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>i certyfikatów urządzeń, które oferenci mają zamiar dostarczyć i zamontować po podpisaniu umowy z Zamawiającym.</w:t>
      </w:r>
    </w:p>
    <w:p w14:paraId="79EE4DD1" w14:textId="2FE94C25" w:rsidR="0063763A" w:rsidRPr="00154491" w:rsidRDefault="0063763A" w:rsidP="00154491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spacing w:val="20"/>
          <w:sz w:val="24"/>
          <w:szCs w:val="24"/>
        </w:rPr>
        <w:t>„W celu potwierdzenia, że oferowane urządzenia zabawowe spełniają określone przez Zamawiającego wymagania, Zamawiający w postępowaniu żąda złożenia wraz z ofertą następujących przedmio</w:t>
      </w:r>
      <w:r w:rsidR="00FB685E" w:rsidRPr="00154491">
        <w:rPr>
          <w:rFonts w:ascii="Calibri" w:hAnsi="Calibri" w:cs="Calibri"/>
          <w:spacing w:val="20"/>
          <w:sz w:val="24"/>
          <w:szCs w:val="24"/>
        </w:rPr>
        <w:t xml:space="preserve">towych środków dowodowych tj.: </w:t>
      </w:r>
      <w:r w:rsidRPr="00154491">
        <w:rPr>
          <w:rFonts w:ascii="Calibri" w:hAnsi="Calibri" w:cs="Calibri"/>
          <w:spacing w:val="20"/>
          <w:sz w:val="24"/>
          <w:szCs w:val="24"/>
        </w:rPr>
        <w:br/>
        <w:t>a) certyfikatów wydanych przez jednostkę certyfikującą – akredytowaną przez Polskie Centrum Akredytacji lub inny równorzędny podmiot, potwierdzających zgodność z odpowiednimi normami europejskimi bądź polskimi na proponowane urządzenia zabawowe. Certyfikaty muszą pozostawać w zgodności z zaproponowanym przez Wykonawcę urządzeniem.</w:t>
      </w:r>
      <w:r w:rsidRPr="00154491">
        <w:rPr>
          <w:rFonts w:ascii="Calibri" w:hAnsi="Calibri" w:cs="Calibri"/>
          <w:spacing w:val="20"/>
          <w:sz w:val="24"/>
          <w:szCs w:val="24"/>
        </w:rPr>
        <w:br/>
        <w:t xml:space="preserve">oraz </w:t>
      </w:r>
      <w:r w:rsidRPr="00154491">
        <w:rPr>
          <w:rFonts w:ascii="Calibri" w:hAnsi="Calibri" w:cs="Calibri"/>
          <w:spacing w:val="20"/>
          <w:sz w:val="24"/>
          <w:szCs w:val="24"/>
        </w:rPr>
        <w:br/>
        <w:t xml:space="preserve">b) kart technicznych lub katalogów z nazwą producenta, ze wskazaniem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>na proponowane urządzenia zabawowe oraz elementy małej architektury;</w:t>
      </w:r>
      <w:r w:rsidRP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br/>
        <w:t xml:space="preserve">W przypadku oferowania urządzeń równoważnych dodatkowo: koncepcję zagospodarowania terenu potwierdzającą, iż oferowane produkty spełniają założenia projektu, bez powiększania powierzchni placu i wykonywanej nawierzchni bezpiecznej oraz jak powyżej karty techniczne i kopie certyfikatów wymienione odpowiednio w lit. a, b. </w:t>
      </w:r>
      <w:r w:rsidRPr="00154491">
        <w:rPr>
          <w:rFonts w:ascii="Calibri" w:hAnsi="Calibri" w:cs="Calibri"/>
          <w:spacing w:val="20"/>
          <w:sz w:val="24"/>
          <w:szCs w:val="24"/>
        </w:rPr>
        <w:br/>
        <w:t xml:space="preserve">Wskazujemy, że wymóg przedłożenia przedmiotowych środków dowodowych stanowi jedyną metodę weryfikacji i porównania złożonych ofert. Tylko weryfikacja oferowanych produktów na etapie składania ofert pozwoli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na jednoznaczną ocenę, czy wykonawcy oferują produkty spełniające wymogi Zamawiającego i czy na tej podstawie dokonali kalkulacji swojej oferty,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czy też oferują produkty o niskiej jakości niezgodne z oczekiwaniami Zamawiającego. Odpowiednia weryfikacja oferowanych rozwiązań stanowi rękojmię dostarczenia do realizacji zamówienia materiałów na poziomie założonym przez Zamawiającego, co ma istotny wpływ na realizację zamówienia i uniknięcie problemów pogorszonej jakości w stosunku </w:t>
      </w:r>
      <w:r w:rsidR="00154491">
        <w:rPr>
          <w:rFonts w:ascii="Calibri" w:hAnsi="Calibri" w:cs="Calibri"/>
          <w:spacing w:val="20"/>
          <w:sz w:val="24"/>
          <w:szCs w:val="24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do określonej w trakcie użytkowania obiektu. Pragniemy dodatkowo zwrócić uwagę, że zgodnie z Art. 107 ust. 1 </w:t>
      </w:r>
      <w:proofErr w:type="spellStart"/>
      <w:r w:rsidRPr="00154491">
        <w:rPr>
          <w:rFonts w:ascii="Calibri" w:hAnsi="Calibri" w:cs="Calibri"/>
          <w:spacing w:val="20"/>
          <w:sz w:val="24"/>
          <w:szCs w:val="24"/>
        </w:rPr>
        <w:t>Pzp</w:t>
      </w:r>
      <w:proofErr w:type="spellEnd"/>
      <w:r w:rsidRPr="00154491">
        <w:rPr>
          <w:rFonts w:ascii="Calibri" w:hAnsi="Calibri" w:cs="Calibri"/>
          <w:spacing w:val="20"/>
          <w:sz w:val="24"/>
          <w:szCs w:val="24"/>
        </w:rPr>
        <w:t xml:space="preserve"> , przedmiotowe środki dowodowe składane są wraz z ofertą. Zamawiający nie może przenieść tego obowiązku na późniejszy etap postępowania.</w:t>
      </w:r>
      <w:r w:rsidR="00FB685E" w:rsidRPr="00154491">
        <w:rPr>
          <w:rFonts w:ascii="Calibri" w:hAnsi="Calibri" w:cs="Calibri"/>
          <w:spacing w:val="20"/>
          <w:sz w:val="24"/>
          <w:szCs w:val="24"/>
        </w:rPr>
        <w:t>”</w:t>
      </w:r>
    </w:p>
    <w:p w14:paraId="311D4278" w14:textId="6C2C7A56" w:rsidR="00FB685E" w:rsidRPr="00154491" w:rsidRDefault="00FB685E" w:rsidP="00154491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t>Odpowiedź:</w:t>
      </w:r>
      <w:r w:rsidRPr="00154491">
        <w:rPr>
          <w:rFonts w:ascii="Calibri" w:hAnsi="Calibri" w:cs="Calibri"/>
          <w:b/>
          <w:spacing w:val="20"/>
          <w:sz w:val="24"/>
          <w:szCs w:val="24"/>
          <w:u w:val="single"/>
        </w:rPr>
        <w:br/>
      </w:r>
      <w:r w:rsidRPr="00154491">
        <w:rPr>
          <w:rFonts w:ascii="Calibri" w:hAnsi="Calibri" w:cs="Calibri"/>
          <w:spacing w:val="20"/>
          <w:sz w:val="24"/>
          <w:szCs w:val="24"/>
        </w:rPr>
        <w:t xml:space="preserve">Zamawiający nie wyraża zgody na zmianę treści SWZ.  </w:t>
      </w:r>
    </w:p>
    <w:p w14:paraId="0B1DA4EB" w14:textId="77777777" w:rsidR="00FB685E" w:rsidRPr="00154491" w:rsidRDefault="00FB685E" w:rsidP="00154491">
      <w:pPr>
        <w:spacing w:line="360" w:lineRule="auto"/>
        <w:rPr>
          <w:rFonts w:ascii="Calibri" w:eastAsia="Times New Roman" w:hAnsi="Calibri" w:cs="Calibri"/>
          <w:bCs/>
          <w:color w:val="000000" w:themeColor="text1"/>
          <w:spacing w:val="20"/>
          <w:sz w:val="24"/>
          <w:szCs w:val="24"/>
          <w:lang w:eastAsia="pl-PL"/>
        </w:rPr>
      </w:pPr>
    </w:p>
    <w:p w14:paraId="53B35547" w14:textId="2C0245B5" w:rsidR="00FB685E" w:rsidRPr="00154491" w:rsidRDefault="0052636B" w:rsidP="00154491">
      <w:pPr>
        <w:spacing w:after="0" w:line="360" w:lineRule="auto"/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</w:pPr>
      <w:r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>Wyjaśnienia</w:t>
      </w:r>
      <w:r w:rsidR="00FB685E" w:rsidRPr="00154491">
        <w:rPr>
          <w:rFonts w:ascii="Calibri" w:eastAsia="Times New Roman" w:hAnsi="Calibri" w:cs="Calibri"/>
          <w:b/>
          <w:bCs/>
          <w:color w:val="000000" w:themeColor="text1"/>
          <w:spacing w:val="20"/>
          <w:sz w:val="24"/>
          <w:szCs w:val="24"/>
          <w:lang w:eastAsia="pl-PL"/>
        </w:rPr>
        <w:t xml:space="preserve"> zapisów treści SWZ są wiążące dla wszystkich Wykonawców. </w:t>
      </w:r>
    </w:p>
    <w:p w14:paraId="218E0580" w14:textId="77777777" w:rsidR="0063763A" w:rsidRPr="0063763A" w:rsidRDefault="0063763A" w:rsidP="0063763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3763A" w:rsidRPr="006376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6B5C" w14:textId="77777777" w:rsidR="00D72B72" w:rsidRDefault="00D72B72" w:rsidP="00D72B72">
      <w:pPr>
        <w:spacing w:after="0" w:line="240" w:lineRule="auto"/>
      </w:pPr>
      <w:r>
        <w:separator/>
      </w:r>
    </w:p>
  </w:endnote>
  <w:endnote w:type="continuationSeparator" w:id="0">
    <w:p w14:paraId="4AAC6D08" w14:textId="77777777" w:rsidR="00D72B72" w:rsidRDefault="00D72B72" w:rsidP="00D7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249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7D9E7B1C" w14:textId="63F89DB9" w:rsidR="005E0D5B" w:rsidRPr="00154491" w:rsidRDefault="005E0D5B">
        <w:pPr>
          <w:pStyle w:val="Stopka"/>
          <w:jc w:val="center"/>
          <w:rPr>
            <w:rFonts w:ascii="Calibri" w:hAnsi="Calibri" w:cs="Calibri"/>
            <w:sz w:val="24"/>
            <w:szCs w:val="24"/>
          </w:rPr>
        </w:pPr>
        <w:r w:rsidRPr="00154491">
          <w:rPr>
            <w:rFonts w:ascii="Calibri" w:hAnsi="Calibri" w:cs="Calibri"/>
            <w:sz w:val="24"/>
            <w:szCs w:val="24"/>
          </w:rPr>
          <w:fldChar w:fldCharType="begin"/>
        </w:r>
        <w:r w:rsidRPr="00154491">
          <w:rPr>
            <w:rFonts w:ascii="Calibri" w:hAnsi="Calibri" w:cs="Calibri"/>
            <w:sz w:val="24"/>
            <w:szCs w:val="24"/>
          </w:rPr>
          <w:instrText>PAGE   \* MERGEFORMAT</w:instrText>
        </w:r>
        <w:r w:rsidRPr="00154491">
          <w:rPr>
            <w:rFonts w:ascii="Calibri" w:hAnsi="Calibri" w:cs="Calibri"/>
            <w:sz w:val="24"/>
            <w:szCs w:val="24"/>
          </w:rPr>
          <w:fldChar w:fldCharType="separate"/>
        </w:r>
        <w:r w:rsidR="00154491">
          <w:rPr>
            <w:rFonts w:ascii="Calibri" w:hAnsi="Calibri" w:cs="Calibri"/>
            <w:noProof/>
            <w:sz w:val="24"/>
            <w:szCs w:val="24"/>
          </w:rPr>
          <w:t>1</w:t>
        </w:r>
        <w:r w:rsidRPr="00154491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0829954D" w14:textId="77777777" w:rsidR="00F30C2C" w:rsidRDefault="00F30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80F5" w14:textId="77777777" w:rsidR="00D72B72" w:rsidRDefault="00D72B72" w:rsidP="00D72B72">
      <w:pPr>
        <w:spacing w:after="0" w:line="240" w:lineRule="auto"/>
      </w:pPr>
      <w:r>
        <w:separator/>
      </w:r>
    </w:p>
  </w:footnote>
  <w:footnote w:type="continuationSeparator" w:id="0">
    <w:p w14:paraId="516FC2FC" w14:textId="77777777" w:rsidR="00D72B72" w:rsidRDefault="00D72B72" w:rsidP="00D7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75AD1" w14:textId="0855FE0D" w:rsidR="00D72B72" w:rsidRPr="00154491" w:rsidRDefault="00457FC1" w:rsidP="00154491">
    <w:pPr>
      <w:pStyle w:val="Nagwek"/>
      <w:spacing w:line="360" w:lineRule="auto"/>
      <w:rPr>
        <w:rFonts w:cstheme="minorHAnsi"/>
        <w:spacing w:val="20"/>
        <w:sz w:val="24"/>
        <w:szCs w:val="24"/>
      </w:rPr>
    </w:pPr>
    <w:r w:rsidRPr="00154491">
      <w:rPr>
        <w:rFonts w:cstheme="minorHAnsi"/>
        <w:spacing w:val="20"/>
        <w:sz w:val="24"/>
        <w:szCs w:val="24"/>
      </w:rPr>
      <w:t>RZP.271.1.8.2024.WSL</w:t>
    </w:r>
    <w:r w:rsidR="00D72B72" w:rsidRPr="00154491">
      <w:rPr>
        <w:rFonts w:cstheme="minorHAnsi"/>
        <w:spacing w:val="20"/>
        <w:sz w:val="24"/>
        <w:szCs w:val="24"/>
      </w:rPr>
      <w:t xml:space="preserve">  </w:t>
    </w:r>
    <w:r w:rsidR="00D72B72" w:rsidRPr="00154491">
      <w:rPr>
        <w:rFonts w:cstheme="minorHAnsi"/>
        <w:spacing w:val="20"/>
        <w:sz w:val="24"/>
        <w:szCs w:val="24"/>
      </w:rPr>
      <w:tab/>
    </w:r>
    <w:r w:rsidR="00D72B72" w:rsidRPr="00154491">
      <w:rPr>
        <w:rFonts w:cstheme="minorHAnsi"/>
        <w:color w:val="000000" w:themeColor="text1"/>
        <w:spacing w:val="20"/>
        <w:sz w:val="24"/>
        <w:szCs w:val="24"/>
      </w:rPr>
      <w:tab/>
    </w:r>
    <w:r w:rsidR="000106D0" w:rsidRPr="00154491">
      <w:rPr>
        <w:rFonts w:cstheme="minorHAnsi"/>
        <w:color w:val="000000" w:themeColor="text1"/>
        <w:spacing w:val="20"/>
        <w:sz w:val="24"/>
        <w:szCs w:val="24"/>
      </w:rPr>
      <w:t>Sandomierz</w:t>
    </w:r>
    <w:r w:rsidR="00FB685E" w:rsidRPr="00154491">
      <w:rPr>
        <w:rFonts w:cstheme="minorHAnsi"/>
        <w:color w:val="000000" w:themeColor="text1"/>
        <w:spacing w:val="20"/>
        <w:sz w:val="24"/>
        <w:szCs w:val="24"/>
      </w:rPr>
      <w:t>, 22</w:t>
    </w:r>
    <w:r w:rsidR="00AB4D62" w:rsidRPr="00154491">
      <w:rPr>
        <w:rFonts w:cstheme="minorHAnsi"/>
        <w:color w:val="000000" w:themeColor="text1"/>
        <w:spacing w:val="20"/>
        <w:sz w:val="24"/>
        <w:szCs w:val="24"/>
      </w:rPr>
      <w:t>.</w:t>
    </w:r>
    <w:r w:rsidRPr="00154491">
      <w:rPr>
        <w:rFonts w:cstheme="minorHAnsi"/>
        <w:color w:val="000000" w:themeColor="text1"/>
        <w:spacing w:val="20"/>
        <w:sz w:val="24"/>
        <w:szCs w:val="24"/>
      </w:rPr>
      <w:t>04.2024</w:t>
    </w:r>
    <w:r w:rsidR="00D72B72" w:rsidRPr="00154491">
      <w:rPr>
        <w:rFonts w:cstheme="minorHAnsi"/>
        <w:color w:val="000000" w:themeColor="text1"/>
        <w:spacing w:val="20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A"/>
    <w:multiLevelType w:val="hybridMultilevel"/>
    <w:tmpl w:val="C77A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480A"/>
    <w:multiLevelType w:val="hybridMultilevel"/>
    <w:tmpl w:val="28F830B4"/>
    <w:lvl w:ilvl="0" w:tplc="5C84CA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6555"/>
    <w:multiLevelType w:val="hybridMultilevel"/>
    <w:tmpl w:val="D8C243D6"/>
    <w:lvl w:ilvl="0" w:tplc="EF289B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421455"/>
    <w:multiLevelType w:val="hybridMultilevel"/>
    <w:tmpl w:val="ABE0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943FC"/>
    <w:multiLevelType w:val="hybridMultilevel"/>
    <w:tmpl w:val="A62ED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B1979"/>
    <w:multiLevelType w:val="hybridMultilevel"/>
    <w:tmpl w:val="6BEA62F6"/>
    <w:lvl w:ilvl="0" w:tplc="0E24C194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A09"/>
    <w:multiLevelType w:val="hybridMultilevel"/>
    <w:tmpl w:val="2932ED78"/>
    <w:lvl w:ilvl="0" w:tplc="9E80137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21900"/>
    <w:multiLevelType w:val="hybridMultilevel"/>
    <w:tmpl w:val="9F6C8716"/>
    <w:lvl w:ilvl="0" w:tplc="EE6892A0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7EBA"/>
    <w:multiLevelType w:val="hybridMultilevel"/>
    <w:tmpl w:val="1A24173A"/>
    <w:lvl w:ilvl="0" w:tplc="5032E448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  <w:b w:val="0"/>
      </w:rPr>
    </w:lvl>
    <w:lvl w:ilvl="1" w:tplc="87B4723E">
      <w:start w:val="1"/>
      <w:numFmt w:val="lowerLetter"/>
      <w:lvlText w:val="%2)"/>
      <w:lvlJc w:val="left"/>
      <w:pPr>
        <w:ind w:left="1506" w:hanging="360"/>
      </w:pPr>
    </w:lvl>
    <w:lvl w:ilvl="2" w:tplc="D57EDB8A">
      <w:start w:val="1"/>
      <w:numFmt w:val="decimal"/>
      <w:lvlText w:val="%3."/>
      <w:lvlJc w:val="left"/>
      <w:pPr>
        <w:ind w:left="814" w:hanging="180"/>
      </w:pPr>
      <w:rPr>
        <w:b/>
        <w:bCs w:val="0"/>
      </w:rPr>
    </w:lvl>
    <w:lvl w:ilvl="3" w:tplc="214001C2">
      <w:start w:val="10"/>
      <w:numFmt w:val="upperRoman"/>
      <w:lvlText w:val="%4."/>
      <w:lvlJc w:val="left"/>
      <w:pPr>
        <w:ind w:left="3306" w:hanging="72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72"/>
    <w:rsid w:val="00001ED8"/>
    <w:rsid w:val="00004AB7"/>
    <w:rsid w:val="000106D0"/>
    <w:rsid w:val="00022FB8"/>
    <w:rsid w:val="00093ADE"/>
    <w:rsid w:val="00096EB0"/>
    <w:rsid w:val="00143C3E"/>
    <w:rsid w:val="00154491"/>
    <w:rsid w:val="00172DCB"/>
    <w:rsid w:val="001D5C23"/>
    <w:rsid w:val="00207335"/>
    <w:rsid w:val="00230479"/>
    <w:rsid w:val="0024213F"/>
    <w:rsid w:val="0037288E"/>
    <w:rsid w:val="003756E3"/>
    <w:rsid w:val="00390A30"/>
    <w:rsid w:val="0040798C"/>
    <w:rsid w:val="00434FE6"/>
    <w:rsid w:val="004536B4"/>
    <w:rsid w:val="00457FC1"/>
    <w:rsid w:val="004F7CBC"/>
    <w:rsid w:val="005008E5"/>
    <w:rsid w:val="0050214B"/>
    <w:rsid w:val="0052409A"/>
    <w:rsid w:val="0052636B"/>
    <w:rsid w:val="00532878"/>
    <w:rsid w:val="005826AB"/>
    <w:rsid w:val="005E0D5B"/>
    <w:rsid w:val="005E28FF"/>
    <w:rsid w:val="006035DF"/>
    <w:rsid w:val="0063763A"/>
    <w:rsid w:val="00662839"/>
    <w:rsid w:val="00665D6C"/>
    <w:rsid w:val="0068515A"/>
    <w:rsid w:val="00791447"/>
    <w:rsid w:val="00831B62"/>
    <w:rsid w:val="00832E5B"/>
    <w:rsid w:val="00864E6D"/>
    <w:rsid w:val="00867CD0"/>
    <w:rsid w:val="0087540C"/>
    <w:rsid w:val="008778A3"/>
    <w:rsid w:val="0089660E"/>
    <w:rsid w:val="008A140C"/>
    <w:rsid w:val="008C37B3"/>
    <w:rsid w:val="008C4D24"/>
    <w:rsid w:val="008E045B"/>
    <w:rsid w:val="00941101"/>
    <w:rsid w:val="00943D25"/>
    <w:rsid w:val="009806C3"/>
    <w:rsid w:val="00995454"/>
    <w:rsid w:val="00A141A1"/>
    <w:rsid w:val="00A856BF"/>
    <w:rsid w:val="00A93524"/>
    <w:rsid w:val="00AB4D62"/>
    <w:rsid w:val="00AE1F21"/>
    <w:rsid w:val="00AE42BF"/>
    <w:rsid w:val="00B32586"/>
    <w:rsid w:val="00B92800"/>
    <w:rsid w:val="00BC2A53"/>
    <w:rsid w:val="00BE6C33"/>
    <w:rsid w:val="00CC3E01"/>
    <w:rsid w:val="00CE465A"/>
    <w:rsid w:val="00D52D2A"/>
    <w:rsid w:val="00D57961"/>
    <w:rsid w:val="00D72B72"/>
    <w:rsid w:val="00DB2A89"/>
    <w:rsid w:val="00E11B55"/>
    <w:rsid w:val="00E15C5A"/>
    <w:rsid w:val="00E3387C"/>
    <w:rsid w:val="00E412AB"/>
    <w:rsid w:val="00E43CB0"/>
    <w:rsid w:val="00E46C21"/>
    <w:rsid w:val="00E86947"/>
    <w:rsid w:val="00EA56D9"/>
    <w:rsid w:val="00ED47B7"/>
    <w:rsid w:val="00EF5541"/>
    <w:rsid w:val="00F201BB"/>
    <w:rsid w:val="00F30C2C"/>
    <w:rsid w:val="00F63784"/>
    <w:rsid w:val="00F72877"/>
    <w:rsid w:val="00F90B4A"/>
    <w:rsid w:val="00F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B7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B7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72B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B72"/>
  </w:style>
  <w:style w:type="paragraph" w:styleId="Stopka">
    <w:name w:val="footer"/>
    <w:basedOn w:val="Normalny"/>
    <w:link w:val="StopkaZnak"/>
    <w:uiPriority w:val="99"/>
    <w:unhideWhenUsed/>
    <w:rsid w:val="00D7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B72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390A30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rsid w:val="003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4B8C-6E3F-4EA2-BF41-71026F0B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Zioło</dc:creator>
  <cp:lastModifiedBy>Wiesław Ślizanowski</cp:lastModifiedBy>
  <cp:revision>37</cp:revision>
  <cp:lastPrinted>2024-04-22T09:55:00Z</cp:lastPrinted>
  <dcterms:created xsi:type="dcterms:W3CDTF">2024-04-16T19:50:00Z</dcterms:created>
  <dcterms:modified xsi:type="dcterms:W3CDTF">2024-04-22T11:22:00Z</dcterms:modified>
</cp:coreProperties>
</file>