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8434" w14:textId="6C76400B" w:rsidR="00C73F4C" w:rsidRDefault="00AA31A5">
      <w:pPr>
        <w:tabs>
          <w:tab w:val="right" w:pos="8789"/>
        </w:tabs>
        <w:spacing w:after="0" w:line="240" w:lineRule="auto"/>
        <w:rPr>
          <w:rFonts w:asciiTheme="majorHAnsi" w:hAnsiTheme="majorHAnsi" w:cstheme="majorHAnsi"/>
        </w:rPr>
      </w:pPr>
      <w:r>
        <w:rPr>
          <w:rFonts w:asciiTheme="majorHAnsi" w:hAnsiTheme="majorHAnsi" w:cstheme="majorHAnsi"/>
        </w:rPr>
        <w:t xml:space="preserve">BZP.271.19.2024 </w:t>
      </w:r>
      <w:r>
        <w:rPr>
          <w:rFonts w:asciiTheme="majorHAnsi" w:hAnsiTheme="majorHAnsi" w:cstheme="majorHAnsi"/>
        </w:rPr>
        <w:tab/>
      </w:r>
      <w:r w:rsidRPr="00D678D5">
        <w:rPr>
          <w:rFonts w:asciiTheme="majorHAnsi" w:hAnsiTheme="majorHAnsi" w:cstheme="majorHAnsi"/>
        </w:rPr>
        <w:t xml:space="preserve">Skoczów, dnia </w:t>
      </w:r>
      <w:r w:rsidR="00D678D5">
        <w:rPr>
          <w:rFonts w:asciiTheme="majorHAnsi" w:hAnsiTheme="majorHAnsi" w:cstheme="majorHAnsi"/>
        </w:rPr>
        <w:t>30</w:t>
      </w:r>
      <w:r w:rsidRPr="00D678D5">
        <w:rPr>
          <w:rFonts w:asciiTheme="majorHAnsi" w:hAnsiTheme="majorHAnsi" w:cstheme="majorHAnsi"/>
        </w:rPr>
        <w:t>.07.2024r.</w:t>
      </w:r>
    </w:p>
    <w:p w14:paraId="30BD6255" w14:textId="77777777" w:rsidR="00C73F4C" w:rsidRDefault="00C73F4C">
      <w:pPr>
        <w:tabs>
          <w:tab w:val="right" w:pos="8647"/>
        </w:tabs>
        <w:spacing w:after="0" w:line="240" w:lineRule="auto"/>
        <w:rPr>
          <w:rFonts w:asciiTheme="majorHAnsi" w:hAnsiTheme="majorHAnsi" w:cstheme="majorHAnsi"/>
          <w:b/>
          <w:bCs/>
        </w:rPr>
      </w:pPr>
    </w:p>
    <w:p w14:paraId="6C722D7E" w14:textId="77777777" w:rsidR="00C73F4C" w:rsidRDefault="00AA31A5">
      <w:pPr>
        <w:tabs>
          <w:tab w:val="right" w:pos="8647"/>
        </w:tabs>
        <w:spacing w:after="0" w:line="240" w:lineRule="auto"/>
        <w:ind w:left="4536"/>
        <w:rPr>
          <w:rFonts w:asciiTheme="majorHAnsi" w:hAnsiTheme="majorHAnsi" w:cstheme="majorHAnsi"/>
          <w:b/>
          <w:bCs/>
        </w:rPr>
      </w:pPr>
      <w:r>
        <w:rPr>
          <w:rFonts w:asciiTheme="majorHAnsi" w:hAnsiTheme="majorHAnsi" w:cstheme="majorHAnsi"/>
          <w:b/>
          <w:bCs/>
        </w:rPr>
        <w:t>Wszyscy Wykonawcy</w:t>
      </w:r>
    </w:p>
    <w:p w14:paraId="73483A13" w14:textId="77777777" w:rsidR="00C73F4C" w:rsidRDefault="00C73F4C">
      <w:pPr>
        <w:tabs>
          <w:tab w:val="right" w:pos="8647"/>
        </w:tabs>
        <w:spacing w:after="0" w:line="240" w:lineRule="auto"/>
        <w:rPr>
          <w:rFonts w:asciiTheme="majorHAnsi" w:hAnsiTheme="majorHAnsi" w:cstheme="majorHAnsi"/>
        </w:rPr>
      </w:pPr>
    </w:p>
    <w:p w14:paraId="34E8DC1F" w14:textId="77777777" w:rsidR="00C73F4C" w:rsidRDefault="00C73F4C">
      <w:pPr>
        <w:spacing w:after="0" w:line="240" w:lineRule="auto"/>
        <w:jc w:val="both"/>
        <w:rPr>
          <w:rFonts w:asciiTheme="majorHAnsi" w:hAnsiTheme="majorHAnsi" w:cstheme="majorHAnsi"/>
          <w:b/>
        </w:rPr>
      </w:pPr>
    </w:p>
    <w:p w14:paraId="6451566B" w14:textId="77777777" w:rsidR="00C73F4C" w:rsidRDefault="00AA31A5">
      <w:pPr>
        <w:spacing w:after="0" w:line="240" w:lineRule="auto"/>
        <w:jc w:val="both"/>
        <w:rPr>
          <w:rFonts w:asciiTheme="majorHAnsi" w:hAnsiTheme="majorHAnsi" w:cstheme="majorHAnsi"/>
        </w:rPr>
      </w:pPr>
      <w:bookmarkStart w:id="0" w:name="_Hlk95227227"/>
      <w:r>
        <w:rPr>
          <w:rFonts w:asciiTheme="majorHAnsi" w:hAnsiTheme="majorHAnsi" w:cstheme="majorHAnsi"/>
          <w:b/>
        </w:rPr>
        <w:t xml:space="preserve">Dotyczy postępowania o udzielenie zamówienia publicznego na </w:t>
      </w:r>
      <w:bookmarkEnd w:id="0"/>
      <w:r>
        <w:rPr>
          <w:rFonts w:asciiTheme="majorHAnsi" w:hAnsiTheme="majorHAnsi" w:cstheme="majorHAnsi"/>
          <w:b/>
          <w:bCs/>
          <w:color w:val="000000"/>
          <w:u w:color="000000"/>
        </w:rPr>
        <w:t>zakup drona wyposażonego w kamerę i systemy teledetekcyjne oraz badające skład dymu z kominów wraz z certyfikowanym przeszkoleniem personelu pilotującego</w:t>
      </w:r>
      <w:r>
        <w:rPr>
          <w:rFonts w:asciiTheme="majorHAnsi" w:hAnsiTheme="majorHAnsi" w:cstheme="majorHAnsi"/>
          <w:color w:val="000000"/>
          <w:u w:color="000000"/>
        </w:rPr>
        <w:t>.</w:t>
      </w:r>
    </w:p>
    <w:p w14:paraId="1F6D39D0" w14:textId="77777777" w:rsidR="00C73F4C" w:rsidRDefault="00C73F4C">
      <w:pPr>
        <w:tabs>
          <w:tab w:val="right" w:pos="8647"/>
        </w:tabs>
        <w:spacing w:after="0" w:line="240" w:lineRule="auto"/>
        <w:jc w:val="both"/>
        <w:rPr>
          <w:rFonts w:asciiTheme="majorHAnsi" w:hAnsiTheme="majorHAnsi" w:cstheme="majorHAnsi"/>
        </w:rPr>
      </w:pPr>
    </w:p>
    <w:p w14:paraId="3C4FAC77" w14:textId="77777777" w:rsidR="00C73F4C" w:rsidRDefault="00AA31A5">
      <w:pPr>
        <w:tabs>
          <w:tab w:val="right" w:pos="8647"/>
        </w:tabs>
        <w:spacing w:after="0" w:line="240" w:lineRule="auto"/>
        <w:jc w:val="both"/>
        <w:rPr>
          <w:rFonts w:asciiTheme="majorHAnsi" w:hAnsiTheme="majorHAnsi" w:cstheme="majorHAnsi"/>
        </w:rPr>
      </w:pPr>
      <w:r>
        <w:rPr>
          <w:rFonts w:asciiTheme="majorHAnsi" w:hAnsiTheme="majorHAnsi" w:cstheme="majorHAnsi"/>
        </w:rPr>
        <w:t>Na podstawie art. 284 ust. 2 ustawy z dnia 11 września 2019 r. Prawo zamówień publicznych (tekst jednolity: Dz.U. z 2023 r. poz. 1605 z późn. zm.), w związku z zapytaniami do treści specyfikacji warunków zamówienia, przekazuję treść zapytań Wykonawców oraz odpowiedzi:</w:t>
      </w:r>
    </w:p>
    <w:p w14:paraId="57982B25" w14:textId="77777777" w:rsidR="00C73F4C" w:rsidRDefault="00C73F4C">
      <w:pPr>
        <w:spacing w:after="0" w:line="240" w:lineRule="auto"/>
        <w:jc w:val="both"/>
        <w:rPr>
          <w:rFonts w:asciiTheme="majorHAnsi" w:eastAsia="Open Sans" w:hAnsiTheme="majorHAnsi" w:cstheme="majorHAnsi"/>
          <w:b/>
          <w:u w:val="single"/>
        </w:rPr>
      </w:pPr>
    </w:p>
    <w:p w14:paraId="03BC0316" w14:textId="77777777" w:rsidR="00C73F4C" w:rsidRDefault="00AA31A5">
      <w:pPr>
        <w:spacing w:after="0" w:line="240" w:lineRule="auto"/>
        <w:jc w:val="both"/>
        <w:rPr>
          <w:rFonts w:asciiTheme="majorHAnsi" w:eastAsia="Open Sans" w:hAnsiTheme="majorHAnsi" w:cstheme="majorHAnsi"/>
          <w:b/>
          <w:u w:val="single"/>
        </w:rPr>
      </w:pPr>
      <w:r>
        <w:rPr>
          <w:rFonts w:asciiTheme="majorHAnsi" w:eastAsia="Open Sans" w:hAnsiTheme="majorHAnsi" w:cstheme="majorHAnsi"/>
          <w:b/>
          <w:u w:val="single"/>
        </w:rPr>
        <w:t>Pytanie 1: Dot. Opisu przedmiotu opisu zamówienia (załącznik 5) - II, 2.</w:t>
      </w:r>
    </w:p>
    <w:p w14:paraId="5ECF11E5"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 xml:space="preserve">Zamawiający oczekuje by towar pochodził z oficjalnej krajowej dystrybucji.  W celu doprecyzowania </w:t>
      </w:r>
      <w:r>
        <w:rPr>
          <w:rFonts w:asciiTheme="majorHAnsi" w:eastAsia="Open Sans" w:hAnsiTheme="majorHAnsi" w:cstheme="majorHAnsi"/>
        </w:rPr>
        <w:br/>
        <w:t>i umożliwienia zapewnienia tego wymogu proponujemy uszczegółowić: “Wykonawca przedłoży dokument potwierdzający posiadanie statusu autoryzowanego sprzedawcy na Polskę wszystkich oferowanych produktów, nadany przez producenta lub przez jego oficjalnego polskiego dystrybutora (autoryzowanego dealera)”.</w:t>
      </w:r>
    </w:p>
    <w:p w14:paraId="48EE7327" w14:textId="77777777" w:rsidR="00C73F4C" w:rsidRDefault="00AA31A5">
      <w:pPr>
        <w:tabs>
          <w:tab w:val="right" w:pos="8647"/>
        </w:tabs>
        <w:spacing w:after="0" w:line="240" w:lineRule="auto"/>
        <w:rPr>
          <w:rFonts w:asciiTheme="majorHAnsi" w:hAnsiTheme="majorHAnsi" w:cstheme="majorHAnsi"/>
          <w:b/>
          <w:bCs/>
          <w:u w:val="single"/>
        </w:rPr>
      </w:pPr>
      <w:r>
        <w:rPr>
          <w:rFonts w:asciiTheme="majorHAnsi" w:hAnsiTheme="majorHAnsi" w:cstheme="majorHAnsi"/>
          <w:b/>
          <w:bCs/>
          <w:u w:val="single"/>
        </w:rPr>
        <w:t>Odpowiedź</w:t>
      </w:r>
    </w:p>
    <w:p w14:paraId="7EC48DC2" w14:textId="77777777" w:rsidR="00C73F4C" w:rsidRDefault="00C73F4C">
      <w:pPr>
        <w:tabs>
          <w:tab w:val="right" w:pos="8647"/>
        </w:tabs>
        <w:spacing w:after="0" w:line="240" w:lineRule="auto"/>
        <w:rPr>
          <w:rFonts w:asciiTheme="majorHAnsi" w:hAnsiTheme="majorHAnsi" w:cstheme="majorHAnsi"/>
          <w:b/>
          <w:bCs/>
          <w:u w:val="single"/>
        </w:rPr>
      </w:pPr>
    </w:p>
    <w:p w14:paraId="557F4F93" w14:textId="77777777" w:rsidR="00C73F4C" w:rsidRDefault="00AA31A5">
      <w:pPr>
        <w:tabs>
          <w:tab w:val="right" w:pos="8647"/>
        </w:tabs>
        <w:spacing w:after="0" w:line="240" w:lineRule="auto"/>
      </w:pPr>
      <w:r>
        <w:rPr>
          <w:rFonts w:asciiTheme="majorHAnsi" w:hAnsiTheme="majorHAnsi" w:cstheme="majorHAnsi"/>
          <w:b/>
          <w:bCs/>
        </w:rPr>
        <w:t>Zamawiający wprowadza zapis “Wykonawca na wezwanie Zamawiającego przedłoży dokument potwierdzający posiadanie statusu autoryzowanego sprzedawcy na Polskę wszystkich oferowanych produktów, nadany przez producenta lub przez jego oficjalnego polskiego dystrybutora (autoryzowanego dealera)”</w:t>
      </w:r>
    </w:p>
    <w:p w14:paraId="101C9D3C" w14:textId="77777777" w:rsidR="00C73F4C" w:rsidRDefault="00C73F4C">
      <w:pPr>
        <w:spacing w:after="0" w:line="240" w:lineRule="auto"/>
        <w:rPr>
          <w:rFonts w:asciiTheme="majorHAnsi" w:eastAsia="Open Sans" w:hAnsiTheme="majorHAnsi" w:cstheme="majorHAnsi"/>
        </w:rPr>
      </w:pPr>
    </w:p>
    <w:p w14:paraId="34C8D0AD" w14:textId="77777777" w:rsidR="00C73F4C" w:rsidRDefault="00C73F4C">
      <w:pPr>
        <w:spacing w:after="0" w:line="240" w:lineRule="auto"/>
        <w:ind w:right="353"/>
        <w:jc w:val="both"/>
        <w:rPr>
          <w:rFonts w:asciiTheme="majorHAnsi" w:eastAsia="Open Sans" w:hAnsiTheme="majorHAnsi" w:cstheme="majorHAnsi"/>
          <w:b/>
          <w:u w:val="single"/>
        </w:rPr>
      </w:pPr>
    </w:p>
    <w:p w14:paraId="16FA5A70" w14:textId="77777777" w:rsidR="00C73F4C" w:rsidRDefault="00AA31A5">
      <w:pPr>
        <w:spacing w:after="0" w:line="240" w:lineRule="auto"/>
        <w:ind w:right="353"/>
        <w:jc w:val="both"/>
        <w:rPr>
          <w:rFonts w:asciiTheme="majorHAnsi" w:eastAsia="Open Sans" w:hAnsiTheme="majorHAnsi" w:cstheme="majorHAnsi"/>
          <w:b/>
          <w:u w:val="single"/>
        </w:rPr>
      </w:pPr>
      <w:r>
        <w:rPr>
          <w:rFonts w:asciiTheme="majorHAnsi" w:eastAsia="Open Sans" w:hAnsiTheme="majorHAnsi" w:cstheme="majorHAnsi"/>
          <w:b/>
          <w:u w:val="single"/>
        </w:rPr>
        <w:t>Pytanie 2:  Dot. Opisu przedmiotu opisu zamówienia (załącznik 5) - II, 2.</w:t>
      </w:r>
    </w:p>
    <w:p w14:paraId="1D6C2925"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 xml:space="preserve">W związku z prawdopodobną omyłkami pisarskimi (nie istnieje dron i oprzyrządowanie spełniające łącznie opisane kryteria) wnosimy o zmianę następujących parametrów minimalnych: </w:t>
      </w:r>
    </w:p>
    <w:p w14:paraId="59733B98"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1. Z:</w:t>
      </w:r>
    </w:p>
    <w:tbl>
      <w:tblPr>
        <w:tblW w:w="8638" w:type="dxa"/>
        <w:jc w:val="center"/>
        <w:tblLayout w:type="fixed"/>
        <w:tblLook w:val="0400" w:firstRow="0" w:lastRow="0" w:firstColumn="0" w:lastColumn="0" w:noHBand="0" w:noVBand="1"/>
      </w:tblPr>
      <w:tblGrid>
        <w:gridCol w:w="2827"/>
        <w:gridCol w:w="5811"/>
      </w:tblGrid>
      <w:tr w:rsidR="00C73F4C" w14:paraId="3A608744" w14:textId="77777777">
        <w:trPr>
          <w:trHeight w:val="454"/>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2172D"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Maksymalna prędkość kątowa</w:t>
            </w:r>
          </w:p>
        </w:tc>
        <w:tc>
          <w:tcPr>
            <w:tcW w:w="5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FF4D7"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t xml:space="preserve">Przód/tył: 150°/s, </w:t>
            </w:r>
            <w:r>
              <w:rPr>
                <w:rFonts w:asciiTheme="majorHAnsi" w:eastAsia="Open Sans" w:hAnsiTheme="majorHAnsi" w:cstheme="majorHAnsi"/>
                <w:b/>
              </w:rPr>
              <w:t>Obrót: 150°/s</w:t>
            </w:r>
          </w:p>
        </w:tc>
      </w:tr>
    </w:tbl>
    <w:p w14:paraId="24320728" w14:textId="77777777" w:rsidR="00C73F4C" w:rsidRDefault="00AA31A5">
      <w:pPr>
        <w:spacing w:after="0" w:line="240" w:lineRule="auto"/>
        <w:ind w:left="3" w:right="353"/>
        <w:jc w:val="both"/>
        <w:rPr>
          <w:rFonts w:asciiTheme="majorHAnsi" w:eastAsia="Open Sans" w:hAnsiTheme="majorHAnsi" w:cstheme="majorHAnsi"/>
        </w:rPr>
      </w:pPr>
      <w:r>
        <w:rPr>
          <w:rFonts w:asciiTheme="majorHAnsi" w:eastAsia="Open Sans" w:hAnsiTheme="majorHAnsi" w:cstheme="majorHAnsi"/>
        </w:rPr>
        <w:t>na:</w:t>
      </w:r>
    </w:p>
    <w:tbl>
      <w:tblPr>
        <w:tblW w:w="8638" w:type="dxa"/>
        <w:jc w:val="center"/>
        <w:tblLayout w:type="fixed"/>
        <w:tblLook w:val="0400" w:firstRow="0" w:lastRow="0" w:firstColumn="0" w:lastColumn="0" w:noHBand="0" w:noVBand="1"/>
      </w:tblPr>
      <w:tblGrid>
        <w:gridCol w:w="2827"/>
        <w:gridCol w:w="5811"/>
      </w:tblGrid>
      <w:tr w:rsidR="00C73F4C" w14:paraId="78511861" w14:textId="77777777">
        <w:trPr>
          <w:trHeight w:val="454"/>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96000"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Maksymalna prędkość kątowa</w:t>
            </w:r>
          </w:p>
        </w:tc>
        <w:tc>
          <w:tcPr>
            <w:tcW w:w="5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4AB01"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t xml:space="preserve">Przód/tył: 150°/s, </w:t>
            </w:r>
            <w:r>
              <w:rPr>
                <w:rFonts w:asciiTheme="majorHAnsi" w:eastAsia="Open Sans" w:hAnsiTheme="majorHAnsi" w:cstheme="majorHAnsi"/>
                <w:b/>
              </w:rPr>
              <w:t>Obrót: 100°/s</w:t>
            </w:r>
          </w:p>
        </w:tc>
      </w:tr>
    </w:tbl>
    <w:p w14:paraId="5A214B54" w14:textId="77777777" w:rsidR="00C73F4C" w:rsidRDefault="00C73F4C">
      <w:pPr>
        <w:spacing w:after="0" w:line="240" w:lineRule="auto"/>
        <w:ind w:left="3" w:right="353"/>
        <w:jc w:val="both"/>
        <w:rPr>
          <w:rFonts w:asciiTheme="majorHAnsi" w:eastAsia="Open Sans" w:hAnsiTheme="majorHAnsi" w:cstheme="majorHAnsi"/>
        </w:rPr>
      </w:pPr>
    </w:p>
    <w:p w14:paraId="4A53CCBA"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2. Z:</w:t>
      </w:r>
    </w:p>
    <w:tbl>
      <w:tblPr>
        <w:tblW w:w="8640" w:type="dxa"/>
        <w:jc w:val="center"/>
        <w:tblLayout w:type="fixed"/>
        <w:tblLook w:val="0400" w:firstRow="0" w:lastRow="0" w:firstColumn="0" w:lastColumn="0" w:noHBand="0" w:noVBand="1"/>
      </w:tblPr>
      <w:tblGrid>
        <w:gridCol w:w="2833"/>
        <w:gridCol w:w="5807"/>
      </w:tblGrid>
      <w:tr w:rsidR="00C73F4C" w14:paraId="03AA8FDE"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1D50A"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Temperatura robocza</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68F76"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t xml:space="preserve">-20°C do </w:t>
            </w:r>
            <w:r>
              <w:rPr>
                <w:rFonts w:asciiTheme="majorHAnsi" w:eastAsia="Open Sans" w:hAnsiTheme="majorHAnsi" w:cstheme="majorHAnsi"/>
                <w:b/>
              </w:rPr>
              <w:t>50°C</w:t>
            </w:r>
          </w:p>
        </w:tc>
      </w:tr>
    </w:tbl>
    <w:p w14:paraId="415DDDA3" w14:textId="77777777" w:rsidR="00C73F4C" w:rsidRDefault="00AA31A5">
      <w:pPr>
        <w:spacing w:after="0" w:line="240" w:lineRule="auto"/>
        <w:ind w:left="3" w:right="353"/>
        <w:jc w:val="both"/>
        <w:rPr>
          <w:rFonts w:asciiTheme="majorHAnsi" w:eastAsia="Open Sans" w:hAnsiTheme="majorHAnsi" w:cstheme="majorHAnsi"/>
        </w:rPr>
      </w:pPr>
      <w:r>
        <w:rPr>
          <w:rFonts w:asciiTheme="majorHAnsi" w:eastAsia="Open Sans" w:hAnsiTheme="majorHAnsi" w:cstheme="majorHAnsi"/>
        </w:rPr>
        <w:t>na:</w:t>
      </w:r>
    </w:p>
    <w:p w14:paraId="490C9393" w14:textId="77777777" w:rsidR="00C73F4C" w:rsidRDefault="00C73F4C">
      <w:pPr>
        <w:spacing w:after="0" w:line="240" w:lineRule="auto"/>
        <w:ind w:left="3" w:right="353"/>
        <w:jc w:val="both"/>
        <w:rPr>
          <w:rFonts w:asciiTheme="majorHAnsi" w:eastAsia="Open Sans" w:hAnsiTheme="majorHAnsi" w:cstheme="majorHAnsi"/>
        </w:rPr>
      </w:pPr>
    </w:p>
    <w:tbl>
      <w:tblPr>
        <w:tblW w:w="8640" w:type="dxa"/>
        <w:jc w:val="center"/>
        <w:tblLayout w:type="fixed"/>
        <w:tblLook w:val="0400" w:firstRow="0" w:lastRow="0" w:firstColumn="0" w:lastColumn="0" w:noHBand="0" w:noVBand="1"/>
      </w:tblPr>
      <w:tblGrid>
        <w:gridCol w:w="2833"/>
        <w:gridCol w:w="5807"/>
      </w:tblGrid>
      <w:tr w:rsidR="00C73F4C" w14:paraId="1283B569"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654AF"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Temperatura robocza</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B6EB9"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t xml:space="preserve">-20°C do </w:t>
            </w:r>
            <w:r>
              <w:rPr>
                <w:rFonts w:asciiTheme="majorHAnsi" w:eastAsia="Open Sans" w:hAnsiTheme="majorHAnsi" w:cstheme="majorHAnsi"/>
                <w:b/>
              </w:rPr>
              <w:t>40°C</w:t>
            </w:r>
          </w:p>
        </w:tc>
      </w:tr>
    </w:tbl>
    <w:p w14:paraId="61D32D79" w14:textId="77777777" w:rsidR="00C73F4C" w:rsidRDefault="00AA31A5">
      <w:pPr>
        <w:spacing w:after="0" w:line="240" w:lineRule="auto"/>
        <w:ind w:left="3" w:right="353"/>
        <w:jc w:val="both"/>
        <w:rPr>
          <w:rFonts w:asciiTheme="majorHAnsi" w:eastAsia="Open Sans" w:hAnsiTheme="majorHAnsi" w:cstheme="majorHAnsi"/>
        </w:rPr>
      </w:pPr>
      <w:r>
        <w:rPr>
          <w:rFonts w:asciiTheme="majorHAnsi" w:eastAsia="Open Sans" w:hAnsiTheme="majorHAnsi" w:cstheme="majorHAnsi"/>
        </w:rPr>
        <w:t xml:space="preserve"> </w:t>
      </w:r>
    </w:p>
    <w:p w14:paraId="7D845ADD"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3. Z:</w:t>
      </w:r>
    </w:p>
    <w:tbl>
      <w:tblPr>
        <w:tblW w:w="8640" w:type="dxa"/>
        <w:jc w:val="center"/>
        <w:tblLayout w:type="fixed"/>
        <w:tblLook w:val="0400" w:firstRow="0" w:lastRow="0" w:firstColumn="0" w:lastColumn="0" w:noHBand="0" w:noVBand="1"/>
      </w:tblPr>
      <w:tblGrid>
        <w:gridCol w:w="2833"/>
        <w:gridCol w:w="5807"/>
      </w:tblGrid>
      <w:tr w:rsidR="00C73F4C" w14:paraId="2B4E83E1"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EBD4E"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 xml:space="preserve">Zakres wykrywania </w:t>
            </w:r>
            <w:r>
              <w:rPr>
                <w:rFonts w:asciiTheme="majorHAnsi" w:eastAsia="Open Sans" w:hAnsiTheme="majorHAnsi" w:cstheme="majorHAnsi"/>
              </w:rPr>
              <w:lastRenderedPageBreak/>
              <w:t>przeszkód</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13E44"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lastRenderedPageBreak/>
              <w:t>0.1-</w:t>
            </w:r>
            <w:r>
              <w:rPr>
                <w:rFonts w:asciiTheme="majorHAnsi" w:eastAsia="Open Sans" w:hAnsiTheme="majorHAnsi" w:cstheme="majorHAnsi"/>
                <w:b/>
              </w:rPr>
              <w:t>40 m</w:t>
            </w:r>
          </w:p>
        </w:tc>
      </w:tr>
    </w:tbl>
    <w:p w14:paraId="7E262C05" w14:textId="77777777" w:rsidR="00C73F4C" w:rsidRDefault="00AA31A5">
      <w:pPr>
        <w:spacing w:after="0" w:line="240" w:lineRule="auto"/>
        <w:ind w:left="3" w:right="353"/>
        <w:jc w:val="both"/>
        <w:rPr>
          <w:rFonts w:asciiTheme="majorHAnsi" w:eastAsia="Open Sans" w:hAnsiTheme="majorHAnsi" w:cstheme="majorHAnsi"/>
        </w:rPr>
      </w:pPr>
      <w:r>
        <w:rPr>
          <w:rFonts w:asciiTheme="majorHAnsi" w:eastAsia="Open Sans" w:hAnsiTheme="majorHAnsi" w:cstheme="majorHAnsi"/>
        </w:rPr>
        <w:t>na:</w:t>
      </w:r>
    </w:p>
    <w:tbl>
      <w:tblPr>
        <w:tblW w:w="8640" w:type="dxa"/>
        <w:jc w:val="center"/>
        <w:tblLayout w:type="fixed"/>
        <w:tblLook w:val="0400" w:firstRow="0" w:lastRow="0" w:firstColumn="0" w:lastColumn="0" w:noHBand="0" w:noVBand="1"/>
      </w:tblPr>
      <w:tblGrid>
        <w:gridCol w:w="2833"/>
        <w:gridCol w:w="5807"/>
      </w:tblGrid>
      <w:tr w:rsidR="00C73F4C" w14:paraId="16520FD2"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3C17E"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Zakres wykrywania przeszkód</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2B40D" w14:textId="77777777" w:rsidR="00C73F4C" w:rsidRDefault="00AA31A5">
            <w:pPr>
              <w:widowControl w:val="0"/>
              <w:spacing w:after="0" w:line="240" w:lineRule="auto"/>
              <w:ind w:left="3" w:right="119"/>
              <w:jc w:val="both"/>
              <w:rPr>
                <w:rFonts w:asciiTheme="majorHAnsi" w:eastAsia="Open Sans" w:hAnsiTheme="majorHAnsi" w:cstheme="majorHAnsi"/>
                <w:b/>
              </w:rPr>
            </w:pPr>
            <w:r>
              <w:rPr>
                <w:rFonts w:asciiTheme="majorHAnsi" w:eastAsia="Open Sans" w:hAnsiTheme="majorHAnsi" w:cstheme="majorHAnsi"/>
              </w:rPr>
              <w:t>0.1-</w:t>
            </w:r>
            <w:r>
              <w:rPr>
                <w:rFonts w:asciiTheme="majorHAnsi" w:eastAsia="Open Sans" w:hAnsiTheme="majorHAnsi" w:cstheme="majorHAnsi"/>
                <w:b/>
              </w:rPr>
              <w:t>38 m</w:t>
            </w:r>
          </w:p>
        </w:tc>
      </w:tr>
    </w:tbl>
    <w:p w14:paraId="6535AE7F" w14:textId="77777777" w:rsidR="00C73F4C" w:rsidRDefault="00C73F4C">
      <w:pPr>
        <w:spacing w:after="0" w:line="240" w:lineRule="auto"/>
        <w:ind w:right="353"/>
        <w:jc w:val="both"/>
        <w:rPr>
          <w:rFonts w:asciiTheme="majorHAnsi" w:eastAsia="Open Sans" w:hAnsiTheme="majorHAnsi" w:cstheme="majorHAnsi"/>
        </w:rPr>
      </w:pPr>
    </w:p>
    <w:p w14:paraId="57743BB7"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 xml:space="preserve">4. Dot. głowicy obserwacyjnej z: </w:t>
      </w:r>
    </w:p>
    <w:tbl>
      <w:tblPr>
        <w:tblW w:w="8640" w:type="dxa"/>
        <w:jc w:val="center"/>
        <w:tblLayout w:type="fixed"/>
        <w:tblLook w:val="0400" w:firstRow="0" w:lastRow="0" w:firstColumn="0" w:lastColumn="0" w:noHBand="0" w:noVBand="1"/>
      </w:tblPr>
      <w:tblGrid>
        <w:gridCol w:w="2833"/>
        <w:gridCol w:w="5807"/>
      </w:tblGrid>
      <w:tr w:rsidR="00C73F4C" w14:paraId="5E6C7433"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3C5CE"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Dalmierz laserowy</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84002" w14:textId="77777777" w:rsidR="00C73F4C" w:rsidRDefault="00AA31A5">
            <w:pPr>
              <w:widowControl w:val="0"/>
              <w:spacing w:after="0" w:line="240" w:lineRule="auto"/>
              <w:ind w:left="3" w:right="119"/>
              <w:jc w:val="both"/>
              <w:rPr>
                <w:rFonts w:asciiTheme="majorHAnsi" w:eastAsia="Open Sans" w:hAnsiTheme="majorHAnsi" w:cstheme="majorHAnsi"/>
              </w:rPr>
            </w:pPr>
            <w:r>
              <w:rPr>
                <w:rFonts w:asciiTheme="majorHAnsi" w:eastAsia="Open Sans" w:hAnsiTheme="majorHAnsi" w:cstheme="majorHAnsi"/>
              </w:rPr>
              <w:t xml:space="preserve">Określenie współrzędnych obserwowanego obiektu w odległości co najmniej </w:t>
            </w:r>
            <w:r>
              <w:rPr>
                <w:rFonts w:asciiTheme="majorHAnsi" w:eastAsia="Open Sans" w:hAnsiTheme="majorHAnsi" w:cstheme="majorHAnsi"/>
                <w:b/>
              </w:rPr>
              <w:t>10000m</w:t>
            </w:r>
            <w:r>
              <w:rPr>
                <w:rFonts w:asciiTheme="majorHAnsi" w:eastAsia="Open Sans" w:hAnsiTheme="majorHAnsi" w:cstheme="majorHAnsi"/>
              </w:rPr>
              <w:t xml:space="preserve"> od niego</w:t>
            </w:r>
          </w:p>
        </w:tc>
      </w:tr>
    </w:tbl>
    <w:p w14:paraId="01B2C2E4" w14:textId="77777777" w:rsidR="00C73F4C" w:rsidRDefault="00AA31A5">
      <w:pPr>
        <w:spacing w:after="0" w:line="240" w:lineRule="auto"/>
        <w:ind w:left="3" w:right="353"/>
        <w:jc w:val="both"/>
        <w:rPr>
          <w:rFonts w:asciiTheme="majorHAnsi" w:eastAsia="Open Sans" w:hAnsiTheme="majorHAnsi" w:cstheme="majorHAnsi"/>
        </w:rPr>
      </w:pPr>
      <w:r>
        <w:rPr>
          <w:rFonts w:asciiTheme="majorHAnsi" w:eastAsia="Open Sans" w:hAnsiTheme="majorHAnsi" w:cstheme="majorHAnsi"/>
        </w:rPr>
        <w:t xml:space="preserve">na </w:t>
      </w:r>
    </w:p>
    <w:tbl>
      <w:tblPr>
        <w:tblW w:w="8640" w:type="dxa"/>
        <w:jc w:val="center"/>
        <w:tblLayout w:type="fixed"/>
        <w:tblLook w:val="0400" w:firstRow="0" w:lastRow="0" w:firstColumn="0" w:lastColumn="0" w:noHBand="0" w:noVBand="1"/>
      </w:tblPr>
      <w:tblGrid>
        <w:gridCol w:w="2833"/>
        <w:gridCol w:w="5807"/>
      </w:tblGrid>
      <w:tr w:rsidR="00C73F4C" w14:paraId="405DE671" w14:textId="77777777">
        <w:trPr>
          <w:trHeight w:val="454"/>
          <w:jc w:val="center"/>
        </w:trPr>
        <w:tc>
          <w:tcPr>
            <w:tcW w:w="28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B49B1" w14:textId="77777777" w:rsidR="00C73F4C" w:rsidRDefault="00AA31A5">
            <w:pPr>
              <w:widowControl w:val="0"/>
              <w:spacing w:after="0" w:line="240" w:lineRule="auto"/>
              <w:ind w:left="3" w:right="543"/>
              <w:rPr>
                <w:rFonts w:asciiTheme="majorHAnsi" w:eastAsia="Open Sans" w:hAnsiTheme="majorHAnsi" w:cstheme="majorHAnsi"/>
              </w:rPr>
            </w:pPr>
            <w:r>
              <w:rPr>
                <w:rFonts w:asciiTheme="majorHAnsi" w:eastAsia="Open Sans" w:hAnsiTheme="majorHAnsi" w:cstheme="majorHAnsi"/>
              </w:rPr>
              <w:t>Dalmierz laserowy</w:t>
            </w:r>
          </w:p>
        </w:tc>
        <w:tc>
          <w:tcPr>
            <w:tcW w:w="5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6F33A" w14:textId="77777777" w:rsidR="00C73F4C" w:rsidRDefault="00AA31A5">
            <w:pPr>
              <w:widowControl w:val="0"/>
              <w:spacing w:after="0" w:line="240" w:lineRule="auto"/>
              <w:ind w:left="3" w:right="119"/>
              <w:jc w:val="both"/>
              <w:rPr>
                <w:rFonts w:asciiTheme="majorHAnsi" w:eastAsia="Open Sans" w:hAnsiTheme="majorHAnsi" w:cstheme="majorHAnsi"/>
              </w:rPr>
            </w:pPr>
            <w:r>
              <w:rPr>
                <w:rFonts w:asciiTheme="majorHAnsi" w:eastAsia="Open Sans" w:hAnsiTheme="majorHAnsi" w:cstheme="majorHAnsi"/>
              </w:rPr>
              <w:t xml:space="preserve">Określenie współrzędnych obserwowanego obiektu w odległości co najmniej </w:t>
            </w:r>
            <w:r>
              <w:rPr>
                <w:rFonts w:asciiTheme="majorHAnsi" w:eastAsia="Open Sans" w:hAnsiTheme="majorHAnsi" w:cstheme="majorHAnsi"/>
                <w:b/>
              </w:rPr>
              <w:t>1000m</w:t>
            </w:r>
            <w:r>
              <w:rPr>
                <w:rFonts w:asciiTheme="majorHAnsi" w:eastAsia="Open Sans" w:hAnsiTheme="majorHAnsi" w:cstheme="majorHAnsi"/>
              </w:rPr>
              <w:t xml:space="preserve"> od niego</w:t>
            </w:r>
          </w:p>
        </w:tc>
      </w:tr>
    </w:tbl>
    <w:p w14:paraId="6D5E45F4" w14:textId="77777777" w:rsidR="00C73F4C" w:rsidRDefault="00C73F4C">
      <w:pPr>
        <w:spacing w:after="0" w:line="240" w:lineRule="auto"/>
        <w:ind w:right="353"/>
        <w:jc w:val="both"/>
        <w:rPr>
          <w:rFonts w:asciiTheme="majorHAnsi" w:eastAsia="Open Sans" w:hAnsiTheme="majorHAnsi" w:cstheme="majorHAnsi"/>
          <w:b/>
        </w:rPr>
      </w:pPr>
    </w:p>
    <w:p w14:paraId="54AE97BA"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5. Dot. głowicy do pomiaru zanieczyszczeń na wymagania minimalne (w tym proponujemy doprecyzować zakresy pomiarowe) na:</w:t>
      </w:r>
    </w:p>
    <w:p w14:paraId="48FF9E99" w14:textId="77777777" w:rsidR="00C73F4C" w:rsidRDefault="00AA31A5">
      <w:pPr>
        <w:spacing w:after="0" w:line="240" w:lineRule="auto"/>
        <w:ind w:right="353"/>
        <w:jc w:val="both"/>
        <w:rPr>
          <w:rFonts w:asciiTheme="majorHAnsi" w:eastAsia="Open Sans" w:hAnsiTheme="majorHAnsi" w:cstheme="majorHAnsi"/>
          <w:b/>
        </w:rPr>
      </w:pPr>
      <w:r>
        <w:rPr>
          <w:rFonts w:asciiTheme="majorHAnsi" w:eastAsia="Open Sans" w:hAnsiTheme="majorHAnsi" w:cstheme="majorHAnsi"/>
        </w:rPr>
        <w:t xml:space="preserve">3.1). PM10, PM2.5, </w:t>
      </w:r>
      <w:r>
        <w:rPr>
          <w:rFonts w:asciiTheme="majorHAnsi" w:eastAsia="Open Sans" w:hAnsiTheme="majorHAnsi" w:cstheme="majorHAnsi"/>
          <w:b/>
        </w:rPr>
        <w:t>PM1</w:t>
      </w:r>
      <w:r>
        <w:rPr>
          <w:rFonts w:asciiTheme="majorHAnsi" w:eastAsia="Open Sans" w:hAnsiTheme="majorHAnsi" w:cstheme="majorHAnsi"/>
        </w:rPr>
        <w:t xml:space="preserve"> – czujniki optyczne, pomiar ciągły, zakres pomiarowy od 0-</w:t>
      </w:r>
      <w:r>
        <w:rPr>
          <w:rFonts w:asciiTheme="majorHAnsi" w:eastAsia="Open Sans" w:hAnsiTheme="majorHAnsi" w:cstheme="majorHAnsi"/>
          <w:b/>
        </w:rPr>
        <w:t>1000</w:t>
      </w:r>
      <w:r>
        <w:rPr>
          <w:rFonts w:asciiTheme="majorHAnsi" w:eastAsia="Open Sans" w:hAnsiTheme="majorHAnsi" w:cstheme="majorHAnsi"/>
        </w:rPr>
        <w:t xml:space="preserve"> μg/m3, rozdzielczość </w:t>
      </w:r>
      <w:r>
        <w:rPr>
          <w:rFonts w:asciiTheme="majorHAnsi" w:eastAsia="Open Sans" w:hAnsiTheme="majorHAnsi" w:cstheme="majorHAnsi"/>
          <w:b/>
        </w:rPr>
        <w:t>co najmniej: 1 μg/m3</w:t>
      </w:r>
    </w:p>
    <w:p w14:paraId="1174403B"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3.2). Temperatura powietrza i wilgotność – pomiar ciągły (bez zmian)</w:t>
      </w:r>
    </w:p>
    <w:p w14:paraId="33D0D972" w14:textId="77777777" w:rsidR="00C73F4C" w:rsidRDefault="00AA31A5">
      <w:pPr>
        <w:spacing w:after="0" w:line="240" w:lineRule="auto"/>
        <w:ind w:right="353"/>
        <w:jc w:val="both"/>
        <w:rPr>
          <w:rFonts w:asciiTheme="majorHAnsi" w:eastAsia="Open Sans" w:hAnsiTheme="majorHAnsi" w:cstheme="majorHAnsi"/>
        </w:rPr>
      </w:pPr>
      <w:r>
        <w:rPr>
          <w:rFonts w:asciiTheme="majorHAnsi" w:eastAsia="Open Sans" w:hAnsiTheme="majorHAnsi" w:cstheme="majorHAnsi"/>
        </w:rPr>
        <w:t>3.3). Lotne związki organiczne VOC/LZO – czujnik fotojonizacyjny PID (</w:t>
      </w:r>
      <w:r>
        <w:rPr>
          <w:rFonts w:asciiTheme="majorHAnsi" w:eastAsia="Open Sans" w:hAnsiTheme="majorHAnsi" w:cstheme="majorHAnsi"/>
          <w:b/>
        </w:rPr>
        <w:t>&lt;</w:t>
      </w:r>
      <w:r>
        <w:rPr>
          <w:rFonts w:asciiTheme="majorHAnsi" w:eastAsia="Open Sans" w:hAnsiTheme="majorHAnsi" w:cstheme="majorHAnsi"/>
        </w:rPr>
        <w:t>10.6 eV) zakres pomiaru 0 – 40 ppm,</w:t>
      </w:r>
    </w:p>
    <w:p w14:paraId="6E32C53A" w14:textId="77777777" w:rsidR="00C73F4C" w:rsidRDefault="00AA31A5">
      <w:pPr>
        <w:spacing w:after="0" w:line="240" w:lineRule="auto"/>
        <w:ind w:right="353"/>
        <w:jc w:val="both"/>
        <w:rPr>
          <w:rFonts w:asciiTheme="majorHAnsi" w:eastAsia="Open Sans" w:hAnsiTheme="majorHAnsi" w:cstheme="majorHAnsi"/>
          <w:b/>
        </w:rPr>
      </w:pPr>
      <w:r>
        <w:rPr>
          <w:rFonts w:asciiTheme="majorHAnsi" w:eastAsia="Open Sans" w:hAnsiTheme="majorHAnsi" w:cstheme="majorHAnsi"/>
        </w:rPr>
        <w:t xml:space="preserve">3.4). HCL (chlorowodór) </w:t>
      </w:r>
      <w:r>
        <w:rPr>
          <w:rFonts w:asciiTheme="majorHAnsi" w:eastAsia="Open Sans" w:hAnsiTheme="majorHAnsi" w:cstheme="majorHAnsi"/>
          <w:b/>
        </w:rPr>
        <w:t>i HCN (cyjanowodór)</w:t>
      </w:r>
      <w:r>
        <w:rPr>
          <w:rFonts w:asciiTheme="majorHAnsi" w:eastAsia="Open Sans" w:hAnsiTheme="majorHAnsi" w:cstheme="majorHAnsi"/>
        </w:rPr>
        <w:t xml:space="preserve"> -</w:t>
      </w:r>
      <w:r>
        <w:rPr>
          <w:rFonts w:asciiTheme="majorHAnsi" w:eastAsia="Open Sans" w:hAnsiTheme="majorHAnsi" w:cstheme="majorHAnsi"/>
          <w:b/>
        </w:rPr>
        <w:t xml:space="preserve"> zakres pomiarowy co najmniej 0 - 100 ppm</w:t>
      </w:r>
    </w:p>
    <w:p w14:paraId="2CC5219B" w14:textId="77777777" w:rsidR="00C73F4C" w:rsidRDefault="00AA31A5">
      <w:pPr>
        <w:spacing w:after="0" w:line="240" w:lineRule="auto"/>
        <w:ind w:right="353"/>
        <w:jc w:val="both"/>
        <w:rPr>
          <w:rFonts w:asciiTheme="majorHAnsi" w:eastAsia="Open Sans" w:hAnsiTheme="majorHAnsi" w:cstheme="majorHAnsi"/>
          <w:b/>
        </w:rPr>
      </w:pPr>
      <w:r>
        <w:rPr>
          <w:rFonts w:asciiTheme="majorHAnsi" w:eastAsia="Open Sans" w:hAnsiTheme="majorHAnsi" w:cstheme="majorHAnsi"/>
        </w:rPr>
        <w:t xml:space="preserve">3.5). HCHO (formadehyd) - </w:t>
      </w:r>
      <w:r>
        <w:rPr>
          <w:rFonts w:asciiTheme="majorHAnsi" w:eastAsia="Open Sans" w:hAnsiTheme="majorHAnsi" w:cstheme="majorHAnsi"/>
          <w:b/>
        </w:rPr>
        <w:t>zakres pomiarowy co najmniej 0 - 100 ppm</w:t>
      </w:r>
    </w:p>
    <w:p w14:paraId="21A70191" w14:textId="77777777" w:rsidR="00C73F4C" w:rsidRDefault="00AA31A5">
      <w:pPr>
        <w:spacing w:after="0" w:line="240" w:lineRule="auto"/>
        <w:rPr>
          <w:rFonts w:asciiTheme="majorHAnsi" w:eastAsia="Open Sans" w:hAnsiTheme="majorHAnsi" w:cstheme="majorHAnsi"/>
          <w:b/>
        </w:rPr>
      </w:pPr>
      <w:r>
        <w:rPr>
          <w:rFonts w:asciiTheme="majorHAnsi" w:eastAsia="Open Sans" w:hAnsiTheme="majorHAnsi" w:cstheme="majorHAnsi"/>
          <w:b/>
        </w:rPr>
        <w:t>3.6). Żywotność czujników jest wymagana zgodnie z okresem gwarancji</w:t>
      </w:r>
    </w:p>
    <w:p w14:paraId="1EF3CB61" w14:textId="77777777" w:rsidR="00C73F4C" w:rsidRDefault="00AA31A5">
      <w:pPr>
        <w:spacing w:after="0" w:line="240" w:lineRule="auto"/>
        <w:rPr>
          <w:rFonts w:asciiTheme="majorHAnsi" w:eastAsia="Open Sans" w:hAnsiTheme="majorHAnsi" w:cstheme="majorHAnsi"/>
        </w:rPr>
      </w:pPr>
      <w:r>
        <w:rPr>
          <w:rFonts w:asciiTheme="majorHAnsi" w:eastAsia="Open Sans" w:hAnsiTheme="majorHAnsi" w:cstheme="majorHAnsi"/>
        </w:rPr>
        <w:t>3.7). Instrukcja obsługi w języku polskim (bez zmian)</w:t>
      </w:r>
    </w:p>
    <w:p w14:paraId="09CE0875" w14:textId="77777777" w:rsidR="00C73F4C" w:rsidRDefault="00AA31A5">
      <w:pPr>
        <w:spacing w:after="0" w:line="240" w:lineRule="auto"/>
        <w:rPr>
          <w:rFonts w:asciiTheme="majorHAnsi" w:eastAsia="Open Sans" w:hAnsiTheme="majorHAnsi" w:cstheme="majorHAnsi"/>
        </w:rPr>
      </w:pPr>
      <w:r>
        <w:rPr>
          <w:rFonts w:asciiTheme="majorHAnsi" w:eastAsia="Open Sans" w:hAnsiTheme="majorHAnsi" w:cstheme="majorHAnsi"/>
        </w:rPr>
        <w:t xml:space="preserve">3.8).  Oprogramowanie analityczne na platformy Windows </w:t>
      </w:r>
      <w:r>
        <w:rPr>
          <w:rFonts w:asciiTheme="majorHAnsi" w:eastAsia="Open Sans" w:hAnsiTheme="majorHAnsi" w:cstheme="majorHAnsi"/>
          <w:b/>
          <w:u w:val="single"/>
        </w:rPr>
        <w:t>lub</w:t>
      </w:r>
      <w:r>
        <w:rPr>
          <w:rFonts w:asciiTheme="majorHAnsi" w:eastAsia="Open Sans" w:hAnsiTheme="majorHAnsi" w:cstheme="majorHAnsi"/>
        </w:rPr>
        <w:t xml:space="preserve"> Android umożliwiające odczyty stężeń zanieczyszczeń w czasie rzeczywistym i prezentację wyników pod postacią graficzną ze wszystkich wbudowanych modułów, przegląd historycznych danych z misji, automatyczne       generowanie raportu z misji (PDF), mapa przedstawiająca zanieczyszczenia z siatką i izolinią 2D lub chmurą punktów 3D, wyniki w formie arkusza  danych w formacie CSV, funkcja odzyskania nieodebranych danych podczas przerwy w komunikacji,</w:t>
      </w:r>
    </w:p>
    <w:p w14:paraId="4027172B" w14:textId="77777777" w:rsidR="00C73F4C" w:rsidRDefault="00AA31A5">
      <w:pPr>
        <w:spacing w:after="0" w:line="240" w:lineRule="auto"/>
        <w:rPr>
          <w:rFonts w:asciiTheme="majorHAnsi" w:eastAsia="Open Sans" w:hAnsiTheme="majorHAnsi" w:cstheme="majorHAnsi"/>
        </w:rPr>
      </w:pPr>
      <w:r>
        <w:rPr>
          <w:rFonts w:asciiTheme="majorHAnsi" w:eastAsia="Open Sans" w:hAnsiTheme="majorHAnsi" w:cstheme="majorHAnsi"/>
        </w:rPr>
        <w:t>3.9).-3.11). (bez zmian)</w:t>
      </w:r>
    </w:p>
    <w:p w14:paraId="36B09BF9" w14:textId="77777777" w:rsidR="00C73F4C" w:rsidRDefault="00AA31A5">
      <w:pPr>
        <w:spacing w:after="0" w:line="240" w:lineRule="auto"/>
        <w:rPr>
          <w:rFonts w:asciiTheme="majorHAnsi" w:eastAsia="Open Sans" w:hAnsiTheme="majorHAnsi" w:cstheme="majorHAnsi"/>
        </w:rPr>
      </w:pPr>
      <w:r>
        <w:rPr>
          <w:rFonts w:asciiTheme="majorHAnsi" w:eastAsia="Open Sans" w:hAnsiTheme="majorHAnsi" w:cstheme="majorHAnsi"/>
        </w:rPr>
        <w:t xml:space="preserve">3.12). Wygenerowany raport w formie pliku </w:t>
      </w:r>
      <w:r>
        <w:rPr>
          <w:rFonts w:asciiTheme="majorHAnsi" w:eastAsia="Open Sans" w:hAnsiTheme="majorHAnsi" w:cstheme="majorHAnsi"/>
          <w:b/>
        </w:rPr>
        <w:t>*.pdf</w:t>
      </w:r>
      <w:r>
        <w:rPr>
          <w:rFonts w:asciiTheme="majorHAnsi" w:eastAsia="Open Sans" w:hAnsiTheme="majorHAnsi" w:cstheme="majorHAnsi"/>
        </w:rPr>
        <w:t xml:space="preserve"> zawierający mapę trasy przelotu z naniesioną numeracją administracyjną nieruchomości, wykresy zarejestrowanych stężeń, zdjęcia z przeprowadzonych badań oraz heatmap.</w:t>
      </w:r>
    </w:p>
    <w:p w14:paraId="305C60A5" w14:textId="77777777" w:rsidR="00C73F4C" w:rsidRDefault="00AA31A5">
      <w:pPr>
        <w:tabs>
          <w:tab w:val="right" w:pos="8647"/>
        </w:tabs>
        <w:spacing w:after="0" w:line="240" w:lineRule="auto"/>
        <w:rPr>
          <w:rFonts w:asciiTheme="majorHAnsi" w:hAnsiTheme="majorHAnsi" w:cstheme="majorHAnsi"/>
          <w:b/>
          <w:bCs/>
          <w:u w:val="single"/>
        </w:rPr>
      </w:pPr>
      <w:r>
        <w:rPr>
          <w:rFonts w:asciiTheme="majorHAnsi" w:hAnsiTheme="majorHAnsi" w:cstheme="majorHAnsi"/>
          <w:b/>
          <w:bCs/>
          <w:u w:val="single"/>
        </w:rPr>
        <w:t>Odpowiedź</w:t>
      </w:r>
    </w:p>
    <w:p w14:paraId="62F474D4" w14:textId="77777777" w:rsidR="00C73F4C" w:rsidRDefault="00C73F4C">
      <w:pPr>
        <w:tabs>
          <w:tab w:val="right" w:pos="8647"/>
        </w:tabs>
        <w:spacing w:after="0" w:line="240" w:lineRule="auto"/>
        <w:rPr>
          <w:rFonts w:asciiTheme="majorHAnsi" w:hAnsiTheme="majorHAnsi" w:cstheme="majorHAnsi"/>
          <w:b/>
          <w:bCs/>
          <w:u w:val="single"/>
        </w:rPr>
      </w:pPr>
    </w:p>
    <w:p w14:paraId="5732CF84" w14:textId="77777777" w:rsidR="00C73F4C" w:rsidRDefault="00AA31A5">
      <w:pPr>
        <w:tabs>
          <w:tab w:val="right" w:pos="8647"/>
        </w:tabs>
        <w:spacing w:after="0" w:line="240" w:lineRule="auto"/>
      </w:pPr>
      <w:r>
        <w:rPr>
          <w:rFonts w:asciiTheme="majorHAnsi" w:hAnsiTheme="majorHAnsi" w:cstheme="majorHAnsi"/>
          <w:b/>
          <w:bCs/>
          <w:u w:val="single"/>
        </w:rPr>
        <w:t>Zamawiający wprowadza ww. zmiany.</w:t>
      </w:r>
    </w:p>
    <w:p w14:paraId="534FE760" w14:textId="77777777" w:rsidR="00C73F4C" w:rsidRDefault="00C73F4C">
      <w:pPr>
        <w:spacing w:after="0" w:line="240" w:lineRule="auto"/>
        <w:rPr>
          <w:rFonts w:asciiTheme="majorHAnsi" w:eastAsia="Open Sans" w:hAnsiTheme="majorHAnsi" w:cstheme="majorHAnsi"/>
        </w:rPr>
      </w:pPr>
    </w:p>
    <w:p w14:paraId="3B6C2159" w14:textId="77777777" w:rsidR="00C73F4C" w:rsidRDefault="00C73F4C">
      <w:pPr>
        <w:spacing w:after="0" w:line="240" w:lineRule="auto"/>
        <w:rPr>
          <w:rFonts w:asciiTheme="majorHAnsi" w:eastAsia="Open Sans" w:hAnsiTheme="majorHAnsi" w:cstheme="majorHAnsi"/>
          <w:b/>
          <w:u w:val="single"/>
        </w:rPr>
      </w:pPr>
    </w:p>
    <w:p w14:paraId="3E481425" w14:textId="77777777" w:rsidR="00C73F4C" w:rsidRDefault="00AA31A5">
      <w:pPr>
        <w:spacing w:after="0" w:line="240" w:lineRule="auto"/>
        <w:rPr>
          <w:rFonts w:asciiTheme="majorHAnsi" w:eastAsia="Open Sans" w:hAnsiTheme="majorHAnsi" w:cstheme="majorHAnsi"/>
          <w:b/>
          <w:u w:val="single"/>
        </w:rPr>
      </w:pPr>
      <w:r>
        <w:rPr>
          <w:rFonts w:asciiTheme="majorHAnsi" w:eastAsia="Open Sans" w:hAnsiTheme="majorHAnsi" w:cstheme="majorHAnsi"/>
          <w:b/>
          <w:u w:val="single"/>
        </w:rPr>
        <w:t>Pytanie 3: Dot. Opisu przedmiotu opisu zamówienia (załącznik 5) - II, 4. 6) i PPU (zał. 4, §11 pkt. 8)</w:t>
      </w:r>
    </w:p>
    <w:p w14:paraId="6E39ADD9"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Wnosimy o doprecyzowanie wymogu dotyczącego wykonywania przeglądów serwisowych bazując na dotychczasowym doświadczeniu gmin w tym zakresie i aspekty praktyczne, wraz ze zmianą na okresy co najmniej 12 miesięcy. Proponowany nowy zapis: Dostawca zobowiązany jest do wykonywania nieodpłatnie przeglądów gwarancyjnych nie rzadziej niż raz na 12 miesięcy lub częściej, w zależności od wymagań producenta. Zakres przeglądów musi być zgodny ze wszystkimi zaleceniami producenta oferowanego sprzętu.</w:t>
      </w:r>
    </w:p>
    <w:p w14:paraId="35CF58F1" w14:textId="77777777" w:rsidR="00C73F4C" w:rsidRDefault="00AA31A5">
      <w:pPr>
        <w:tabs>
          <w:tab w:val="right" w:pos="8647"/>
        </w:tabs>
        <w:spacing w:after="0" w:line="240" w:lineRule="auto"/>
        <w:rPr>
          <w:rFonts w:asciiTheme="majorHAnsi" w:hAnsiTheme="majorHAnsi" w:cstheme="majorHAnsi"/>
          <w:b/>
          <w:bCs/>
          <w:u w:val="single"/>
        </w:rPr>
      </w:pPr>
      <w:r>
        <w:rPr>
          <w:rFonts w:asciiTheme="majorHAnsi" w:hAnsiTheme="majorHAnsi" w:cstheme="majorHAnsi"/>
          <w:b/>
          <w:bCs/>
          <w:u w:val="single"/>
        </w:rPr>
        <w:t>Odpowiedź</w:t>
      </w:r>
    </w:p>
    <w:p w14:paraId="6E93D9CF" w14:textId="77777777" w:rsidR="00C73F4C" w:rsidRDefault="00C73F4C">
      <w:pPr>
        <w:tabs>
          <w:tab w:val="right" w:pos="8647"/>
        </w:tabs>
        <w:spacing w:after="0" w:line="240" w:lineRule="auto"/>
      </w:pPr>
    </w:p>
    <w:p w14:paraId="3917C63F" w14:textId="77777777" w:rsidR="00C73F4C" w:rsidRDefault="00AA31A5">
      <w:pPr>
        <w:tabs>
          <w:tab w:val="right" w:pos="8647"/>
        </w:tabs>
        <w:spacing w:after="0" w:line="240" w:lineRule="auto"/>
      </w:pPr>
      <w:r>
        <w:rPr>
          <w:rFonts w:asciiTheme="majorHAnsi" w:hAnsiTheme="majorHAnsi" w:cstheme="majorHAnsi"/>
          <w:b/>
          <w:bCs/>
        </w:rPr>
        <w:t>Zamawiający wprowadza wymóg: “ Dostawca zobowiązany jest do wykonywania nieodpłatnie przeglądów gwarancyjnych nie rzadziej niż raz na 12 miesięcy lub częściej, w zależności od wymagań producenta. Zakres przeglądów musi być zgodny ze wszystkimi zaleceniami producenta oferowanego sprzętu”. </w:t>
      </w:r>
    </w:p>
    <w:p w14:paraId="601D3607" w14:textId="77777777" w:rsidR="00C73F4C" w:rsidRDefault="00C73F4C">
      <w:pPr>
        <w:spacing w:after="0" w:line="240" w:lineRule="auto"/>
        <w:rPr>
          <w:rFonts w:asciiTheme="majorHAnsi" w:eastAsia="Open Sans" w:hAnsiTheme="majorHAnsi" w:cstheme="majorHAnsi"/>
        </w:rPr>
      </w:pPr>
    </w:p>
    <w:p w14:paraId="5BAE8DE6" w14:textId="77777777" w:rsidR="00C73F4C" w:rsidRDefault="00C73F4C">
      <w:pPr>
        <w:spacing w:after="0" w:line="240" w:lineRule="auto"/>
        <w:rPr>
          <w:rFonts w:asciiTheme="majorHAnsi" w:eastAsia="Open Sans" w:hAnsiTheme="majorHAnsi" w:cstheme="majorHAnsi"/>
        </w:rPr>
      </w:pPr>
    </w:p>
    <w:p w14:paraId="528684D9" w14:textId="77777777" w:rsidR="00C73F4C" w:rsidRDefault="00AA31A5">
      <w:pPr>
        <w:spacing w:after="0" w:line="240" w:lineRule="auto"/>
        <w:rPr>
          <w:rFonts w:asciiTheme="majorHAnsi" w:eastAsia="Open Sans" w:hAnsiTheme="majorHAnsi" w:cstheme="majorHAnsi"/>
          <w:b/>
          <w:u w:val="single"/>
        </w:rPr>
      </w:pPr>
      <w:r>
        <w:rPr>
          <w:rFonts w:asciiTheme="majorHAnsi" w:eastAsia="Open Sans" w:hAnsiTheme="majorHAnsi" w:cstheme="majorHAnsi"/>
          <w:b/>
          <w:u w:val="single"/>
        </w:rPr>
        <w:t xml:space="preserve">Pytanie 4: Dot. Opisu przedmiotu opisu zamówienia (załącznik 5) - II, 4. 6) i PPU (zał. 4, §4) </w:t>
      </w:r>
    </w:p>
    <w:p w14:paraId="0DA35FF0"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 xml:space="preserve">W zakresie wymaganego pakietu szkoleń punkt 1, wnosimy o ujednolicenie wymogu dotyczącego pozyskania uprawnień w związku z rozbieżnościami między załącznikami, aktualnymi regulacjami </w:t>
      </w:r>
      <w:r>
        <w:rPr>
          <w:rFonts w:asciiTheme="majorHAnsi" w:eastAsia="Open Sans" w:hAnsiTheme="majorHAnsi" w:cstheme="majorHAnsi"/>
        </w:rPr>
        <w:br/>
        <w:t>i realiami rynkowymi: “</w:t>
      </w:r>
      <w:r>
        <w:rPr>
          <w:rFonts w:asciiTheme="majorHAnsi" w:eastAsia="Open Sans" w:hAnsiTheme="majorHAnsi" w:cstheme="majorHAnsi"/>
          <w:color w:val="444746"/>
        </w:rPr>
        <w:t>Przeprowadzenie szkolenia teoretycznego i praktycznego do uzyskania uprawnień kat. szczególnej pilota BSP zgodnie z obowiązującymi przepisami (w tym scenariusze STS-01, NSTS-01, NSTS-02) oraz kat. otwartej A2 - dla co najmniej 3 osób”</w:t>
      </w:r>
      <w:r>
        <w:rPr>
          <w:rFonts w:asciiTheme="majorHAnsi" w:eastAsia="Open Sans" w:hAnsiTheme="majorHAnsi" w:cstheme="majorHAnsi"/>
        </w:rPr>
        <w:t>.</w:t>
      </w:r>
    </w:p>
    <w:p w14:paraId="4FA42B44" w14:textId="77777777" w:rsidR="00C73F4C" w:rsidRDefault="00AA31A5">
      <w:pPr>
        <w:tabs>
          <w:tab w:val="right" w:pos="8647"/>
        </w:tabs>
        <w:spacing w:after="0" w:line="240" w:lineRule="auto"/>
        <w:rPr>
          <w:rFonts w:asciiTheme="majorHAnsi" w:hAnsiTheme="majorHAnsi" w:cstheme="majorHAnsi"/>
          <w:b/>
          <w:bCs/>
          <w:u w:val="single"/>
        </w:rPr>
      </w:pPr>
      <w:r>
        <w:rPr>
          <w:rFonts w:asciiTheme="majorHAnsi" w:hAnsiTheme="majorHAnsi" w:cstheme="majorHAnsi"/>
          <w:b/>
          <w:bCs/>
          <w:u w:val="single"/>
        </w:rPr>
        <w:t>Odpowiedź</w:t>
      </w:r>
    </w:p>
    <w:p w14:paraId="681CA891" w14:textId="77777777" w:rsidR="00C73F4C" w:rsidRDefault="00C73F4C">
      <w:pPr>
        <w:tabs>
          <w:tab w:val="right" w:pos="8647"/>
        </w:tabs>
        <w:spacing w:after="0" w:line="240" w:lineRule="auto"/>
        <w:rPr>
          <w:rFonts w:asciiTheme="majorHAnsi" w:hAnsiTheme="majorHAnsi" w:cstheme="majorHAnsi"/>
          <w:b/>
          <w:bCs/>
          <w:u w:val="single"/>
        </w:rPr>
      </w:pPr>
    </w:p>
    <w:p w14:paraId="2E7BACDA" w14:textId="77777777" w:rsidR="00C73F4C" w:rsidRDefault="00AA31A5">
      <w:pPr>
        <w:tabs>
          <w:tab w:val="right" w:pos="8647"/>
        </w:tabs>
        <w:spacing w:after="0" w:line="240" w:lineRule="auto"/>
      </w:pPr>
      <w:r>
        <w:rPr>
          <w:rFonts w:asciiTheme="majorHAnsi" w:hAnsiTheme="majorHAnsi" w:cstheme="majorHAnsi"/>
          <w:b/>
          <w:bCs/>
        </w:rPr>
        <w:t>Zamawiający wprowadza zmianę w postaci zapisu:  “Przeprowadzenie szkolenia teoretycznego i praktycznego do uzyskania uprawnień kat. szczególnej pilota BSP zgodnie z obowiązującymi przepisami (w tym scenariusze STS-01, NSTS-01, NSTS-02) oraz kat. otwartej A2 - dla co najmniej 3 osób”.</w:t>
      </w:r>
    </w:p>
    <w:p w14:paraId="59A2E96E" w14:textId="77777777" w:rsidR="00C73F4C" w:rsidRDefault="00C73F4C">
      <w:pPr>
        <w:spacing w:after="0" w:line="240" w:lineRule="auto"/>
        <w:rPr>
          <w:rFonts w:asciiTheme="majorHAnsi" w:eastAsia="Open Sans" w:hAnsiTheme="majorHAnsi" w:cstheme="majorHAnsi"/>
        </w:rPr>
      </w:pPr>
    </w:p>
    <w:p w14:paraId="59E210AE" w14:textId="77777777" w:rsidR="00C73F4C" w:rsidRDefault="00C73F4C">
      <w:pPr>
        <w:spacing w:after="0" w:line="240" w:lineRule="auto"/>
        <w:rPr>
          <w:rFonts w:asciiTheme="majorHAnsi" w:eastAsia="Open Sans" w:hAnsiTheme="majorHAnsi" w:cstheme="majorHAnsi"/>
          <w:b/>
          <w:u w:val="single"/>
        </w:rPr>
      </w:pPr>
    </w:p>
    <w:p w14:paraId="50A6B661" w14:textId="77777777" w:rsidR="00C73F4C" w:rsidRDefault="00AA31A5">
      <w:pPr>
        <w:spacing w:after="0" w:line="240" w:lineRule="auto"/>
        <w:rPr>
          <w:rFonts w:asciiTheme="majorHAnsi" w:eastAsia="Open Sans" w:hAnsiTheme="majorHAnsi" w:cstheme="majorHAnsi"/>
          <w:b/>
          <w:u w:val="single"/>
        </w:rPr>
      </w:pPr>
      <w:r>
        <w:rPr>
          <w:rFonts w:asciiTheme="majorHAnsi" w:eastAsia="Open Sans" w:hAnsiTheme="majorHAnsi" w:cstheme="majorHAnsi"/>
          <w:b/>
          <w:u w:val="single"/>
        </w:rPr>
        <w:t>Pytanie 5: Dot. SWZ</w:t>
      </w:r>
    </w:p>
    <w:p w14:paraId="26AF98E8"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 xml:space="preserve">W sprawie terminu realizacji zamówienia, z uwagi na aktualny sezon urlopowy i ograniczenia </w:t>
      </w:r>
      <w:r>
        <w:rPr>
          <w:rFonts w:asciiTheme="majorHAnsi" w:eastAsia="Open Sans" w:hAnsiTheme="majorHAnsi" w:cstheme="majorHAnsi"/>
        </w:rPr>
        <w:br/>
        <w:t>w zakresie łańcuchów dostaw prosimy o dopuszczenie maksymalnego terminu realizacji zamówienia na  60 dni roboczych. W związku z tym propozycja zmiany kryterium oceny ofert:</w:t>
      </w:r>
    </w:p>
    <w:p w14:paraId="3989C4D0" w14:textId="77777777" w:rsidR="00C73F4C" w:rsidRDefault="00AA31A5">
      <w:pPr>
        <w:spacing w:after="0" w:line="240" w:lineRule="auto"/>
        <w:jc w:val="both"/>
        <w:rPr>
          <w:rFonts w:asciiTheme="majorHAnsi" w:eastAsia="Open Sans" w:hAnsiTheme="majorHAnsi" w:cstheme="majorHAnsi"/>
          <w:b/>
        </w:rPr>
      </w:pPr>
      <w:r>
        <w:rPr>
          <w:rFonts w:asciiTheme="majorHAnsi" w:eastAsia="Open Sans" w:hAnsiTheme="majorHAnsi" w:cstheme="majorHAnsi"/>
          <w:b/>
        </w:rPr>
        <w:t>0 - 35 dni - 15 punktów</w:t>
      </w:r>
    </w:p>
    <w:p w14:paraId="755032CE" w14:textId="77777777" w:rsidR="00C73F4C" w:rsidRDefault="00AA31A5">
      <w:pPr>
        <w:spacing w:after="0" w:line="240" w:lineRule="auto"/>
        <w:jc w:val="both"/>
        <w:rPr>
          <w:rFonts w:asciiTheme="majorHAnsi" w:eastAsia="Open Sans" w:hAnsiTheme="majorHAnsi" w:cstheme="majorHAnsi"/>
          <w:b/>
        </w:rPr>
      </w:pPr>
      <w:r>
        <w:rPr>
          <w:rFonts w:asciiTheme="majorHAnsi" w:eastAsia="Open Sans" w:hAnsiTheme="majorHAnsi" w:cstheme="majorHAnsi"/>
          <w:b/>
        </w:rPr>
        <w:t>36 - 45 dni  - 10 punktów</w:t>
      </w:r>
    </w:p>
    <w:p w14:paraId="20BA0179" w14:textId="77777777" w:rsidR="00C73F4C" w:rsidRDefault="00AA31A5">
      <w:pPr>
        <w:spacing w:after="0" w:line="240" w:lineRule="auto"/>
        <w:jc w:val="both"/>
        <w:rPr>
          <w:rFonts w:asciiTheme="majorHAnsi" w:eastAsia="Open Sans" w:hAnsiTheme="majorHAnsi" w:cstheme="majorHAnsi"/>
          <w:b/>
        </w:rPr>
      </w:pPr>
      <w:r>
        <w:rPr>
          <w:rFonts w:asciiTheme="majorHAnsi" w:eastAsia="Open Sans" w:hAnsiTheme="majorHAnsi" w:cstheme="majorHAnsi"/>
          <w:b/>
        </w:rPr>
        <w:t>46 - 60 dni - 0 punktów</w:t>
      </w:r>
    </w:p>
    <w:p w14:paraId="1AD74385" w14:textId="77777777" w:rsidR="00C73F4C" w:rsidRDefault="00C73F4C">
      <w:pPr>
        <w:spacing w:after="0" w:line="240" w:lineRule="auto"/>
        <w:jc w:val="both"/>
        <w:rPr>
          <w:rFonts w:asciiTheme="majorHAnsi" w:eastAsia="Open Sans" w:hAnsiTheme="majorHAnsi" w:cstheme="majorHAnsi"/>
          <w:b/>
        </w:rPr>
      </w:pPr>
    </w:p>
    <w:p w14:paraId="4F460082" w14:textId="77777777" w:rsidR="00C73F4C" w:rsidRDefault="00AA31A5">
      <w:pPr>
        <w:spacing w:after="0" w:line="240" w:lineRule="auto"/>
        <w:rPr>
          <w:rFonts w:asciiTheme="majorHAnsi" w:eastAsia="Open Sans" w:hAnsiTheme="majorHAnsi" w:cstheme="majorHAnsi"/>
        </w:rPr>
      </w:pPr>
      <w:r>
        <w:rPr>
          <w:rFonts w:asciiTheme="majorHAnsi" w:eastAsia="Open Sans" w:hAnsiTheme="majorHAnsi" w:cstheme="majorHAnsi"/>
        </w:rPr>
        <w:t xml:space="preserve">W sprawie okresu gwarancji i rękojmi wnosimy o skorygowanie omyłki pisarskiej: </w:t>
      </w:r>
    </w:p>
    <w:p w14:paraId="4B8E6819" w14:textId="77777777" w:rsidR="00C73F4C" w:rsidRDefault="00AA31A5">
      <w:pPr>
        <w:spacing w:after="0" w:line="240" w:lineRule="auto"/>
        <w:rPr>
          <w:rFonts w:asciiTheme="majorHAnsi" w:eastAsia="Open Sans" w:hAnsiTheme="majorHAnsi" w:cstheme="majorHAnsi"/>
          <w:b/>
        </w:rPr>
      </w:pPr>
      <w:r>
        <w:rPr>
          <w:rFonts w:asciiTheme="majorHAnsi" w:eastAsia="Open Sans" w:hAnsiTheme="majorHAnsi" w:cstheme="majorHAnsi"/>
        </w:rPr>
        <w:t xml:space="preserve">Jest: ad. b) Okres gwarancji i rękojmi – maksymalnie </w:t>
      </w:r>
      <w:r>
        <w:rPr>
          <w:rFonts w:asciiTheme="majorHAnsi" w:eastAsia="Open Sans" w:hAnsiTheme="majorHAnsi" w:cstheme="majorHAnsi"/>
          <w:b/>
        </w:rPr>
        <w:t>20 pkt</w:t>
      </w:r>
    </w:p>
    <w:p w14:paraId="313C5E00" w14:textId="77777777" w:rsidR="00C73F4C" w:rsidRDefault="00AA31A5">
      <w:pPr>
        <w:spacing w:after="0" w:line="240" w:lineRule="auto"/>
        <w:rPr>
          <w:rFonts w:asciiTheme="majorHAnsi" w:eastAsia="Open Sans" w:hAnsiTheme="majorHAnsi" w:cstheme="majorHAnsi"/>
          <w:b/>
        </w:rPr>
      </w:pPr>
      <w:r>
        <w:rPr>
          <w:rFonts w:asciiTheme="majorHAnsi" w:eastAsia="Open Sans" w:hAnsiTheme="majorHAnsi" w:cstheme="majorHAnsi"/>
        </w:rPr>
        <w:t>powinno być: ad. b) Okres gwarancji i rękojmi – maksymalnie</w:t>
      </w:r>
      <w:r>
        <w:rPr>
          <w:rFonts w:asciiTheme="majorHAnsi" w:eastAsia="Open Sans" w:hAnsiTheme="majorHAnsi" w:cstheme="majorHAnsi"/>
          <w:b/>
        </w:rPr>
        <w:t xml:space="preserve"> 25 pkt</w:t>
      </w:r>
    </w:p>
    <w:p w14:paraId="73EEF472" w14:textId="77777777" w:rsidR="00C73F4C" w:rsidRDefault="00C73F4C">
      <w:pPr>
        <w:spacing w:after="0" w:line="240" w:lineRule="auto"/>
        <w:rPr>
          <w:rFonts w:asciiTheme="majorHAnsi" w:eastAsia="Open Sans" w:hAnsiTheme="majorHAnsi" w:cstheme="majorHAnsi"/>
          <w:b/>
        </w:rPr>
      </w:pPr>
    </w:p>
    <w:p w14:paraId="3124C070" w14:textId="77777777" w:rsidR="00C73F4C" w:rsidRDefault="00AA31A5">
      <w:pPr>
        <w:tabs>
          <w:tab w:val="right" w:pos="8647"/>
        </w:tabs>
        <w:spacing w:after="0" w:line="240" w:lineRule="auto"/>
        <w:rPr>
          <w:rFonts w:asciiTheme="majorHAnsi" w:hAnsiTheme="majorHAnsi" w:cstheme="majorHAnsi"/>
          <w:b/>
          <w:bCs/>
          <w:u w:val="single"/>
        </w:rPr>
      </w:pPr>
      <w:r>
        <w:rPr>
          <w:rFonts w:asciiTheme="majorHAnsi" w:hAnsiTheme="majorHAnsi" w:cstheme="majorHAnsi"/>
          <w:b/>
          <w:bCs/>
          <w:u w:val="single"/>
        </w:rPr>
        <w:t>Odpowiedź</w:t>
      </w:r>
    </w:p>
    <w:p w14:paraId="69F74873" w14:textId="77777777" w:rsidR="00C73F4C" w:rsidRDefault="00AA31A5">
      <w:pPr>
        <w:pStyle w:val="Tekstpodstawowywcity2"/>
        <w:spacing w:after="0" w:line="276" w:lineRule="auto"/>
        <w:ind w:left="0"/>
        <w:jc w:val="both"/>
        <w:rPr>
          <w:rFonts w:ascii="Calibri Light" w:hAnsi="Calibri Light" w:cs="Calibri Light"/>
          <w:bCs/>
          <w:sz w:val="24"/>
          <w:szCs w:val="24"/>
        </w:rPr>
      </w:pPr>
      <w:r>
        <w:rPr>
          <w:rFonts w:ascii="Calibri Light" w:hAnsi="Calibri Light" w:cs="Calibri Light"/>
          <w:bCs/>
          <w:sz w:val="24"/>
          <w:szCs w:val="24"/>
        </w:rPr>
        <w:t>Zamawiający podtrzymuje zapis dotyczący terminu dostawy.</w:t>
      </w:r>
    </w:p>
    <w:p w14:paraId="4EA353B8" w14:textId="77777777" w:rsidR="00C73F4C" w:rsidRDefault="00AA31A5">
      <w:pPr>
        <w:pStyle w:val="Tekstpodstawowywcity2"/>
        <w:spacing w:after="0" w:line="276" w:lineRule="auto"/>
        <w:ind w:left="0"/>
        <w:jc w:val="both"/>
        <w:rPr>
          <w:rFonts w:ascii="Calibri Light" w:hAnsi="Calibri Light" w:cs="Calibri Light"/>
          <w:b/>
          <w:sz w:val="24"/>
          <w:szCs w:val="24"/>
        </w:rPr>
      </w:pPr>
      <w:r>
        <w:rPr>
          <w:rFonts w:ascii="Calibri Light" w:hAnsi="Calibri Light" w:cs="Calibri Light"/>
          <w:b/>
          <w:sz w:val="24"/>
          <w:szCs w:val="24"/>
        </w:rPr>
        <w:t xml:space="preserve">Zamawiający koryguje zapis dot. kryterium </w:t>
      </w:r>
      <w:r>
        <w:rPr>
          <w:rFonts w:asciiTheme="majorHAnsi" w:eastAsia="Open Sans" w:hAnsiTheme="majorHAnsi" w:cstheme="majorHAnsi"/>
          <w:b/>
          <w:bCs/>
          <w:sz w:val="22"/>
          <w:szCs w:val="22"/>
        </w:rPr>
        <w:t>okresu gwarancji i rękojmi</w:t>
      </w:r>
      <w:r>
        <w:rPr>
          <w:rFonts w:asciiTheme="majorHAnsi" w:eastAsia="Open Sans" w:hAnsiTheme="majorHAnsi" w:cstheme="majorHAnsi"/>
          <w:sz w:val="22"/>
          <w:szCs w:val="22"/>
        </w:rPr>
        <w:t xml:space="preserve"> </w:t>
      </w:r>
      <w:r>
        <w:rPr>
          <w:rFonts w:ascii="Calibri Light" w:hAnsi="Calibri Light" w:cs="Calibri Light"/>
          <w:b/>
          <w:sz w:val="24"/>
          <w:szCs w:val="24"/>
        </w:rPr>
        <w:t>ad. b) z:</w:t>
      </w:r>
    </w:p>
    <w:p w14:paraId="6ACFA1EB" w14:textId="77777777" w:rsidR="00C73F4C" w:rsidRDefault="00AA31A5">
      <w:pPr>
        <w:spacing w:after="0" w:line="240" w:lineRule="auto"/>
        <w:rPr>
          <w:rFonts w:asciiTheme="majorHAnsi" w:eastAsia="Open Sans" w:hAnsiTheme="majorHAnsi" w:cstheme="majorHAnsi"/>
          <w:b/>
        </w:rPr>
      </w:pPr>
      <w:r>
        <w:rPr>
          <w:rFonts w:asciiTheme="majorHAnsi" w:eastAsia="Open Sans" w:hAnsiTheme="majorHAnsi" w:cstheme="majorHAnsi"/>
        </w:rPr>
        <w:t xml:space="preserve">ad. b) Okres gwarancji i rękojmi – maksymalnie </w:t>
      </w:r>
      <w:r>
        <w:rPr>
          <w:rFonts w:asciiTheme="majorHAnsi" w:eastAsia="Open Sans" w:hAnsiTheme="majorHAnsi" w:cstheme="majorHAnsi"/>
          <w:b/>
        </w:rPr>
        <w:t>20 pkt</w:t>
      </w:r>
    </w:p>
    <w:p w14:paraId="3A8399AD" w14:textId="77777777" w:rsidR="00C73F4C" w:rsidRDefault="00AA31A5">
      <w:pPr>
        <w:spacing w:after="0" w:line="240" w:lineRule="auto"/>
        <w:rPr>
          <w:rFonts w:asciiTheme="majorHAnsi" w:eastAsia="Open Sans" w:hAnsiTheme="majorHAnsi" w:cstheme="majorHAnsi"/>
          <w:b/>
        </w:rPr>
      </w:pPr>
      <w:r>
        <w:rPr>
          <w:rFonts w:asciiTheme="majorHAnsi" w:eastAsia="Open Sans" w:hAnsiTheme="majorHAnsi" w:cstheme="majorHAnsi"/>
        </w:rPr>
        <w:t>na ad. b) Okres gwarancji i rękojmi – maksymalnie</w:t>
      </w:r>
      <w:r>
        <w:rPr>
          <w:rFonts w:asciiTheme="majorHAnsi" w:eastAsia="Open Sans" w:hAnsiTheme="majorHAnsi" w:cstheme="majorHAnsi"/>
          <w:b/>
        </w:rPr>
        <w:t xml:space="preserve"> 25 pkt</w:t>
      </w:r>
    </w:p>
    <w:p w14:paraId="65AB4B80" w14:textId="77777777" w:rsidR="00C73F4C" w:rsidRDefault="00C73F4C">
      <w:pPr>
        <w:spacing w:after="0" w:line="240" w:lineRule="auto"/>
        <w:rPr>
          <w:rFonts w:asciiTheme="majorHAnsi" w:eastAsia="Open Sans" w:hAnsiTheme="majorHAnsi" w:cstheme="majorHAnsi"/>
          <w:b/>
          <w:u w:val="single"/>
        </w:rPr>
      </w:pPr>
    </w:p>
    <w:p w14:paraId="777C5C8A" w14:textId="77777777" w:rsidR="00C73F4C" w:rsidRDefault="00C73F4C">
      <w:pPr>
        <w:spacing w:after="0" w:line="240" w:lineRule="auto"/>
        <w:rPr>
          <w:rFonts w:asciiTheme="majorHAnsi" w:eastAsia="Open Sans" w:hAnsiTheme="majorHAnsi" w:cstheme="majorHAnsi"/>
          <w:b/>
          <w:u w:val="single"/>
        </w:rPr>
      </w:pPr>
    </w:p>
    <w:p w14:paraId="78F721AD" w14:textId="77777777" w:rsidR="00C73F4C" w:rsidRDefault="00AA31A5">
      <w:pPr>
        <w:spacing w:after="0" w:line="240" w:lineRule="auto"/>
        <w:rPr>
          <w:rFonts w:asciiTheme="majorHAnsi" w:eastAsia="Open Sans" w:hAnsiTheme="majorHAnsi" w:cstheme="majorHAnsi"/>
          <w:b/>
          <w:u w:val="single"/>
        </w:rPr>
      </w:pPr>
      <w:r>
        <w:rPr>
          <w:rFonts w:asciiTheme="majorHAnsi" w:eastAsia="Open Sans" w:hAnsiTheme="majorHAnsi" w:cstheme="majorHAnsi"/>
          <w:b/>
          <w:u w:val="single"/>
        </w:rPr>
        <w:t>Pytanie 6: Dot. SWZ</w:t>
      </w:r>
    </w:p>
    <w:p w14:paraId="3BD3DA51"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W trosce o zapewnienie możliwości uczestnictwa w postępowaniu możliwie najszerszemu gronu potencjalnych Wykonawców wnosimy o wprowadzenia zapisu w postaci klauzuli równoważności i określenie przez Zamawiającego kryteriów równoważności. Przykładowo:</w:t>
      </w:r>
    </w:p>
    <w:p w14:paraId="496B21A1" w14:textId="77777777" w:rsidR="00C73F4C" w:rsidRDefault="00C73F4C">
      <w:pPr>
        <w:spacing w:after="0" w:line="240" w:lineRule="auto"/>
        <w:jc w:val="both"/>
        <w:rPr>
          <w:rFonts w:asciiTheme="majorHAnsi" w:eastAsia="Open Sans" w:hAnsiTheme="majorHAnsi" w:cstheme="majorHAnsi"/>
        </w:rPr>
      </w:pPr>
    </w:p>
    <w:p w14:paraId="2DF5ECEA" w14:textId="77777777" w:rsidR="00C73F4C" w:rsidRDefault="00AA31A5">
      <w:pPr>
        <w:spacing w:after="0" w:line="240" w:lineRule="auto"/>
        <w:jc w:val="both"/>
        <w:rPr>
          <w:rFonts w:asciiTheme="majorHAnsi" w:eastAsia="Open Sans" w:hAnsiTheme="majorHAnsi" w:cstheme="majorHAnsi"/>
        </w:rPr>
      </w:pPr>
      <w:r>
        <w:rPr>
          <w:rFonts w:asciiTheme="majorHAnsi" w:eastAsia="Open Sans" w:hAnsiTheme="majorHAnsi" w:cstheme="majorHAnsi"/>
        </w:rPr>
        <w:t>Klauzula równoważności:</w:t>
      </w:r>
    </w:p>
    <w:p w14:paraId="4E8E952A" w14:textId="77777777" w:rsidR="00C73F4C" w:rsidRDefault="00AA31A5">
      <w:pPr>
        <w:numPr>
          <w:ilvl w:val="0"/>
          <w:numId w:val="1"/>
        </w:numPr>
        <w:spacing w:after="0" w:line="240" w:lineRule="auto"/>
        <w:jc w:val="both"/>
        <w:rPr>
          <w:rFonts w:asciiTheme="majorHAnsi" w:eastAsia="Calibri" w:hAnsiTheme="majorHAnsi" w:cstheme="majorHAnsi"/>
        </w:rPr>
      </w:pPr>
      <w:r>
        <w:rPr>
          <w:rFonts w:asciiTheme="majorHAnsi" w:eastAsia="Open Sans" w:hAnsiTheme="majorHAnsi" w:cstheme="majorHAnsi"/>
        </w:rPr>
        <w:t xml:space="preserve">Zamawiający opisuje przedmiot zamówienia bez wskazywania znaków towarowych, patentów lub pochodzenia, źródła lub szczególnego procesu, który mógłby charakteryzować produkty dostarczane przez konkretnego wykonawcę, w sposób, który mógłby prowadzić do uprzywilejowania lub wyeliminowania niektórych wykonawców lub produktów. Jeśli jednak w specyfikacjach technicznych lub innych dokumentach zamówienia pozostanie jakiekolwiek wskazanie: pochodzenia (marka, znak towarowy, producent, dostawca) materiałów lub normy, aprobaty, specyfikacje i systemy, o których mowa w art. 99 ust. 5 ustawy PZP, </w:t>
      </w:r>
      <w:r>
        <w:rPr>
          <w:rFonts w:asciiTheme="majorHAnsi" w:eastAsia="Open Sans" w:hAnsiTheme="majorHAnsi" w:cstheme="majorHAnsi"/>
          <w:b/>
        </w:rPr>
        <w:t xml:space="preserve">Zamawiający dopuszcza oferowanie materiałów lub rozwiązań równoważnych, pod warunkiem, że zagwarantują one prawidłową realizację zamówienia oraz zapewnią uzyskanie </w:t>
      </w:r>
      <w:r>
        <w:rPr>
          <w:rFonts w:asciiTheme="majorHAnsi" w:eastAsia="Open Sans" w:hAnsiTheme="majorHAnsi" w:cstheme="majorHAnsi"/>
          <w:b/>
        </w:rPr>
        <w:lastRenderedPageBreak/>
        <w:t xml:space="preserve">parametrów technicznych nie gorszych od założonych przez Zamawiającego, </w:t>
      </w:r>
      <w:r>
        <w:rPr>
          <w:rFonts w:asciiTheme="majorHAnsi" w:eastAsia="Open Sans" w:hAnsiTheme="majorHAnsi" w:cstheme="majorHAnsi"/>
        </w:rPr>
        <w:t xml:space="preserve">określonych w </w:t>
      </w:r>
      <w:r>
        <w:rPr>
          <w:rFonts w:asciiTheme="majorHAnsi" w:eastAsia="Open Sans" w:hAnsiTheme="majorHAnsi" w:cstheme="majorHAnsi"/>
          <w:b/>
        </w:rPr>
        <w:t>załączniku nr 5 do SWZ.</w:t>
      </w:r>
    </w:p>
    <w:p w14:paraId="4EFD4306" w14:textId="77777777" w:rsidR="00C73F4C" w:rsidRDefault="00AA31A5">
      <w:pPr>
        <w:numPr>
          <w:ilvl w:val="0"/>
          <w:numId w:val="1"/>
        </w:numPr>
        <w:spacing w:after="0" w:line="240" w:lineRule="auto"/>
        <w:jc w:val="both"/>
        <w:rPr>
          <w:rFonts w:asciiTheme="majorHAnsi" w:eastAsia="Open Sans" w:hAnsiTheme="majorHAnsi" w:cstheme="majorHAnsi"/>
        </w:rPr>
      </w:pPr>
      <w:r>
        <w:rPr>
          <w:rFonts w:asciiTheme="majorHAnsi" w:eastAsia="Open Sans" w:hAnsiTheme="majorHAnsi" w:cstheme="majorHAnsi"/>
        </w:rPr>
        <w:t>Wszelkie wyroby opisane w SWZ określają jedynie minimalne parametry techniczne, jakościowe i użytkowe, jakim muszą odpowiadać oferowane wyroby, aby spełnić wymagania stawiane przez Zamawiającego. Jeżeli w SWZ pojawią się nazwy własne charakteryzujące urządzenia lub wyroby dostarczone przez konkretnych producentów, nie są one wiążące dla Wykonawcy. Należy je traktować wyłącznie jako przykładowe dla zobrazowania opisanych parametrów i wymogów technicznych oraz jakościowych, a także doprecyzowanie poziomu oczekiwań Zamawiającego w stosunku do określonego rozwiązania.</w:t>
      </w:r>
    </w:p>
    <w:p w14:paraId="6501240E" w14:textId="77777777" w:rsidR="00C73F4C" w:rsidRDefault="00AA31A5">
      <w:pPr>
        <w:numPr>
          <w:ilvl w:val="0"/>
          <w:numId w:val="1"/>
        </w:numPr>
        <w:spacing w:after="0" w:line="240" w:lineRule="auto"/>
        <w:jc w:val="both"/>
        <w:rPr>
          <w:rFonts w:asciiTheme="majorHAnsi" w:eastAsia="Open Sans" w:hAnsiTheme="majorHAnsi" w:cstheme="majorHAnsi"/>
        </w:rPr>
      </w:pPr>
      <w:r>
        <w:rPr>
          <w:rFonts w:asciiTheme="majorHAnsi" w:eastAsia="Open Sans" w:hAnsiTheme="majorHAnsi" w:cstheme="majorHAnsi"/>
        </w:rPr>
        <w:t>Za równoważne, w stosunku do przedmiotu zamówienia opisanego poprzez znaki towarowe, patenty lub pochodzenie, źródła lub szczególny proces, który charakteryzuje produkty lub usługi konkretnego dostawcy, Zamawiający uzna takie, oferowane przez Wykonawcę wyroby, które pod względem wykonawczym, funkcjonalnym, technicznym, estetycznym, jakościowym i użytkowym będą odpowiadały wymaganiom opisanym w SWZ.</w:t>
      </w:r>
    </w:p>
    <w:p w14:paraId="77D115FC" w14:textId="77777777" w:rsidR="00C73F4C" w:rsidRDefault="00AA31A5">
      <w:pPr>
        <w:numPr>
          <w:ilvl w:val="0"/>
          <w:numId w:val="1"/>
        </w:numPr>
        <w:spacing w:after="0" w:line="240" w:lineRule="auto"/>
        <w:jc w:val="both"/>
        <w:rPr>
          <w:rFonts w:asciiTheme="majorHAnsi" w:eastAsia="Open Sans" w:hAnsiTheme="majorHAnsi" w:cstheme="majorHAnsi"/>
        </w:rPr>
      </w:pPr>
      <w:r>
        <w:rPr>
          <w:rFonts w:asciiTheme="majorHAnsi" w:eastAsia="Open Sans" w:hAnsiTheme="majorHAnsi" w:cstheme="majorHAnsi"/>
        </w:rPr>
        <w:t>Jeżeli w opisie przedmiotu zamówienia zostaną wskazane normy, oceny techniczne, specyfikacje techniczne i systemy referencji technicznej, którym nie będą towarzyszyły dopisane wyrazy „lub równoważne” należy przyjąć, na podstawie niniejszej klauzuli odnoszącej się do całej Specyfikacji Warunków Zamówienia, że obowiązują one i odnoszą się również do tych norm, ocen technicznych, specyfikacji technicznych i systemów referencji technicznej.</w:t>
      </w:r>
    </w:p>
    <w:p w14:paraId="2B4549C7" w14:textId="77777777" w:rsidR="00C73F4C" w:rsidRDefault="00AA31A5">
      <w:pPr>
        <w:numPr>
          <w:ilvl w:val="0"/>
          <w:numId w:val="1"/>
        </w:numPr>
        <w:spacing w:after="0" w:line="240" w:lineRule="auto"/>
        <w:jc w:val="both"/>
        <w:rPr>
          <w:rFonts w:asciiTheme="majorHAnsi" w:eastAsia="Open Sans" w:hAnsiTheme="majorHAnsi" w:cstheme="majorHAnsi"/>
        </w:rPr>
      </w:pPr>
      <w:r>
        <w:rPr>
          <w:rFonts w:asciiTheme="majorHAnsi" w:eastAsia="Open Sans" w:hAnsiTheme="majorHAnsi" w:cstheme="majorHAnsi"/>
        </w:rPr>
        <w:t>Wykonawca, który powołuje się na rozwiązania równoważne, jest zobowiązany wykazać, że oferowane przez niego rozwiązanie w równoważnym stopniu spełnia wymagania określone przez Zamawiającego w opisie przedmiotu zamówienia. W takim przypadku Wykonawca dołączy do oferty wykaz rozwiązań równoważnych wraz z jego opisem lub normami</w:t>
      </w:r>
    </w:p>
    <w:p w14:paraId="1C2C1A0E" w14:textId="77777777" w:rsidR="00C73F4C" w:rsidRDefault="00AA31A5">
      <w:pPr>
        <w:pStyle w:val="Akapitzlist"/>
        <w:numPr>
          <w:ilvl w:val="0"/>
          <w:numId w:val="1"/>
        </w:numPr>
        <w:tabs>
          <w:tab w:val="right" w:pos="8647"/>
        </w:tabs>
        <w:rPr>
          <w:rFonts w:asciiTheme="majorHAnsi" w:hAnsiTheme="majorHAnsi" w:cstheme="majorHAnsi"/>
          <w:b/>
          <w:bCs/>
          <w:sz w:val="22"/>
          <w:szCs w:val="22"/>
          <w:u w:val="single"/>
        </w:rPr>
      </w:pPr>
      <w:r>
        <w:rPr>
          <w:rFonts w:asciiTheme="majorHAnsi" w:hAnsiTheme="majorHAnsi" w:cstheme="majorHAnsi"/>
          <w:b/>
          <w:bCs/>
          <w:sz w:val="22"/>
          <w:szCs w:val="22"/>
          <w:u w:val="single"/>
        </w:rPr>
        <w:t>Odpowiedź</w:t>
      </w:r>
    </w:p>
    <w:p w14:paraId="62F05EDB" w14:textId="77777777" w:rsidR="00C73F4C" w:rsidRDefault="00C73F4C">
      <w:pPr>
        <w:pStyle w:val="Akapitzlist"/>
        <w:tabs>
          <w:tab w:val="right" w:pos="8647"/>
        </w:tabs>
        <w:rPr>
          <w:rFonts w:asciiTheme="majorHAnsi" w:hAnsiTheme="majorHAnsi" w:cstheme="majorHAnsi"/>
          <w:b/>
          <w:bCs/>
          <w:sz w:val="22"/>
          <w:szCs w:val="22"/>
          <w:u w:val="single"/>
        </w:rPr>
      </w:pPr>
    </w:p>
    <w:p w14:paraId="3A73D43F" w14:textId="77777777" w:rsidR="00C73F4C" w:rsidRDefault="00AA31A5">
      <w:pPr>
        <w:tabs>
          <w:tab w:val="right" w:pos="8647"/>
        </w:tabs>
        <w:rPr>
          <w:rFonts w:asciiTheme="majorHAnsi" w:hAnsiTheme="majorHAnsi" w:cstheme="majorHAnsi"/>
          <w:b/>
          <w:bCs/>
        </w:rPr>
      </w:pPr>
      <w:r>
        <w:rPr>
          <w:rFonts w:asciiTheme="majorHAnsi" w:hAnsiTheme="majorHAnsi" w:cstheme="majorHAnsi"/>
          <w:b/>
          <w:bCs/>
        </w:rPr>
        <w:t xml:space="preserve">       </w:t>
      </w:r>
      <w:r>
        <w:rPr>
          <w:rFonts w:asciiTheme="majorHAnsi" w:hAnsiTheme="majorHAnsi" w:cstheme="majorHAnsi"/>
          <w:b/>
          <w:bCs/>
          <w:color w:val="C9211E"/>
        </w:rPr>
        <w:t xml:space="preserve">             </w:t>
      </w:r>
      <w:r>
        <w:rPr>
          <w:rFonts w:asciiTheme="majorHAnsi" w:hAnsiTheme="majorHAnsi" w:cstheme="majorHAnsi"/>
          <w:b/>
          <w:bCs/>
        </w:rPr>
        <w:t>Zamawiający wyraża zgodę na wprowadzenie ww. zmiany. </w:t>
      </w:r>
    </w:p>
    <w:p w14:paraId="543BD2CC" w14:textId="77777777" w:rsidR="005D3778" w:rsidRDefault="005D3778">
      <w:pPr>
        <w:tabs>
          <w:tab w:val="right" w:pos="8647"/>
        </w:tabs>
        <w:rPr>
          <w:rFonts w:asciiTheme="majorHAnsi" w:hAnsiTheme="majorHAnsi" w:cstheme="majorHAnsi"/>
          <w:b/>
          <w:bCs/>
        </w:rPr>
      </w:pPr>
    </w:p>
    <w:p w14:paraId="66510328" w14:textId="77777777" w:rsidR="005D3778" w:rsidRDefault="005D3778">
      <w:pPr>
        <w:tabs>
          <w:tab w:val="right" w:pos="8647"/>
        </w:tabs>
        <w:rPr>
          <w:rFonts w:asciiTheme="majorHAnsi" w:hAnsiTheme="majorHAnsi" w:cstheme="majorHAnsi"/>
          <w:b/>
          <w:bCs/>
        </w:rPr>
      </w:pPr>
    </w:p>
    <w:p w14:paraId="1FAA979E" w14:textId="77777777" w:rsidR="005D3778" w:rsidRDefault="005D3778">
      <w:pPr>
        <w:tabs>
          <w:tab w:val="right" w:pos="8647"/>
        </w:tabs>
      </w:pPr>
    </w:p>
    <w:p w14:paraId="526DEA4C" w14:textId="32D9BCF7" w:rsidR="00C73F4C" w:rsidRPr="005D3778" w:rsidRDefault="005D3778" w:rsidP="005D3778">
      <w:pPr>
        <w:tabs>
          <w:tab w:val="right" w:pos="8647"/>
        </w:tabs>
        <w:spacing w:after="0" w:line="240" w:lineRule="auto"/>
        <w:jc w:val="center"/>
        <w:rPr>
          <w:rFonts w:asciiTheme="majorHAnsi" w:hAnsiTheme="majorHAnsi" w:cstheme="majorHAnsi"/>
        </w:rPr>
      </w:pPr>
      <w:r w:rsidRPr="005D3778">
        <w:rPr>
          <w:rFonts w:asciiTheme="majorHAnsi" w:hAnsiTheme="majorHAnsi" w:cstheme="majorHAnsi"/>
        </w:rPr>
        <w:t xml:space="preserve">                                                                             Podpisane przez:</w:t>
      </w:r>
    </w:p>
    <w:p w14:paraId="3B696FFE" w14:textId="1254A69A" w:rsidR="005D3778" w:rsidRPr="005D3778" w:rsidRDefault="005D3778" w:rsidP="005D3778">
      <w:pPr>
        <w:tabs>
          <w:tab w:val="right" w:pos="8647"/>
        </w:tabs>
        <w:spacing w:after="0" w:line="240" w:lineRule="auto"/>
        <w:jc w:val="right"/>
        <w:rPr>
          <w:rFonts w:asciiTheme="majorHAnsi" w:hAnsiTheme="majorHAnsi" w:cstheme="majorHAnsi"/>
        </w:rPr>
      </w:pPr>
      <w:r w:rsidRPr="005D3778">
        <w:rPr>
          <w:rFonts w:asciiTheme="majorHAnsi" w:hAnsiTheme="majorHAnsi" w:cstheme="majorHAnsi"/>
        </w:rPr>
        <w:t xml:space="preserve">Rajmund </w:t>
      </w:r>
      <w:proofErr w:type="spellStart"/>
      <w:r w:rsidRPr="005D3778">
        <w:rPr>
          <w:rFonts w:asciiTheme="majorHAnsi" w:hAnsiTheme="majorHAnsi" w:cstheme="majorHAnsi"/>
        </w:rPr>
        <w:t>Dedio</w:t>
      </w:r>
      <w:proofErr w:type="spellEnd"/>
      <w:r w:rsidRPr="005D3778">
        <w:rPr>
          <w:rFonts w:asciiTheme="majorHAnsi" w:hAnsiTheme="majorHAnsi" w:cstheme="majorHAnsi"/>
        </w:rPr>
        <w:t xml:space="preserve"> – Burmistrz Miasta Skoczowa</w:t>
      </w:r>
    </w:p>
    <w:sectPr w:rsidR="005D3778" w:rsidRPr="005D3778">
      <w:footerReference w:type="default" r:id="rId8"/>
      <w:headerReference w:type="first" r:id="rId9"/>
      <w:pgSz w:w="11906" w:h="16838"/>
      <w:pgMar w:top="1417" w:right="1558"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49C3" w14:textId="77777777" w:rsidR="00AA31A5" w:rsidRDefault="00AA31A5">
      <w:pPr>
        <w:spacing w:after="0" w:line="240" w:lineRule="auto"/>
      </w:pPr>
      <w:r>
        <w:separator/>
      </w:r>
    </w:p>
  </w:endnote>
  <w:endnote w:type="continuationSeparator" w:id="0">
    <w:p w14:paraId="4C17CA2C" w14:textId="77777777" w:rsidR="00AA31A5" w:rsidRDefault="00A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452057"/>
      <w:docPartObj>
        <w:docPartGallery w:val="Page Numbers (Top of Page)"/>
        <w:docPartUnique/>
      </w:docPartObj>
    </w:sdtPr>
    <w:sdtEndPr/>
    <w:sdtContent>
      <w:p w14:paraId="597BAFB1" w14:textId="77777777" w:rsidR="00C73F4C" w:rsidRDefault="00AA31A5">
        <w:pPr>
          <w:pStyle w:val="Stopka"/>
          <w:jc w:val="center"/>
        </w:pPr>
        <w:r>
          <w:rPr>
            <w:rFonts w:asciiTheme="majorHAnsi" w:hAnsiTheme="majorHAnsi" w:cstheme="majorHAnsi"/>
            <w:sz w:val="18"/>
            <w:szCs w:val="18"/>
          </w:rPr>
          <w:t xml:space="preserve">Strona </w:t>
        </w:r>
        <w:r>
          <w:rPr>
            <w:rFonts w:ascii="Calibri Light" w:hAnsi="Calibri Light" w:cs="Calibri Light"/>
            <w:sz w:val="18"/>
            <w:szCs w:val="18"/>
          </w:rPr>
          <w:fldChar w:fldCharType="begin"/>
        </w:r>
        <w:r>
          <w:rPr>
            <w:rFonts w:ascii="Calibri Light" w:hAnsi="Calibri Light" w:cs="Calibri Light"/>
            <w:sz w:val="18"/>
            <w:szCs w:val="18"/>
          </w:rPr>
          <w:instrText>PAGE</w:instrText>
        </w:r>
        <w:r>
          <w:rPr>
            <w:rFonts w:ascii="Calibri Light" w:hAnsi="Calibri Light" w:cs="Calibri Light"/>
            <w:sz w:val="18"/>
            <w:szCs w:val="18"/>
          </w:rPr>
          <w:fldChar w:fldCharType="separate"/>
        </w:r>
        <w:r>
          <w:rPr>
            <w:rFonts w:ascii="Calibri Light" w:hAnsi="Calibri Light" w:cs="Calibri Light"/>
            <w:sz w:val="18"/>
            <w:szCs w:val="18"/>
          </w:rPr>
          <w:t>2</w:t>
        </w:r>
        <w:r>
          <w:rPr>
            <w:rFonts w:ascii="Calibri Light" w:hAnsi="Calibri Light" w:cs="Calibri Light"/>
            <w:sz w:val="18"/>
            <w:szCs w:val="18"/>
          </w:rPr>
          <w:fldChar w:fldCharType="end"/>
        </w:r>
        <w:r>
          <w:rPr>
            <w:rFonts w:asciiTheme="majorHAnsi" w:hAnsiTheme="majorHAnsi" w:cstheme="majorHAnsi"/>
            <w:sz w:val="18"/>
            <w:szCs w:val="18"/>
          </w:rPr>
          <w:t xml:space="preserve"> z </w:t>
        </w:r>
        <w:r>
          <w:rPr>
            <w:rFonts w:ascii="Calibri Light" w:hAnsi="Calibri Light" w:cs="Calibri Light"/>
            <w:sz w:val="18"/>
            <w:szCs w:val="18"/>
          </w:rPr>
          <w:fldChar w:fldCharType="begin"/>
        </w:r>
        <w:r>
          <w:rPr>
            <w:rFonts w:ascii="Calibri Light" w:hAnsi="Calibri Light" w:cs="Calibri Light"/>
            <w:sz w:val="18"/>
            <w:szCs w:val="18"/>
          </w:rPr>
          <w:instrText>NUMPAGES</w:instrText>
        </w:r>
        <w:r>
          <w:rPr>
            <w:rFonts w:ascii="Calibri Light" w:hAnsi="Calibri Light" w:cs="Calibri Light"/>
            <w:sz w:val="18"/>
            <w:szCs w:val="18"/>
          </w:rPr>
          <w:fldChar w:fldCharType="separate"/>
        </w:r>
        <w:r>
          <w:rPr>
            <w:rFonts w:ascii="Calibri Light" w:hAnsi="Calibri Light" w:cs="Calibri Light"/>
            <w:sz w:val="18"/>
            <w:szCs w:val="18"/>
          </w:rPr>
          <w:t>4</w:t>
        </w:r>
        <w:r>
          <w:rPr>
            <w:rFonts w:ascii="Calibri Light" w:hAnsi="Calibri Light" w:cs="Calibri Light"/>
            <w:sz w:val="18"/>
            <w:szCs w:val="18"/>
          </w:rPr>
          <w:fldChar w:fldCharType="end"/>
        </w:r>
      </w:p>
    </w:sdtContent>
  </w:sdt>
  <w:p w14:paraId="79100C16" w14:textId="77777777" w:rsidR="00C73F4C" w:rsidRDefault="00AA31A5">
    <w:pPr>
      <w:pStyle w:val="Stopka"/>
      <w:tabs>
        <w:tab w:val="clear" w:pos="4536"/>
        <w:tab w:val="clear" w:pos="9072"/>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A6E2" w14:textId="77777777" w:rsidR="00AA31A5" w:rsidRDefault="00AA31A5">
      <w:pPr>
        <w:spacing w:after="0" w:line="240" w:lineRule="auto"/>
      </w:pPr>
      <w:r>
        <w:separator/>
      </w:r>
    </w:p>
  </w:footnote>
  <w:footnote w:type="continuationSeparator" w:id="0">
    <w:p w14:paraId="10627FDB" w14:textId="77777777" w:rsidR="00AA31A5" w:rsidRDefault="00AA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7" w:type="dxa"/>
      <w:tblInd w:w="212" w:type="dxa"/>
      <w:tblLayout w:type="fixed"/>
      <w:tblCellMar>
        <w:left w:w="70" w:type="dxa"/>
        <w:right w:w="70" w:type="dxa"/>
      </w:tblCellMar>
      <w:tblLook w:val="0000" w:firstRow="0" w:lastRow="0" w:firstColumn="0" w:lastColumn="0" w:noHBand="0" w:noVBand="0"/>
    </w:tblPr>
    <w:tblGrid>
      <w:gridCol w:w="1843"/>
      <w:gridCol w:w="7864"/>
    </w:tblGrid>
    <w:tr w:rsidR="00C73F4C" w14:paraId="5E0EFBCD" w14:textId="77777777">
      <w:trPr>
        <w:cantSplit/>
      </w:trPr>
      <w:tc>
        <w:tcPr>
          <w:tcW w:w="1843" w:type="dxa"/>
        </w:tcPr>
        <w:p w14:paraId="374FC5CE" w14:textId="77777777" w:rsidR="00C73F4C" w:rsidRDefault="00AA31A5">
          <w:pPr>
            <w:pStyle w:val="Nagwek"/>
            <w:widowControl w:val="0"/>
            <w:tabs>
              <w:tab w:val="clear" w:pos="4536"/>
              <w:tab w:val="clear" w:pos="9072"/>
            </w:tabs>
            <w:snapToGrid w:val="0"/>
            <w:rPr>
              <w:rFonts w:ascii="Comic Sans MS" w:hAnsi="Comic Sans MS"/>
              <w:spacing w:val="-20"/>
              <w:sz w:val="10"/>
              <w:szCs w:val="10"/>
            </w:rPr>
          </w:pPr>
          <w:r>
            <w:rPr>
              <w:noProof/>
            </w:rPr>
            <w:drawing>
              <wp:inline distT="0" distB="0" distL="0" distR="0" wp14:anchorId="4B04B69F" wp14:editId="0EDEE0E2">
                <wp:extent cx="847725" cy="866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847725" cy="866775"/>
                        </a:xfrm>
                        <a:prstGeom prst="rect">
                          <a:avLst/>
                        </a:prstGeom>
                      </pic:spPr>
                    </pic:pic>
                  </a:graphicData>
                </a:graphic>
              </wp:inline>
            </w:drawing>
          </w:r>
        </w:p>
        <w:p w14:paraId="0A644EC6" w14:textId="77777777" w:rsidR="00C73F4C" w:rsidRDefault="00C73F4C">
          <w:pPr>
            <w:pStyle w:val="Nagwek"/>
            <w:widowControl w:val="0"/>
            <w:tabs>
              <w:tab w:val="clear" w:pos="4536"/>
              <w:tab w:val="clear" w:pos="9072"/>
            </w:tabs>
            <w:snapToGrid w:val="0"/>
            <w:rPr>
              <w:rFonts w:ascii="Comic Sans MS" w:hAnsi="Comic Sans MS"/>
              <w:spacing w:val="-20"/>
              <w:sz w:val="10"/>
              <w:szCs w:val="10"/>
            </w:rPr>
          </w:pPr>
        </w:p>
        <w:p w14:paraId="452EBABA" w14:textId="77777777" w:rsidR="00C73F4C" w:rsidRDefault="00C73F4C">
          <w:pPr>
            <w:pStyle w:val="Nagwek"/>
            <w:widowControl w:val="0"/>
            <w:tabs>
              <w:tab w:val="clear" w:pos="4536"/>
              <w:tab w:val="clear" w:pos="9072"/>
            </w:tabs>
            <w:snapToGrid w:val="0"/>
            <w:rPr>
              <w:rFonts w:ascii="Comic Sans MS" w:hAnsi="Comic Sans MS"/>
              <w:spacing w:val="-20"/>
              <w:sz w:val="10"/>
              <w:szCs w:val="10"/>
            </w:rPr>
          </w:pPr>
        </w:p>
      </w:tc>
      <w:tc>
        <w:tcPr>
          <w:tcW w:w="7863" w:type="dxa"/>
        </w:tcPr>
        <w:p w14:paraId="2CBE3F46" w14:textId="77777777" w:rsidR="00C73F4C" w:rsidRDefault="00C73F4C">
          <w:pPr>
            <w:pStyle w:val="Nagwek"/>
            <w:widowControl w:val="0"/>
            <w:tabs>
              <w:tab w:val="clear" w:pos="4536"/>
              <w:tab w:val="clear" w:pos="9072"/>
            </w:tabs>
            <w:snapToGrid w:val="0"/>
            <w:ind w:left="72"/>
            <w:jc w:val="center"/>
            <w:textAlignment w:val="center"/>
            <w:rPr>
              <w:rFonts w:ascii="Courier New" w:hAnsi="Courier New"/>
              <w:b/>
              <w:bCs/>
              <w:spacing w:val="-20"/>
              <w:sz w:val="32"/>
              <w:szCs w:val="32"/>
            </w:rPr>
          </w:pPr>
        </w:p>
        <w:p w14:paraId="198E21C5" w14:textId="77777777" w:rsidR="00C73F4C" w:rsidRDefault="00AA31A5">
          <w:pPr>
            <w:pStyle w:val="Nagwek"/>
            <w:widowControl w:val="0"/>
            <w:tabs>
              <w:tab w:val="clear" w:pos="4536"/>
              <w:tab w:val="clear" w:pos="9072"/>
            </w:tabs>
            <w:snapToGrid w:val="0"/>
            <w:ind w:left="72"/>
            <w:jc w:val="center"/>
            <w:textAlignment w:val="center"/>
            <w:rPr>
              <w:rFonts w:ascii="Courier New" w:hAnsi="Courier New"/>
              <w:b/>
              <w:bCs/>
              <w:spacing w:val="-20"/>
              <w:sz w:val="40"/>
              <w:szCs w:val="40"/>
            </w:rPr>
          </w:pPr>
          <w:r>
            <w:rPr>
              <w:rFonts w:ascii="Courier New" w:hAnsi="Courier New"/>
              <w:b/>
              <w:bCs/>
              <w:spacing w:val="-20"/>
              <w:sz w:val="40"/>
              <w:szCs w:val="40"/>
            </w:rPr>
            <w:t>Urząd Miejski w Skoczowie</w:t>
          </w:r>
        </w:p>
        <w:p w14:paraId="7CB24506" w14:textId="77777777" w:rsidR="00C73F4C" w:rsidRDefault="00AA31A5">
          <w:pPr>
            <w:pStyle w:val="Nagwek"/>
            <w:widowControl w:val="0"/>
            <w:tabs>
              <w:tab w:val="clear" w:pos="4536"/>
              <w:tab w:val="clear" w:pos="9072"/>
              <w:tab w:val="left" w:pos="1185"/>
            </w:tabs>
            <w:snapToGrid w:val="0"/>
            <w:textAlignment w:val="center"/>
            <w:rPr>
              <w:rFonts w:ascii="Courier New" w:hAnsi="Courier New"/>
              <w:b/>
              <w:bCs/>
              <w:spacing w:val="-20"/>
              <w:sz w:val="48"/>
            </w:rPr>
          </w:pPr>
          <w:r>
            <w:rPr>
              <w:rFonts w:ascii="Courier New" w:hAnsi="Courier New"/>
              <w:b/>
              <w:bCs/>
              <w:spacing w:val="-20"/>
              <w:sz w:val="48"/>
            </w:rPr>
            <w:tab/>
          </w:r>
        </w:p>
      </w:tc>
    </w:tr>
  </w:tbl>
  <w:p w14:paraId="7FDED4CA" w14:textId="77777777" w:rsidR="00C73F4C" w:rsidRDefault="00C73F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45C36"/>
    <w:multiLevelType w:val="multilevel"/>
    <w:tmpl w:val="A184F6CA"/>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35E3E78"/>
    <w:multiLevelType w:val="multilevel"/>
    <w:tmpl w:val="99F6E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00773">
    <w:abstractNumId w:val="0"/>
  </w:num>
  <w:num w:numId="2" w16cid:durableId="35593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4C"/>
    <w:rsid w:val="005D3778"/>
    <w:rsid w:val="00A847B9"/>
    <w:rsid w:val="00AA31A5"/>
    <w:rsid w:val="00C73F4C"/>
    <w:rsid w:val="00D678D5"/>
    <w:rsid w:val="00E72D83"/>
    <w:rsid w:val="00EE51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93BD"/>
  <w15:docId w15:val="{D0BFC249-9715-48EE-AB3F-32E146FE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96710E"/>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705AE3"/>
  </w:style>
  <w:style w:type="character" w:customStyle="1" w:styleId="StopkaZnak">
    <w:name w:val="Stopka Znak"/>
    <w:basedOn w:val="Domylnaczcionkaakapitu"/>
    <w:link w:val="Stopka"/>
    <w:uiPriority w:val="99"/>
    <w:qFormat/>
    <w:rsid w:val="00705AE3"/>
  </w:style>
  <w:style w:type="character" w:customStyle="1" w:styleId="Tekstpodstawowywcity2Znak">
    <w:name w:val="Tekst podstawowy wcięty 2 Znak"/>
    <w:basedOn w:val="Domylnaczcionkaakapitu"/>
    <w:link w:val="Tekstpodstawowywcity2"/>
    <w:qFormat/>
    <w:rsid w:val="00AA7390"/>
    <w:rPr>
      <w:rFonts w:ascii="Times New Roman" w:eastAsia="Times New Roman" w:hAnsi="Times New Roman" w:cs="Times New Roman"/>
      <w:sz w:val="20"/>
      <w:szCs w:val="20"/>
      <w:lang w:eastAsia="pl-PL"/>
    </w:rPr>
  </w:style>
  <w:style w:type="paragraph" w:styleId="Nagwek">
    <w:name w:val="header"/>
    <w:basedOn w:val="Normalny"/>
    <w:next w:val="Tekstpodstawowy"/>
    <w:link w:val="NagwekZnak"/>
    <w:unhideWhenUsed/>
    <w:rsid w:val="00705AE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05AE3"/>
    <w:pPr>
      <w:tabs>
        <w:tab w:val="center" w:pos="4536"/>
        <w:tab w:val="right" w:pos="9072"/>
      </w:tabs>
      <w:spacing w:after="0" w:line="240" w:lineRule="auto"/>
    </w:pPr>
  </w:style>
  <w:style w:type="paragraph" w:styleId="Tekstpodstawowywcity2">
    <w:name w:val="Body Text Indent 2"/>
    <w:basedOn w:val="Normalny"/>
    <w:link w:val="Tekstpodstawowywcity2Znak"/>
    <w:qFormat/>
    <w:rsid w:val="00AA7390"/>
    <w:pPr>
      <w:spacing w:after="120" w:line="480" w:lineRule="auto"/>
      <w:ind w:left="283"/>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944D-F8F7-42E9-973D-6080B1F3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7983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dc:description/>
  <cp:lastModifiedBy>Katarzyna Doleszczak-Jakubiec</cp:lastModifiedBy>
  <cp:revision>4</cp:revision>
  <cp:lastPrinted>2023-02-20T08:38:00Z</cp:lastPrinted>
  <dcterms:created xsi:type="dcterms:W3CDTF">2024-07-30T07:42:00Z</dcterms:created>
  <dcterms:modified xsi:type="dcterms:W3CDTF">2024-07-30T12:36:00Z</dcterms:modified>
  <dc:language>pl-PL</dc:language>
</cp:coreProperties>
</file>