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FDF" w:rsidRPr="00A52C9E" w:rsidRDefault="00DA5FDF" w:rsidP="00DA5FDF">
      <w:pPr>
        <w:keepNext/>
        <w:suppressAutoHyphens/>
        <w:spacing w:after="0" w:line="240" w:lineRule="auto"/>
        <w:jc w:val="right"/>
        <w:outlineLvl w:val="2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bookmarkStart w:id="0" w:name="_Toc971133321"/>
      <w:bookmarkStart w:id="1" w:name="_Toc112828550"/>
      <w:r w:rsidRPr="00A52C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A52C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</w:t>
      </w:r>
      <w:r w:rsidRPr="00A52C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bookmarkEnd w:id="0"/>
      <w:bookmarkEnd w:id="1"/>
      <w:r w:rsidRPr="00A52C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</w:p>
    <w:p w:rsidR="00DA5FDF" w:rsidRPr="00A52C9E" w:rsidRDefault="00DA5FDF" w:rsidP="00DA5FDF">
      <w:pPr>
        <w:keepNext/>
        <w:suppressAutoHyphens/>
        <w:spacing w:after="0" w:line="240" w:lineRule="auto"/>
        <w:jc w:val="right"/>
        <w:outlineLvl w:val="2"/>
        <w:rPr>
          <w:rFonts w:ascii="Book Antiqua" w:eastAsia="Times New Roman" w:hAnsi="Book Antiqua"/>
          <w:b/>
          <w:bCs/>
          <w:sz w:val="20"/>
          <w:szCs w:val="20"/>
          <w:lang w:eastAsia="pl-PL"/>
        </w:rPr>
      </w:pPr>
      <w:bookmarkStart w:id="2" w:name="_Toc971133331"/>
      <w:bookmarkStart w:id="3" w:name="_Toc112828551"/>
      <w:r w:rsidRPr="00A52C9E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Opis przedmiotu zamówienia</w:t>
      </w:r>
      <w:bookmarkEnd w:id="2"/>
      <w:bookmarkEnd w:id="3"/>
    </w:p>
    <w:p w:rsidR="00DA5FDF" w:rsidRPr="00A52C9E" w:rsidRDefault="00DA5FDF" w:rsidP="00DA5FDF">
      <w:pPr>
        <w:suppressAutoHyphens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2C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Nazwa zadania: </w:t>
      </w:r>
    </w:p>
    <w:p w:rsidR="00DA5FDF" w:rsidRPr="004D4691" w:rsidRDefault="00DA5FDF" w:rsidP="00DA5FDF">
      <w:pPr>
        <w:pStyle w:val="Akapitzlist"/>
        <w:ind w:left="0"/>
        <w:rPr>
          <w:rFonts w:ascii="Arial" w:hAnsi="Arial" w:cs="Arial"/>
          <w:b/>
          <w:sz w:val="24"/>
          <w:szCs w:val="24"/>
          <w:lang w:val="pl-PL"/>
        </w:rPr>
      </w:pPr>
      <w:r w:rsidRPr="003106D6">
        <w:rPr>
          <w:rStyle w:val="markedcontent"/>
          <w:rFonts w:ascii="Arial" w:hAnsi="Arial" w:cs="Arial"/>
          <w:b/>
          <w:sz w:val="24"/>
          <w:szCs w:val="24"/>
        </w:rPr>
        <w:t>Z</w:t>
      </w:r>
      <w:r w:rsidRPr="003106D6">
        <w:rPr>
          <w:rFonts w:ascii="Arial" w:hAnsi="Arial" w:cs="Arial"/>
          <w:b/>
          <w:sz w:val="24"/>
          <w:szCs w:val="24"/>
        </w:rPr>
        <w:t>akup i dostawa sprzętu i oprogramowania w ramach projektu „Cyfrowa Gmina”</w:t>
      </w:r>
      <w:r w:rsidRPr="003106D6">
        <w:rPr>
          <w:rFonts w:ascii="Arial" w:eastAsia="DejaVu Sans" w:hAnsi="Arial" w:cs="Arial"/>
          <w:b/>
          <w:color w:val="000000"/>
          <w:kern w:val="2"/>
          <w:sz w:val="24"/>
          <w:szCs w:val="24"/>
          <w:shd w:val="clear" w:color="auto" w:fill="FFFFFF"/>
          <w:lang w:eastAsia="ar-SA"/>
        </w:rPr>
        <w:t xml:space="preserve"> – </w:t>
      </w:r>
      <w:r w:rsidRPr="003106D6">
        <w:rPr>
          <w:rFonts w:ascii="Arial" w:hAnsi="Arial" w:cs="Arial"/>
          <w:b/>
          <w:bCs/>
          <w:sz w:val="24"/>
          <w:szCs w:val="24"/>
        </w:rPr>
        <w:t>Część nr 2 – Modernizacja wewnętrznej sieci LAN</w:t>
      </w:r>
    </w:p>
    <w:tbl>
      <w:tblPr>
        <w:tblW w:w="1488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953"/>
        <w:gridCol w:w="8931"/>
      </w:tblGrid>
      <w:tr w:rsidR="00DA5FDF" w:rsidRPr="00A52C9E" w:rsidTr="00BE06FE">
        <w:trPr>
          <w:trHeight w:val="554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Wykonawcy</w:t>
            </w:r>
          </w:p>
        </w:tc>
      </w:tr>
      <w:tr w:rsidR="00DA5FDF" w:rsidRPr="00A52C9E" w:rsidTr="00BE06FE">
        <w:trPr>
          <w:trHeight w:val="415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pacing w:after="24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DA5FDF" w:rsidRPr="00A52C9E" w:rsidRDefault="00DA5FDF" w:rsidP="00DA5FDF">
      <w:pPr>
        <w:suppressAutoHyphens/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DA5FDF" w:rsidRPr="00A52C9E" w:rsidRDefault="00DA5FDF" w:rsidP="00DA5FDF">
      <w:pPr>
        <w:suppressAutoHyphens/>
        <w:spacing w:after="0"/>
        <w:ind w:left="1843" w:hanging="1417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A52C9E">
        <w:rPr>
          <w:rFonts w:ascii="Arial" w:hAnsi="Arial" w:cs="Arial"/>
          <w:b/>
          <w:bCs/>
          <w:sz w:val="24"/>
          <w:szCs w:val="24"/>
          <w:lang w:eastAsia="pl-PL"/>
        </w:rPr>
        <w:t xml:space="preserve">Część nr 2 – </w:t>
      </w:r>
      <w:r w:rsidRPr="00A52C9E">
        <w:rPr>
          <w:rFonts w:ascii="Arial" w:hAnsi="Arial" w:cs="Arial"/>
          <w:b/>
          <w:bCs/>
          <w:sz w:val="24"/>
          <w:szCs w:val="24"/>
          <w:lang w:eastAsia="pl-PL"/>
        </w:rPr>
        <w:tab/>
        <w:t>Modernizacja wewnętrznej sieci LAN</w:t>
      </w:r>
    </w:p>
    <w:p w:rsidR="00DA5FDF" w:rsidRPr="00A52C9E" w:rsidRDefault="00DA5FDF" w:rsidP="00DA5FDF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C9E">
        <w:rPr>
          <w:rFonts w:ascii="Arial" w:eastAsia="Times New Roman" w:hAnsi="Arial" w:cs="Arial"/>
          <w:b/>
          <w:sz w:val="24"/>
          <w:szCs w:val="24"/>
          <w:lang w:eastAsia="pl-PL"/>
        </w:rPr>
        <w:t>Specyfikacja techniczna/formularz do wypełnienia przez Wykonawcę</w:t>
      </w:r>
    </w:p>
    <w:p w:rsidR="00DA5FDF" w:rsidRPr="00A52C9E" w:rsidRDefault="00DA5FDF" w:rsidP="00DA5FD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27" w:type="dxa"/>
        <w:tblLayout w:type="fixed"/>
        <w:tblLook w:val="04A0" w:firstRow="1" w:lastRow="0" w:firstColumn="1" w:lastColumn="0" w:noHBand="0" w:noVBand="1"/>
      </w:tblPr>
      <w:tblGrid>
        <w:gridCol w:w="2582"/>
        <w:gridCol w:w="6881"/>
        <w:gridCol w:w="5464"/>
      </w:tblGrid>
      <w:tr w:rsidR="00DA5FDF" w:rsidRPr="00A52C9E" w:rsidTr="00BE06FE">
        <w:trPr>
          <w:trHeight w:val="487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komponentu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Wymagane parametry minimalne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Potwierdzenie spełnienia wymagań</w:t>
            </w:r>
          </w:p>
          <w:p w:rsidR="00DA5FDF" w:rsidRPr="00A52C9E" w:rsidRDefault="00DA5FDF" w:rsidP="00BE06FE">
            <w:pPr>
              <w:widowControl w:val="0"/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(Należy wpisać SPEŁNIA oraz podać istotne parametry faktyczne)*</w:t>
            </w:r>
          </w:p>
        </w:tc>
      </w:tr>
      <w:tr w:rsidR="00DA5FDF" w:rsidRPr="00A52C9E" w:rsidTr="00BE06FE">
        <w:trPr>
          <w:trHeight w:val="30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/>
              </w:rPr>
            </w:pPr>
            <w:r w:rsidRPr="00A52C9E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/>
              </w:rPr>
              <w:t>Ilość punktów elektryczno-logicznych (PEL)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A52C9E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50 PEL</w:t>
            </w:r>
            <w:r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</w:t>
            </w: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(punkt elektryczno-logiczny)</w:t>
            </w:r>
          </w:p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(Szczegółowa lokalizacja PEL zostanie wskazana na etapie opracowania projektu wykonawczego.)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A5FDF" w:rsidRPr="00A52C9E" w:rsidTr="00BE06FE">
        <w:trPr>
          <w:trHeight w:val="56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/>
              </w:rPr>
            </w:pPr>
            <w:r w:rsidRPr="00A52C9E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pl-PL"/>
              </w:rPr>
              <w:t>Elementy składowe każdego punktu elektryczno-logicznego (PEL)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DA5FDF">
            <w:pPr>
              <w:widowControl w:val="0"/>
              <w:numPr>
                <w:ilvl w:val="0"/>
                <w:numId w:val="14"/>
              </w:numPr>
              <w:tabs>
                <w:tab w:val="clear" w:pos="720"/>
              </w:tabs>
              <w:suppressAutoHyphens/>
              <w:spacing w:after="0" w:line="240" w:lineRule="auto"/>
              <w:ind w:left="27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dwa gniazda RJ45 (montowane w kanałach instalacyjnych natynkowych) kategorii 6a lub wyższej oraz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4"/>
              </w:numPr>
              <w:tabs>
                <w:tab w:val="clear" w:pos="720"/>
              </w:tabs>
              <w:suppressAutoHyphens/>
              <w:snapToGrid w:val="0"/>
              <w:spacing w:after="0" w:line="240" w:lineRule="auto"/>
              <w:ind w:left="283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dwa gniazda elektryczne 230V (montowane w korycie) z blokadą uniemożliwiającą podłączenie nieuprawnionych odbiorników.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A5FDF" w:rsidRPr="00A52C9E" w:rsidTr="00BE06FE">
        <w:trPr>
          <w:trHeight w:val="4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Wymagania </w:t>
            </w:r>
            <w:r w:rsidRPr="00A52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dotyczące dostarczonej szafy serwerowej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DA5FDF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27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Wysokość 37U (max 1800 mm),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Szerokość nie mniej niż 600x800 mm,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Wyposażenie szafy:</w:t>
            </w:r>
          </w:p>
          <w:p w:rsidR="00DA5FDF" w:rsidRPr="00A52C9E" w:rsidRDefault="00DA5FDF" w:rsidP="00DA5FDF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56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panel wentylacyjny,</w:t>
            </w:r>
          </w:p>
          <w:p w:rsidR="00DA5FDF" w:rsidRPr="00A52C9E" w:rsidRDefault="00DA5FDF" w:rsidP="00DA5FDF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56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panele krosowe modularne kat.6,</w:t>
            </w:r>
          </w:p>
          <w:p w:rsidR="00DA5FDF" w:rsidRPr="00A52C9E" w:rsidRDefault="00DA5FDF" w:rsidP="00DA5FDF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56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panele z prowadnicami kabla w ilości równej panelom </w:t>
            </w:r>
            <w:proofErr w:type="spellStart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krosowniczym</w:t>
            </w:r>
            <w:proofErr w:type="spellEnd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:rsidR="00DA5FDF" w:rsidRPr="00A52C9E" w:rsidRDefault="00DA5FDF" w:rsidP="00DA5FDF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56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listwy zasilające,</w:t>
            </w:r>
          </w:p>
          <w:p w:rsidR="00DA5FDF" w:rsidRPr="00A52C9E" w:rsidRDefault="00DA5FDF" w:rsidP="00DA5FDF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56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półki o głębokości min 600 mm i obciążalności min 80 kg każda,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Konfiguracja szafy:</w:t>
            </w:r>
          </w:p>
          <w:p w:rsidR="00DA5FDF" w:rsidRPr="00A52C9E" w:rsidRDefault="00DA5FDF" w:rsidP="00DA5FDF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56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standardowo wyposażona przez producenta w drzwi przednie oszklone z możliwością zmiany strony mocowania,</w:t>
            </w:r>
          </w:p>
          <w:p w:rsidR="00DA5FDF" w:rsidRPr="00A52C9E" w:rsidRDefault="00DA5FDF" w:rsidP="00DA5FDF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56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zdejmowane osłony boczne i tylna,</w:t>
            </w:r>
          </w:p>
          <w:p w:rsidR="00DA5FDF" w:rsidRPr="00A52C9E" w:rsidRDefault="00DA5FDF" w:rsidP="00DA5FDF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56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wyprowadzenia kabli przez podłogę sufit oraz tył szafy,</w:t>
            </w:r>
          </w:p>
          <w:p w:rsidR="00DA5FDF" w:rsidRPr="00A52C9E" w:rsidRDefault="00DA5FDF" w:rsidP="00DA5FDF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56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profile montażowe regulowane,</w:t>
            </w:r>
          </w:p>
          <w:p w:rsidR="00DA5FDF" w:rsidRPr="00A52C9E" w:rsidRDefault="00DA5FDF" w:rsidP="00DA5FDF">
            <w:pPr>
              <w:widowControl w:val="0"/>
              <w:numPr>
                <w:ilvl w:val="1"/>
                <w:numId w:val="12"/>
              </w:numPr>
              <w:suppressAutoHyphens/>
              <w:spacing w:after="0" w:line="240" w:lineRule="auto"/>
              <w:ind w:left="567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inne, standardowe dołączane przez producenta wyposażenie.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A5FDF" w:rsidRPr="00A52C9E" w:rsidTr="00BE06FE">
        <w:trPr>
          <w:trHeight w:val="21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A5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Prace </w:t>
            </w:r>
            <w:r w:rsidRPr="00A52C9E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przewidziane</w:t>
            </w:r>
            <w:r w:rsidRPr="00A5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w ramach instalacji okablowania strukturalnego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DA5FDF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uppressAutoHyphens/>
              <w:spacing w:after="0" w:line="240" w:lineRule="auto"/>
              <w:ind w:left="278" w:hanging="27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budowa nowych tras kablowych,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układanie kabli w nowych i istniejących trasach,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instalacja punktów PEL - (punkt elektryczno-logiczny),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montaż paneli krosowych 48xRJ45 w szafie serwerowej i ewentualnych szafach dystrybucyjnych,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dostarczenie i montaż szafy serwerowej i ewentualnych szaf dystrybucyjnych oraz </w:t>
            </w:r>
            <w:proofErr w:type="spellStart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patchpaneli</w:t>
            </w:r>
            <w:proofErr w:type="spellEnd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krosowych RJ45 kat. 6; ilość paneli należy dostosować do liczby instalowanych </w:t>
            </w: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gniazd z zapewnieniem 50% nadmiarowości,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terminowanie kabli w osprzęcie przyłączeniowym,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uppressAutoHyphens/>
              <w:snapToGrid w:val="0"/>
              <w:spacing w:after="0" w:line="240" w:lineRule="auto"/>
              <w:ind w:left="283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pomiary tras kablowych, wykonanie dokumentacji powykonawczej.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DA5FDF" w:rsidRPr="00A52C9E" w:rsidTr="00BE06FE">
        <w:trPr>
          <w:trHeight w:val="33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Wymagane  parametry funkcjonalno-użytkowe  okablowania strukturalnego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DA5FDF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283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system okablowania strukturalnego co najmniej kategorii 6a musi zapewnić możliwość transmisji głosu, danych, sygnałów wideo,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283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okablowaniu muszą być zastosowane 4-parowe kable symetryczne UTP, które charakteryzują się parametrami i jakością niezbędną do prawidłowej pracy systemu zarówno w chwili obecnej, jak i w przyszłości,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283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budowane trasy mają być prowadzone w kanale instalacyjnym natynkowym (korytka PCV),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283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izolacja zewnętrzna okablowania miedzianego musi być wykonana z PVC lub z materiału LSZH nie wydzielającego toksycznych oparów podczas spalania (nie zawiera halogenu),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283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okablowaniu wszystkie komponenty (w tym parametry transmisyjne) muszą charakteryzować się pełną zgodnością ze specyfikacją dla kategorii 6,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283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moduły RJ45 powinny być zarabiane narzędziowo,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283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gniazda naścienne i na panelu krosowym muszą być oznaczone tj. posiadać czytelną numerację na obydwu końcach toru,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283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wymiar panelu krosowego musi być następujący - szerokość 19”, max wysokość 2 U,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283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panel musi umożliwić zamontowanie min. 24 modułów </w:t>
            </w: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RJ45,</w:t>
            </w:r>
          </w:p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ind w:left="278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okablowanie musi bazować na jednorodnym rozwiązaniu systemu okablowania strukturalnego, którego wszystkie elementy toru transmisyjnego pochodzą od tego samego producenta.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DA5FDF" w:rsidRPr="00A52C9E" w:rsidTr="00BE06FE">
        <w:trPr>
          <w:trHeight w:val="26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Wymagania dotyczące wykonania dedykowanej instalacji elektrycznej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DA5FDF">
            <w:pPr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pacing w:after="0" w:line="240" w:lineRule="auto"/>
              <w:ind w:left="27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rozbudowa instalacji elektrycznej gniazd wtykowych zasilania dedykowanego – dwa gniazda na PEL,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rozbudowa istniejących rozdzielnic lub ich wymiany (w przypadku braku możliwości rozbudowy),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wykonania dedykowanej instalacji zasilającej w układzie TN-S,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wszystkie gniazda elektrycznej sieci zasilającej, powinny posiadać zabezpieczenie w postaci klucza typu DATA, aby uniemożliwić podłączenia dowolnych urządzeń elektrycznych i tym samym wprowadzić podniesienie bezpieczeństwa użytkowania. Wymagane jest dostarczenie kluczy w ilości nie mniejszej niż ilości odpowiadającej zainstalowanym gniazdom,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budowy toru zasilającego koniecznym jest użycie przewodów izolowanych YDY – 750V, 3x2,5 mm2 lub innych o porównywalnych parametrach izolacyjno-eksploatacyjnych,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obwody elektryczne w obrębie pomieszczeń mają być prowadzone łącznie z instalacją logiczną w kanale instalacyjnym natynkowym (korytka PCV) - rozdzielone przegrodą lub w odrębnych kanałach,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należy zaprojektować max. 5 urządzeń na jeden obwód </w:t>
            </w: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zabezpieczający,</w:t>
            </w:r>
          </w:p>
          <w:p w:rsidR="00DA5FDF" w:rsidRPr="00A52C9E" w:rsidRDefault="00DA5FDF" w:rsidP="00DA5FDF">
            <w:pPr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uppressAutoHyphens/>
              <w:spacing w:after="0" w:line="240" w:lineRule="auto"/>
              <w:ind w:left="283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każdy obwód elektryczny musi zostać zabezpieczony wyłącznikiem przepięciowym i różnicowo-prądowym.</w:t>
            </w:r>
          </w:p>
          <w:p w:rsidR="00DA5FDF" w:rsidRPr="00A52C9E" w:rsidRDefault="00DA5FDF" w:rsidP="00BE06FE">
            <w:pPr>
              <w:widowControl w:val="0"/>
              <w:suppressAutoHyphens/>
              <w:spacing w:after="0"/>
              <w:ind w:left="7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Instalację należy zasilić z dedykowanej rozdzielni głównej budynku.</w:t>
            </w:r>
          </w:p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istniejących tablic rozdzielczych zostanie wykonane zasilanie YDY-</w:t>
            </w:r>
            <w:proofErr w:type="spellStart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żo</w:t>
            </w:r>
            <w:proofErr w:type="spellEnd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5x10mm.</w:t>
            </w:r>
          </w:p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instalacji zostanie zamontowany podlicznik energii elektrycznej.</w:t>
            </w:r>
          </w:p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poprawienia wartości uziomu, który nie powinien przekraczać wartości 10Ω, jeżeli zajdzie taka potrzeba, zostaną wbite pręty </w:t>
            </w:r>
            <w:proofErr w:type="spellStart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pomiedziowane</w:t>
            </w:r>
            <w:proofErr w:type="spellEnd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typu </w:t>
            </w:r>
            <w:proofErr w:type="spellStart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galmar</w:t>
            </w:r>
            <w:proofErr w:type="spellEnd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okolicy istniejącego złącza kablowego na zewnątrz budynku, aby zapewnić prawidłowe funkcjonowanie ochrony TN-S w całym obiekcie.</w:t>
            </w:r>
          </w:p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istniejących tablicach elektrycznych zostaną umieszczone zabezpieczenia gniazd zasilania komputerowego.</w:t>
            </w:r>
          </w:p>
          <w:p w:rsidR="00DA5FDF" w:rsidRPr="00A52C9E" w:rsidRDefault="00DA5FDF" w:rsidP="00BE06FE">
            <w:pPr>
              <w:widowControl w:val="0"/>
              <w:suppressAutoHyphens/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Szafa serwerowa będzie podłączona do osobnego zabezpieczenia przepięciowego i różnicowo-prądowego niż PEL.</w:t>
            </w:r>
          </w:p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przypadku, gdy istniejące tablice okażą się za małe, zostaną wymienione na nowe.</w:t>
            </w:r>
          </w:p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Instalacja gniazd wtyczkowych zostanie wykonana przewodami miedzianymi typu YDY-</w:t>
            </w:r>
            <w:proofErr w:type="spellStart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żo</w:t>
            </w:r>
            <w:proofErr w:type="spellEnd"/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3x750V o przekroju 2,5 mm. z osobną żyłą „N” i PE. Wszystkie gniazda wtyczkowe będą posiadać bolec ochronny.</w:t>
            </w:r>
          </w:p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Obwód gniazd komputerowych 230V, w tablicach elektrycznych zostanie zabezpieczony wyłącznikiem różnicowo-prądowym 16A, ΔI=0,03A, o charakterystyce typu „A”.</w:t>
            </w:r>
          </w:p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Jako dodatkową ochronę od porażeń prądem elektrycznym po stronie nn-0,4kV zastosowane zostaną „samoczynne wyłączanie zasilania” w układzie TN-C-S (dla sieci zasilającej układ TN-C, dla odbiorczej TN-S). W celu zapewnienia ochrony przepięciowej, zastosowane zostaną odgromniki 4xDEHNbloc i ochronniki przepięciowe 4xDEHNquard. Dla prawidłowego funkcjonowania ochrony przepięciowej zastosowany zostanie dławiki typu </w:t>
            </w:r>
            <w:proofErr w:type="spellStart"/>
            <w:r w:rsidRPr="00A5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DEHNbridge</w:t>
            </w:r>
            <w:proofErr w:type="spellEnd"/>
            <w:r w:rsidRPr="00A5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DA5FDF" w:rsidRPr="00A52C9E" w:rsidTr="00BE06FE">
        <w:trPr>
          <w:trHeight w:val="49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Gwarancja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5 lat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  <w:tr w:rsidR="00DA5FDF" w:rsidRPr="00A52C9E" w:rsidTr="00BE06FE">
        <w:trPr>
          <w:trHeight w:val="49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Dodatkowe informacje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2C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Elementy PEL (punktów elektryczno-logicznych) oraz szafy serwerowej muszą być fabrycznie nowe, wcześniej nie używane, dostarczone z wszystkimi standardowo dołączanymi przez producenta elementami.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DF" w:rsidRPr="00A52C9E" w:rsidRDefault="00DA5FDF" w:rsidP="00BE06FE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</w:tbl>
    <w:p w:rsidR="00DA5FDF" w:rsidRPr="00A52C9E" w:rsidRDefault="00DA5FDF" w:rsidP="00DA5FDF">
      <w:pPr>
        <w:suppressAutoHyphens/>
        <w:spacing w:after="1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C9E">
        <w:rPr>
          <w:rFonts w:ascii="Arial" w:eastAsia="Times New Roman" w:hAnsi="Arial" w:cs="Arial"/>
          <w:b/>
          <w:sz w:val="24"/>
          <w:szCs w:val="24"/>
          <w:lang w:eastAsia="pl-PL"/>
        </w:rPr>
        <w:t>UWAGA:</w:t>
      </w:r>
    </w:p>
    <w:p w:rsidR="00DA5FDF" w:rsidRPr="00A52C9E" w:rsidRDefault="00DA5FDF" w:rsidP="00DA5FDF">
      <w:pPr>
        <w:suppressAutoHyphens/>
        <w:spacing w:after="160"/>
        <w:ind w:firstLine="360"/>
        <w:rPr>
          <w:rFonts w:ascii="Arial" w:hAnsi="Arial" w:cs="Arial"/>
          <w:b/>
          <w:sz w:val="24"/>
          <w:szCs w:val="24"/>
          <w:lang w:eastAsia="pl-PL"/>
        </w:rPr>
      </w:pPr>
      <w:r w:rsidRPr="00A52C9E">
        <w:rPr>
          <w:rFonts w:ascii="Arial" w:hAnsi="Arial" w:cs="Arial"/>
          <w:b/>
          <w:sz w:val="24"/>
          <w:szCs w:val="24"/>
          <w:lang w:eastAsia="pl-PL"/>
        </w:rPr>
        <w:t>Wypełnioną i podpisaną tabelę należy złożyć wraz z ofertą.</w:t>
      </w:r>
    </w:p>
    <w:p w:rsidR="00DA5FDF" w:rsidRPr="00A52C9E" w:rsidRDefault="00DA5FDF" w:rsidP="00DA5FDF">
      <w:pPr>
        <w:suppressAutoHyphens/>
        <w:spacing w:after="160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2C9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*Prawą stronę tabeli należy wypełnić stosując słowa „spełnia” lub „nie spełnia”, zaś w przypadku żądania wykazania wpisu określonych parametrów, należy wpisać oferowane konkretne, rzeczowe wartości. W przypadku, gdy Wykonawca, w którejkolwiek z pozycji wpisze słowa „nie spełnia” lub zaoferuje niższe wartości, oferta zostanie odrzucona, gdyż jej treść nie odpowiada treści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OP</w:t>
      </w:r>
      <w:r w:rsidRPr="00A52C9E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</w:p>
    <w:p w:rsidR="00DA5FDF" w:rsidRDefault="00DA5FDF" w:rsidP="00DA5FDF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4" w:name="_Toc112828553"/>
    </w:p>
    <w:p w:rsidR="00DA5FDF" w:rsidRDefault="00DA5FDF" w:rsidP="00DA5FDF">
      <w:pPr>
        <w:rPr>
          <w:rFonts w:ascii="Arial" w:hAnsi="Arial" w:cs="Arial"/>
          <w:sz w:val="24"/>
          <w:szCs w:val="24"/>
        </w:rPr>
      </w:pPr>
      <w:bookmarkStart w:id="5" w:name="_GoBack"/>
      <w:bookmarkEnd w:id="5"/>
      <w:r w:rsidRPr="00A52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(Oświadczenie musi być opatrzone przez osobę lub osoby uprawnione do reprezentowania Wykonawcy kwalifikowanym podpisem elektronicznym lub podpisem zaufanym lub elektronicznym podpisem osobisty</w:t>
      </w:r>
      <w:bookmarkStart w:id="6" w:name="_Toc105677337"/>
      <w:bookmarkEnd w:id="6"/>
      <w:r w:rsidRPr="00A52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</w:t>
      </w:r>
      <w:bookmarkStart w:id="7" w:name="_Toc111813675"/>
      <w:bookmarkStart w:id="8" w:name="_Toc106889673"/>
      <w:bookmarkEnd w:id="7"/>
      <w:bookmarkEnd w:id="8"/>
      <w:r w:rsidRPr="00A52C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bookmarkEnd w:id="4"/>
    </w:p>
    <w:p w:rsidR="00EF5BB3" w:rsidRPr="00DA5FDF" w:rsidRDefault="00EF5BB3" w:rsidP="00DA5FDF"/>
    <w:sectPr w:rsidR="00EF5BB3" w:rsidRPr="00DA5FDF" w:rsidSect="00DA5FDF">
      <w:headerReference w:type="default" r:id="rId7"/>
      <w:footerReference w:type="default" r:id="rId8"/>
      <w:pgSz w:w="16838" w:h="11906" w:orient="landscape"/>
      <w:pgMar w:top="1418" w:right="1418" w:bottom="1418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D90" w:rsidRDefault="00567D90" w:rsidP="009608EC">
      <w:pPr>
        <w:spacing w:after="0" w:line="240" w:lineRule="auto"/>
      </w:pPr>
      <w:r>
        <w:separator/>
      </w:r>
    </w:p>
  </w:endnote>
  <w:endnote w:type="continuationSeparator" w:id="0">
    <w:p w:rsidR="00567D90" w:rsidRDefault="00567D90" w:rsidP="0096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9241972"/>
      <w:docPartObj>
        <w:docPartGallery w:val="Page Numbers (Bottom of Page)"/>
        <w:docPartUnique/>
      </w:docPartObj>
    </w:sdtPr>
    <w:sdtContent>
      <w:p w:rsidR="00D236DB" w:rsidRPr="00D236DB" w:rsidRDefault="00D236DB" w:rsidP="00D236DB">
        <w:pPr>
          <w:pStyle w:val="Stopka"/>
          <w:jc w:val="center"/>
          <w:rPr>
            <w:rFonts w:ascii="Arial" w:eastAsia="Times New Roman" w:hAnsi="Arial" w:cs="Arial"/>
            <w:color w:val="000000"/>
            <w:sz w:val="24"/>
            <w:szCs w:val="24"/>
            <w:lang w:eastAsia="pl-PL"/>
          </w:rPr>
        </w:pPr>
        <w:r w:rsidRPr="00D236DB"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118744</wp:posOffset>
                  </wp:positionV>
                  <wp:extent cx="5905500" cy="0"/>
                  <wp:effectExtent l="0" t="0" r="0" b="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05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85E55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6" type="#_x0000_t32" style="position:absolute;margin-left:-4.5pt;margin-top:9.35pt;width:46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rqOwIAAFAEAAAOAAAAZHJzL2Uyb0RvYy54bWysVM2O2jAQvlfqO1i5QxJIKESEVZVAL9sW&#10;abcPYGyHWCS2ZRsCVD10pX2z3ffq2PyIbS9V1RycccbzzTcznzO927cN2jFtuBR5EPejADFBJOVi&#10;nQffHhe9cYCMxYLiRgqWBwdmgrvZ+3fTTmVsIGvZUKYRgAiTdSoPamtVFoaG1KzFpi8VE+CspG6x&#10;ha1eh1TjDtDbJhxE0SjspKZKS8KMga/lyRnMPH5VMWK/VpVhFjV5ANysX7VfV24NZ1OcrTVWNSdn&#10;GvgfWLSYC0h6hSqxxWir+R9QLSdaGlnZPpFtKKuKE+ZrgGri6LdqHmqsmK8FmmPUtU3m/8GSL7ul&#10;RpzmwTBAArcwotefL8/kKPgGQV+NPaAjgxHqI3592rw8o6HrWadMBqGFWGpXNdmLB3UvycYgIYsa&#10;izXz3B8PCgBjFxG+CXEboyDzqvssKZzBWyt9A/eVbh0ktAbt/ZwO1zmxvUUEPqaTKE0jGCe5+EKc&#10;XQKVNvYTky2wNzBuYI75uraFFALUIHXs0+DdvbGOFs4uAS6rkAveNF4UjUBdHkzSQeoDjGw4dU53&#10;zOj1qmg02mEnK//4GsFze0zLraAerGaYzs+2xbw52ZC8EQ4PCgM6Z+ukm++TaDIfz8dJLxmM5r0k&#10;Ksvex0WR9EaL+ENaDsuiKOMfjlqcZDWnlAnH7qLhOPk7jZxv00l9VxVf2xC+Rff9ArKXtyftJ+uG&#10;eZLFStLDUl8mDrL1h89XzN2L2z3Ytz+C2S8AAAD//wMAUEsDBBQABgAIAAAAIQDLvlgO3AAAAAgB&#10;AAAPAAAAZHJzL2Rvd25yZXYueG1sTI/BbsIwEETvlfgHa5F6qcBJpLYkjYNQpR56LCD1auJtEojX&#10;UeyQlK/vIg7luG9GszP5erKtOGPvG0cK4mUEAql0pqFKwX73sViB8EGT0a0jVPCLHtbF7CHXmXEj&#10;feF5GyrBIeQzraAOocuk9GWNVvul65BY+3G91YHPvpKm1yOH21YmUfQirW6IP9S6w/cay9N2sArQ&#10;D89xtElttf+8jE/fyeU4djulHufT5g1EwCn8m+Fan6tDwZ0ObiDjRatgkfKUwHz1CoL1NIkZHG5A&#10;Frm8H1D8AQAA//8DAFBLAQItABQABgAIAAAAIQC2gziS/gAAAOEBAAATAAAAAAAAAAAAAAAAAAAA&#10;AABbQ29udGVudF9UeXBlc10ueG1sUEsBAi0AFAAGAAgAAAAhADj9If/WAAAAlAEAAAsAAAAAAAAA&#10;AAAAAAAALwEAAF9yZWxzLy5yZWxzUEsBAi0AFAAGAAgAAAAhABK/quo7AgAAUAQAAA4AAAAAAAAA&#10;AAAAAAAALgIAAGRycy9lMm9Eb2MueG1sUEsBAi0AFAAGAAgAAAAhAMu+WA7cAAAACAEAAA8AAAAA&#10;AAAAAAAAAAAAlQQAAGRycy9kb3ducmV2LnhtbFBLBQYAAAAABAAEAPMAAACeBQAAAAA=&#10;"/>
              </w:pict>
            </mc:Fallback>
          </mc:AlternateContent>
        </w:r>
      </w:p>
      <w:p w:rsidR="00D236DB" w:rsidRPr="00D236DB" w:rsidRDefault="00D236DB" w:rsidP="00D236DB">
        <w:pPr>
          <w:tabs>
            <w:tab w:val="center" w:pos="4536"/>
            <w:tab w:val="right" w:pos="9072"/>
          </w:tabs>
          <w:suppressAutoHyphens/>
          <w:spacing w:after="0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D236DB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Zadanie pn.: „Dostawa sprzętu i oprogramowania  w ramach projektu Cyfrowa Gmina” finansowane jest z Programu Operacyjnego Polska Cyfrowa na lata 2014 – 2020, Oś Priorytetowa V Rozwój cyfrowy JST oraz wzmocnienie cyfrowej odporności na zagrożenia REACT-EU, działanie 5.1 Rozwój cyfrowy JST oraz wzmocnienie cyfrowej odporności na zagrożenia, dotyczy realizacji projektu grantowego „Cyfrowa Gmina” o numerze POPC.05.01.00-00-0001/21-00</w:t>
        </w:r>
        <w:r w:rsidRPr="00D236DB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</w:t>
        </w:r>
      </w:p>
      <w:p w:rsidR="009608EC" w:rsidRPr="00D236DB" w:rsidRDefault="00D236DB" w:rsidP="00D236DB">
        <w:pPr>
          <w:pStyle w:val="Stopka"/>
          <w:jc w:val="right"/>
          <w:rPr>
            <w:rFonts w:asciiTheme="minorHAnsi" w:eastAsiaTheme="minorHAnsi" w:hAnsiTheme="minorHAnsi" w:cstheme="minorBidi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D90" w:rsidRDefault="00567D90" w:rsidP="009608EC">
      <w:pPr>
        <w:spacing w:after="0" w:line="240" w:lineRule="auto"/>
      </w:pPr>
      <w:r>
        <w:separator/>
      </w:r>
    </w:p>
  </w:footnote>
  <w:footnote w:type="continuationSeparator" w:id="0">
    <w:p w:rsidR="00567D90" w:rsidRDefault="00567D90" w:rsidP="0096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FDF" w:rsidRDefault="009608EC" w:rsidP="009608E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9608E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657850" cy="819150"/>
          <wp:effectExtent l="0" t="0" r="0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08EC">
      <w:rPr>
        <w:rFonts w:ascii="Arial" w:eastAsia="Times New Roman" w:hAnsi="Arial" w:cs="Arial"/>
        <w:sz w:val="20"/>
        <w:szCs w:val="20"/>
        <w:lang w:eastAsia="pl-PL"/>
      </w:rPr>
      <w:t>„</w:t>
    </w:r>
  </w:p>
  <w:p w:rsidR="009608EC" w:rsidRPr="009608EC" w:rsidRDefault="009608EC" w:rsidP="009608E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 w:rsidRPr="009608EC">
      <w:rPr>
        <w:rFonts w:ascii="Arial" w:eastAsia="Times New Roman" w:hAnsi="Arial" w:cs="Arial"/>
        <w:sz w:val="20"/>
        <w:szCs w:val="20"/>
        <w:lang w:eastAsia="pl-PL"/>
      </w:rPr>
      <w:t>Sfinansowano w ramach reakcji Unii na pandemię COVID-19”</w:t>
    </w:r>
  </w:p>
  <w:p w:rsidR="009608EC" w:rsidRDefault="009608EC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68580</wp:posOffset>
              </wp:positionV>
              <wp:extent cx="5905500" cy="0"/>
              <wp:effectExtent l="0" t="0" r="0" b="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551C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0;margin-top:5.4pt;width:465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NbOwIAAFAEAAAOAAAAZHJzL2Uyb0RvYy54bWysVM2OmzAQvlfqO1jcEyCF/KCQVQVJL9s2&#10;0m4fwLFNsAK2ZTshSdVDV9o3232vjp0fZdtLVZWDGTOeb76Z+cz0bt82aMe04VLkQdyPAsQEkZSL&#10;dR58e1z0xgEyFguKGylYHhyYCe5m799NO5WxgaxlQ5lGACJM1qk8qK1VWRgaUrMWm75UTICzkrrF&#10;FrZ6HVKNO0Bvm3AQRcOwk5oqLQkzBr6WJ2cw8/hVxYj9WlWGWdTkAXCzftV+Xbk1nE1xttZY1Zyc&#10;aeB/YNFiLiDpFarEFqOt5n9AtZxoaWRl+0S2oawqTpivAaqJo9+qeaixYr4WaI5R1zaZ/wdLvuyW&#10;GnGaB6MACdzCiF5/vjyTo+AbBH019oCODEaoj/j1afPyjEauZ50yGYQWYqld1WQvHtS9JBuDhCxq&#10;LNbMc388KACMXUT4JsRtjILMq+6zpHAGb630DdxXunWQ0Bq093M6XOfE9hYR+JhOojSNYJzk4gtx&#10;dglU2thPTLbA3sC4gTnm69oWUghQg9SxT4N398Y6Wji7BLisQi5403hRNAJ1eTBJB6kPMLLh1Dnd&#10;MaPXq6LRaIedrPzjawTP7TEtt4J6sJphOj/bFvPmZEPyRjg8KAzonK2Tbr5Posl8PB8nvWQwnPeS&#10;qCx7HxdF0hsu4lFafiiLoox/OGpxktWcUiYcu4uG4+TvNHK+TSf1XVV8bUP4Ft33C8he3p60n6wb&#10;5kkWK0kPS32ZOMjWHz5fMXcvbvdg3/4IZr8AAAD//wMAUEsDBBQABgAIAAAAIQD5FDsf2QAAAAYB&#10;AAAPAAAAZHJzL2Rvd25yZXYueG1sTI/BTsMwDIbvSLxDZCQuiCUbArGu6TQhceDINomr13htoXGq&#10;Jl3Lnh4jDuzo77d+f87Xk2/VifrYBLYwnxlQxGVwDVcW9rvX+2dQMSE7bAOThW+KsC6ur3LMXBj5&#10;nU7bVCkp4ZihhTqlLtM6ljV5jLPQEUt2DL3HJGNfadfjKOW+1QtjnrTHhuVCjR291FR+bQdvgeLw&#10;ODebpa/2b+fx7mNx/hy7nbW3N9NmBSrRlP6X4Vdf1KEQp0MY2EXVWpBHklAj/pIuH4yAwx/QRa4v&#10;9YsfAAAA//8DAFBLAQItABQABgAIAAAAIQC2gziS/gAAAOEBAAATAAAAAAAAAAAAAAAAAAAAAABb&#10;Q29udGVudF9UeXBlc10ueG1sUEsBAi0AFAAGAAgAAAAhADj9If/WAAAAlAEAAAsAAAAAAAAAAAAA&#10;AAAALwEAAF9yZWxzLy5yZWxzUEsBAi0AFAAGAAgAAAAhAC+8A1s7AgAAUAQAAA4AAAAAAAAAAAAA&#10;AAAALgIAAGRycy9lMm9Eb2MueG1sUEsBAi0AFAAGAAgAAAAhAPkUOx/ZAAAABgEAAA8AAAAAAAAA&#10;AAAAAAAAlQQAAGRycy9kb3ducmV2LnhtbFBLBQYAAAAABAAEAPMAAACb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8BE"/>
    <w:multiLevelType w:val="multilevel"/>
    <w:tmpl w:val="63681388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iCs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4F65735"/>
    <w:multiLevelType w:val="multilevel"/>
    <w:tmpl w:val="9D86BA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295845"/>
    <w:multiLevelType w:val="multilevel"/>
    <w:tmpl w:val="53D6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30949"/>
    <w:multiLevelType w:val="multilevel"/>
    <w:tmpl w:val="EFC4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668"/>
    <w:multiLevelType w:val="multilevel"/>
    <w:tmpl w:val="D068AB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250E81"/>
    <w:multiLevelType w:val="multilevel"/>
    <w:tmpl w:val="2CF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A6EE2"/>
    <w:multiLevelType w:val="multilevel"/>
    <w:tmpl w:val="210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375F6"/>
    <w:multiLevelType w:val="multilevel"/>
    <w:tmpl w:val="7C74E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9B47891"/>
    <w:multiLevelType w:val="multilevel"/>
    <w:tmpl w:val="41F235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D0650C5"/>
    <w:multiLevelType w:val="multilevel"/>
    <w:tmpl w:val="A104B6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390183"/>
    <w:multiLevelType w:val="multilevel"/>
    <w:tmpl w:val="522E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B6E03"/>
    <w:multiLevelType w:val="multilevel"/>
    <w:tmpl w:val="672A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387C92"/>
    <w:multiLevelType w:val="multilevel"/>
    <w:tmpl w:val="8118F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5AC1754D"/>
    <w:multiLevelType w:val="hybridMultilevel"/>
    <w:tmpl w:val="AEE075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A15632"/>
    <w:multiLevelType w:val="multilevel"/>
    <w:tmpl w:val="04BA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E2B7B"/>
    <w:multiLevelType w:val="multilevel"/>
    <w:tmpl w:val="7BD6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4"/>
  </w:num>
  <w:num w:numId="5">
    <w:abstractNumId w:val="3"/>
  </w:num>
  <w:num w:numId="6">
    <w:abstractNumId w:val="2"/>
  </w:num>
  <w:num w:numId="7">
    <w:abstractNumId w:val="15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EC"/>
    <w:rsid w:val="00121BF9"/>
    <w:rsid w:val="00567D90"/>
    <w:rsid w:val="007A1280"/>
    <w:rsid w:val="00885CDB"/>
    <w:rsid w:val="008B24CB"/>
    <w:rsid w:val="009608EC"/>
    <w:rsid w:val="00D236DB"/>
    <w:rsid w:val="00DA5FDF"/>
    <w:rsid w:val="00E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276D"/>
  <w15:chartTrackingRefBased/>
  <w15:docId w15:val="{1FA62FB1-96C3-4517-A7C6-10974B54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24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8EC"/>
  </w:style>
  <w:style w:type="paragraph" w:styleId="Stopka">
    <w:name w:val="footer"/>
    <w:basedOn w:val="Normalny"/>
    <w:link w:val="StopkaZnak"/>
    <w:uiPriority w:val="99"/>
    <w:unhideWhenUsed/>
    <w:rsid w:val="0096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8EC"/>
  </w:style>
  <w:style w:type="character" w:styleId="Odwoanieprzypisudolnego">
    <w:name w:val="footnote reference"/>
    <w:uiPriority w:val="99"/>
    <w:semiHidden/>
    <w:unhideWhenUsed/>
    <w:rsid w:val="00D236DB"/>
    <w:rPr>
      <w:vertAlign w:val="superscript"/>
    </w:rPr>
  </w:style>
  <w:style w:type="paragraph" w:styleId="Bezodstpw">
    <w:name w:val="No Spacing"/>
    <w:qFormat/>
    <w:rsid w:val="008B24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qFormat/>
    <w:rsid w:val="008B24CB"/>
  </w:style>
  <w:style w:type="table" w:styleId="Tabela-Siatka">
    <w:name w:val="Table Grid"/>
    <w:basedOn w:val="Standardowy"/>
    <w:uiPriority w:val="39"/>
    <w:rsid w:val="007A12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1,Numerowanie,List Paragraph,Kolorowa lista — akcent 12,Obiekt,Nagłowek 3,Akapit z listą BS,Kolorowa lista — akcent 11,Akapit z listą5,Akapit normalny"/>
    <w:basedOn w:val="Normalny"/>
    <w:link w:val="AkapitzlistZnak"/>
    <w:uiPriority w:val="34"/>
    <w:qFormat/>
    <w:rsid w:val="00DA5FD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normalny tekst Znak,List Paragraph Znak,Kolorowa lista — akcent 12 Znak,Obiekt Znak,Nagłowek 3 Znak,Numerowanie Znak,Akapit z listą BS Znak,Kolorowa lista — akcent 11 Znak,L1 Znak,Akapit z listą5 Znak,Akapit normalny Znak"/>
    <w:link w:val="Akapitzlist"/>
    <w:uiPriority w:val="34"/>
    <w:locked/>
    <w:rsid w:val="00DA5FD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2022-09-27T09:02:00Z</dcterms:created>
  <dcterms:modified xsi:type="dcterms:W3CDTF">2022-09-27T09:02:00Z</dcterms:modified>
</cp:coreProperties>
</file>