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73" w:rsidRPr="00CA4F91" w:rsidRDefault="006A7673" w:rsidP="00B11707">
      <w:pPr>
        <w:pStyle w:val="Bezodstpw"/>
        <w:spacing w:after="120" w:line="360" w:lineRule="auto"/>
        <w:ind w:firstLine="708"/>
        <w:jc w:val="center"/>
        <w:rPr>
          <w:rFonts w:ascii="Arial" w:hAnsi="Arial" w:cs="Arial"/>
          <w:b/>
          <w:bCs/>
          <w:color w:val="000000" w:themeColor="text1"/>
          <w:sz w:val="24"/>
          <w:szCs w:val="44"/>
        </w:rPr>
      </w:pPr>
      <w:r w:rsidRPr="00CA4F91">
        <w:rPr>
          <w:rFonts w:ascii="Arial" w:hAnsi="Arial" w:cs="Arial"/>
          <w:b/>
          <w:bCs/>
          <w:color w:val="000000" w:themeColor="text1"/>
          <w:sz w:val="24"/>
          <w:szCs w:val="44"/>
        </w:rPr>
        <w:t>MARTWE DREWNO</w:t>
      </w:r>
    </w:p>
    <w:p w:rsidR="00734BCE" w:rsidRPr="00CA4F91" w:rsidRDefault="00CA4F91" w:rsidP="00B11707">
      <w:pPr>
        <w:pStyle w:val="Bezodstpw"/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color w:val="000000" w:themeColor="text1"/>
          <w:sz w:val="24"/>
          <w:szCs w:val="28"/>
        </w:rPr>
        <w:t>Martwe drewno to o</w:t>
      </w:r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bumarłe drzewa i ich części oraz martwe części żywych drzew.</w:t>
      </w:r>
      <w:r w:rsidRPr="00CA4F91">
        <w:rPr>
          <w:rFonts w:ascii="Arial" w:hAnsi="Arial" w:cs="Arial"/>
          <w:color w:val="000000" w:themeColor="text1"/>
          <w:sz w:val="24"/>
          <w:szCs w:val="28"/>
        </w:rPr>
        <w:t xml:space="preserve"> </w:t>
      </w:r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Pojęcie „martwe </w:t>
      </w:r>
      <w:hyperlink r:id="rId5" w:history="1">
        <w:r w:rsidR="00734BCE" w:rsidRPr="00CA4F91">
          <w:rPr>
            <w:rStyle w:val="Hipercze"/>
            <w:rFonts w:ascii="Arial" w:hAnsi="Arial" w:cs="Arial"/>
            <w:color w:val="000000" w:themeColor="text1"/>
            <w:sz w:val="24"/>
            <w:szCs w:val="28"/>
            <w:u w:val="none"/>
          </w:rPr>
          <w:t>drewno</w:t>
        </w:r>
      </w:hyperlink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” jest kalką językową angielskiego terminu „</w:t>
      </w:r>
      <w:proofErr w:type="spellStart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dead</w:t>
      </w:r>
      <w:proofErr w:type="spellEnd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 </w:t>
      </w:r>
      <w:proofErr w:type="spellStart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wood</w:t>
      </w:r>
      <w:proofErr w:type="spellEnd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” używanego również w anglojęzycznych opracowaniach naukowych. Jest to jednak określenie wyjątkowo niezręczne, gdyż </w:t>
      </w:r>
      <w:hyperlink r:id="rId6" w:history="1">
        <w:r w:rsidR="00734BCE" w:rsidRPr="00CA4F91">
          <w:rPr>
            <w:rStyle w:val="Hipercze"/>
            <w:rFonts w:ascii="Arial" w:hAnsi="Arial" w:cs="Arial"/>
            <w:color w:val="000000" w:themeColor="text1"/>
            <w:sz w:val="24"/>
            <w:szCs w:val="28"/>
            <w:u w:val="none"/>
          </w:rPr>
          <w:t>drewno</w:t>
        </w:r>
      </w:hyperlink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 z natury jest już martwym kawałkiem tego, co wcześniej było drzewem. Trudno jednak w trafny sposób oddać znaczenie tego zwrotu, który odnosi się do roli w ekosystemie zarówno drzew martwych, ale jeszcze stojących, rozkładających się kłód leżących na dnie lasu, pniaków, jak i gałęzi. Przy całej zatem świadomości niezręczności tego pojęcia, jest ono używane w Polsce zarówno w języku potocznym jak i w opracowaniach naukowych. Pojęcie martwego drewna w znacznym stopniu pokrywa się również z ang. terminem </w:t>
      </w:r>
      <w:proofErr w:type="spellStart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coarse</w:t>
      </w:r>
      <w:proofErr w:type="spellEnd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 </w:t>
      </w:r>
      <w:proofErr w:type="spellStart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woody</w:t>
      </w:r>
      <w:proofErr w:type="spellEnd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 </w:t>
      </w:r>
      <w:proofErr w:type="spellStart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>debris</w:t>
      </w:r>
      <w:proofErr w:type="spellEnd"/>
      <w:r w:rsidR="00734BCE" w:rsidRPr="00CA4F91">
        <w:rPr>
          <w:rFonts w:ascii="Arial" w:hAnsi="Arial" w:cs="Arial"/>
          <w:color w:val="000000" w:themeColor="text1"/>
          <w:sz w:val="24"/>
          <w:szCs w:val="28"/>
        </w:rPr>
        <w:t xml:space="preserve"> (CWD) używanym w odniesieniu do stojących i leżących pni drzew, kawałków drewna, dużych gałęzi i grubych korzeni. </w:t>
      </w:r>
    </w:p>
    <w:p w:rsidR="00734BCE" w:rsidRPr="00B11707" w:rsidRDefault="00734BCE" w:rsidP="00B11707">
      <w:pPr>
        <w:pStyle w:val="Bezodstpw"/>
        <w:spacing w:after="120"/>
        <w:jc w:val="both"/>
        <w:rPr>
          <w:rFonts w:ascii="Arial" w:hAnsi="Arial" w:cs="Arial"/>
          <w:b/>
          <w:bCs/>
          <w:color w:val="000000" w:themeColor="text1"/>
          <w:sz w:val="24"/>
          <w:szCs w:val="28"/>
        </w:rPr>
      </w:pPr>
      <w:r w:rsidRPr="00B11707">
        <w:rPr>
          <w:rFonts w:ascii="Arial" w:hAnsi="Arial" w:cs="Arial"/>
          <w:b/>
          <w:bCs/>
          <w:color w:val="000000" w:themeColor="text1"/>
          <w:sz w:val="24"/>
          <w:szCs w:val="28"/>
        </w:rPr>
        <w:t>Korzyści stałej obecności martwego drewna w</w:t>
      </w:r>
      <w:r w:rsidR="00CA4F91" w:rsidRPr="00B11707">
        <w:rPr>
          <w:rFonts w:ascii="Arial" w:hAnsi="Arial" w:cs="Arial"/>
          <w:b/>
          <w:bCs/>
          <w:color w:val="000000" w:themeColor="text1"/>
          <w:sz w:val="24"/>
          <w:szCs w:val="28"/>
        </w:rPr>
        <w:t> </w:t>
      </w:r>
      <w:r w:rsidRPr="00B11707">
        <w:rPr>
          <w:rFonts w:ascii="Arial" w:hAnsi="Arial" w:cs="Arial"/>
          <w:b/>
          <w:bCs/>
          <w:color w:val="000000" w:themeColor="text1"/>
          <w:sz w:val="24"/>
          <w:szCs w:val="28"/>
        </w:rPr>
        <w:t>lesie:</w:t>
      </w:r>
    </w:p>
    <w:p w:rsidR="00734BCE" w:rsidRPr="00CA4F91" w:rsidRDefault="00734BCE" w:rsidP="00B11707">
      <w:pPr>
        <w:pStyle w:val="Bezodstpw"/>
        <w:numPr>
          <w:ilvl w:val="0"/>
          <w:numId w:val="1"/>
        </w:numPr>
        <w:spacing w:after="120"/>
        <w:ind w:left="0" w:firstLine="0"/>
        <w:jc w:val="both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wzrost różnorodności biologicznej</w:t>
      </w:r>
      <w:r w:rsidR="00431F68">
        <w:rPr>
          <w:rFonts w:ascii="Arial" w:hAnsi="Arial" w:cs="Arial"/>
          <w:bCs/>
          <w:color w:val="000000" w:themeColor="text1"/>
          <w:sz w:val="24"/>
          <w:szCs w:val="28"/>
        </w:rPr>
        <w:t>,</w:t>
      </w:r>
    </w:p>
    <w:p w:rsidR="00734BCE" w:rsidRPr="00CA4F91" w:rsidRDefault="00734BCE" w:rsidP="00B11707">
      <w:pPr>
        <w:pStyle w:val="Akapitzlist"/>
        <w:numPr>
          <w:ilvl w:val="0"/>
          <w:numId w:val="1"/>
        </w:numPr>
        <w:spacing w:after="120" w:line="240" w:lineRule="auto"/>
        <w:ind w:left="0" w:firstLine="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miejsce bytowania wielu gatunków roślin, zwierząt i grzybów,</w:t>
      </w:r>
    </w:p>
    <w:p w:rsidR="00734BCE" w:rsidRPr="00CA4F91" w:rsidRDefault="00734BCE" w:rsidP="00B11707">
      <w:pPr>
        <w:pStyle w:val="Akapitzlist"/>
        <w:numPr>
          <w:ilvl w:val="0"/>
          <w:numId w:val="1"/>
        </w:numPr>
        <w:spacing w:after="120" w:line="240" w:lineRule="auto"/>
        <w:ind w:left="0" w:firstLine="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magazyn wody (utrzymywanie wilgotności)</w:t>
      </w:r>
      <w:r w:rsidR="00431F68">
        <w:rPr>
          <w:rFonts w:ascii="Arial" w:hAnsi="Arial" w:cs="Arial"/>
          <w:bCs/>
          <w:color w:val="000000" w:themeColor="text1"/>
          <w:sz w:val="24"/>
          <w:szCs w:val="28"/>
        </w:rPr>
        <w:t>.</w:t>
      </w:r>
      <w:bookmarkStart w:id="0" w:name="_GoBack"/>
      <w:bookmarkEnd w:id="0"/>
    </w:p>
    <w:p w:rsidR="00CA4F91" w:rsidRDefault="00CA4F91" w:rsidP="00B11707">
      <w:pPr>
        <w:pStyle w:val="Bezodstpw"/>
        <w:spacing w:after="120"/>
        <w:rPr>
          <w:rFonts w:ascii="Arial" w:hAnsi="Arial" w:cs="Arial"/>
          <w:bCs/>
          <w:color w:val="000000" w:themeColor="text1"/>
          <w:sz w:val="24"/>
          <w:szCs w:val="28"/>
        </w:rPr>
      </w:pPr>
    </w:p>
    <w:p w:rsidR="00734BCE" w:rsidRPr="00B11707" w:rsidRDefault="00734BCE" w:rsidP="00B11707">
      <w:pPr>
        <w:pStyle w:val="Bezodstpw"/>
        <w:spacing w:after="120"/>
        <w:rPr>
          <w:rFonts w:ascii="Arial" w:hAnsi="Arial" w:cs="Arial"/>
          <w:b/>
          <w:bCs/>
          <w:color w:val="000000" w:themeColor="text1"/>
          <w:sz w:val="24"/>
          <w:szCs w:val="28"/>
        </w:rPr>
      </w:pPr>
      <w:r w:rsidRPr="00B11707">
        <w:rPr>
          <w:rFonts w:ascii="Arial" w:hAnsi="Arial" w:cs="Arial"/>
          <w:b/>
          <w:bCs/>
          <w:color w:val="000000" w:themeColor="text1"/>
          <w:sz w:val="24"/>
          <w:szCs w:val="28"/>
        </w:rPr>
        <w:t>Zagrożenia</w:t>
      </w:r>
      <w:r w:rsidR="00CA4F91" w:rsidRPr="00B11707">
        <w:rPr>
          <w:rFonts w:ascii="Arial" w:hAnsi="Arial" w:cs="Arial"/>
          <w:b/>
          <w:bCs/>
          <w:color w:val="000000" w:themeColor="text1"/>
          <w:sz w:val="24"/>
          <w:szCs w:val="28"/>
        </w:rPr>
        <w:t>:</w:t>
      </w:r>
    </w:p>
    <w:p w:rsidR="00734BCE" w:rsidRPr="00CA4F91" w:rsidRDefault="00734BCE" w:rsidP="00B11707">
      <w:pPr>
        <w:pStyle w:val="Bezodstpw"/>
        <w:numPr>
          <w:ilvl w:val="0"/>
          <w:numId w:val="1"/>
        </w:numPr>
        <w:spacing w:after="120"/>
        <w:ind w:left="0" w:firstLine="0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pogorszenie stanu zdrowotnego lasu,</w:t>
      </w:r>
    </w:p>
    <w:p w:rsidR="00734BCE" w:rsidRPr="00CA4F91" w:rsidRDefault="00734BCE" w:rsidP="00B11707">
      <w:pPr>
        <w:pStyle w:val="Bezodstpw"/>
        <w:numPr>
          <w:ilvl w:val="0"/>
          <w:numId w:val="1"/>
        </w:numPr>
        <w:spacing w:after="120"/>
        <w:ind w:left="709" w:hanging="709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 xml:space="preserve">niebezpieczeństwo dla osób przebywających w lesie – martwe </w:t>
      </w:r>
      <w:r w:rsidR="00CA4F91">
        <w:rPr>
          <w:rFonts w:ascii="Arial" w:hAnsi="Arial" w:cs="Arial"/>
          <w:bCs/>
          <w:color w:val="000000" w:themeColor="text1"/>
          <w:sz w:val="24"/>
          <w:szCs w:val="28"/>
        </w:rPr>
        <w:t>drewno </w:t>
      </w: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stojące</w:t>
      </w:r>
      <w:r w:rsidR="00CA4F91" w:rsidRPr="00CA4F91">
        <w:rPr>
          <w:rFonts w:ascii="Arial" w:hAnsi="Arial" w:cs="Arial"/>
          <w:bCs/>
          <w:color w:val="000000" w:themeColor="text1"/>
          <w:sz w:val="24"/>
          <w:szCs w:val="28"/>
        </w:rPr>
        <w:t>,</w:t>
      </w:r>
    </w:p>
    <w:p w:rsidR="00734BCE" w:rsidRPr="00CA4F91" w:rsidRDefault="00734BCE" w:rsidP="00B11707">
      <w:pPr>
        <w:pStyle w:val="Bezodstpw"/>
        <w:numPr>
          <w:ilvl w:val="0"/>
          <w:numId w:val="1"/>
        </w:numPr>
        <w:spacing w:after="120"/>
        <w:ind w:left="0" w:firstLine="0"/>
        <w:rPr>
          <w:rFonts w:ascii="Arial" w:hAnsi="Arial" w:cs="Arial"/>
          <w:bCs/>
          <w:color w:val="000000" w:themeColor="text1"/>
          <w:sz w:val="24"/>
          <w:szCs w:val="28"/>
        </w:rPr>
      </w:pP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zwiększone zagrożenie pożarowe (w</w:t>
      </w:r>
      <w:r w:rsidR="00CA4F91" w:rsidRPr="00CA4F91">
        <w:rPr>
          <w:rFonts w:ascii="Arial" w:hAnsi="Arial" w:cs="Arial"/>
          <w:bCs/>
          <w:color w:val="000000" w:themeColor="text1"/>
          <w:sz w:val="24"/>
          <w:szCs w:val="28"/>
        </w:rPr>
        <w:t> </w:t>
      </w:r>
      <w:r w:rsidRPr="00CA4F91">
        <w:rPr>
          <w:rFonts w:ascii="Arial" w:hAnsi="Arial" w:cs="Arial"/>
          <w:bCs/>
          <w:color w:val="000000" w:themeColor="text1"/>
          <w:sz w:val="24"/>
          <w:szCs w:val="28"/>
        </w:rPr>
        <w:t>okresach suszy)</w:t>
      </w:r>
      <w:r w:rsidR="00CA4F91" w:rsidRPr="00CA4F91">
        <w:rPr>
          <w:rFonts w:ascii="Arial" w:hAnsi="Arial" w:cs="Arial"/>
          <w:bCs/>
          <w:color w:val="000000" w:themeColor="text1"/>
          <w:sz w:val="24"/>
          <w:szCs w:val="28"/>
        </w:rPr>
        <w:t>.</w:t>
      </w:r>
    </w:p>
    <w:p w:rsidR="00734BCE" w:rsidRPr="00CA4F91" w:rsidRDefault="00734BCE" w:rsidP="00B11707">
      <w:pPr>
        <w:pStyle w:val="Bezodstpw"/>
        <w:spacing w:after="120" w:line="360" w:lineRule="auto"/>
        <w:rPr>
          <w:rFonts w:ascii="Arial" w:hAnsi="Arial" w:cs="Arial"/>
          <w:b/>
          <w:bCs/>
          <w:color w:val="000000" w:themeColor="text1"/>
          <w:sz w:val="24"/>
          <w:szCs w:val="28"/>
        </w:rPr>
      </w:pPr>
    </w:p>
    <w:p w:rsidR="00CA4F91" w:rsidRPr="00CA4F91" w:rsidRDefault="00CA4F91" w:rsidP="00B11707">
      <w:pPr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CA4F91">
        <w:rPr>
          <w:rStyle w:val="markedcontent"/>
          <w:rFonts w:ascii="Arial" w:hAnsi="Arial" w:cs="Arial"/>
          <w:color w:val="000000" w:themeColor="text1"/>
          <w:sz w:val="24"/>
          <w:szCs w:val="28"/>
        </w:rPr>
        <w:t>Łączna miąższość drewna martwego na terenie Nadleśnictwa Głogów wynosi 38805 m</w:t>
      </w:r>
      <w:r w:rsidRPr="00CA4F91">
        <w:rPr>
          <w:rStyle w:val="markedcontent"/>
          <w:rFonts w:ascii="Arial" w:hAnsi="Arial" w:cs="Arial"/>
          <w:color w:val="000000" w:themeColor="text1"/>
          <w:sz w:val="24"/>
          <w:szCs w:val="28"/>
          <w:vertAlign w:val="superscript"/>
        </w:rPr>
        <w:t>3</w:t>
      </w:r>
      <w:r w:rsidRPr="00CA4F91">
        <w:rPr>
          <w:rStyle w:val="markedcontent"/>
          <w:rFonts w:ascii="Arial" w:hAnsi="Arial" w:cs="Arial"/>
          <w:color w:val="000000" w:themeColor="text1"/>
          <w:sz w:val="24"/>
          <w:szCs w:val="28"/>
        </w:rPr>
        <w:t>, co stanowi ok. 1 % ogólnej miąższości wszystkich drzewostanów.</w:t>
      </w:r>
      <w:r w:rsidRPr="00CA4F91">
        <w:rPr>
          <w:color w:val="000000" w:themeColor="text1"/>
          <w:sz w:val="24"/>
          <w:szCs w:val="28"/>
        </w:rPr>
        <w:t xml:space="preserve"> </w:t>
      </w:r>
      <w:r w:rsidRPr="00CA4F91">
        <w:rPr>
          <w:rStyle w:val="markedcontent"/>
          <w:rFonts w:ascii="Arial" w:hAnsi="Arial" w:cs="Arial"/>
          <w:color w:val="000000" w:themeColor="text1"/>
          <w:sz w:val="24"/>
          <w:szCs w:val="28"/>
        </w:rPr>
        <w:t>Średnia miąższość drzew martwych stojących i leżących w drzewostanach Nadleśnictwa wynosi ok. 3,5 m3/ha.</w:t>
      </w:r>
    </w:p>
    <w:p w:rsidR="00CA4F91" w:rsidRPr="00CA4F91" w:rsidRDefault="00CA4F91" w:rsidP="00734BCE">
      <w:pPr>
        <w:pStyle w:val="Bezodstpw"/>
        <w:spacing w:line="360" w:lineRule="auto"/>
        <w:rPr>
          <w:rFonts w:ascii="Arial" w:hAnsi="Arial" w:cs="Arial"/>
          <w:b/>
          <w:bCs/>
          <w:color w:val="385623" w:themeColor="accent6" w:themeShade="80"/>
          <w:sz w:val="28"/>
          <w:szCs w:val="28"/>
        </w:rPr>
      </w:pPr>
    </w:p>
    <w:p w:rsidR="006A7673" w:rsidRPr="00CA4F91" w:rsidRDefault="00734BCE" w:rsidP="00CA4F91">
      <w:pPr>
        <w:pStyle w:val="Bezodstpw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CA4F91">
        <w:rPr>
          <w:rFonts w:ascii="Arial" w:hAnsi="Arial" w:cs="Arial"/>
          <w:b/>
          <w:bCs/>
          <w:color w:val="385623" w:themeColor="accent6" w:themeShade="80"/>
          <w:sz w:val="28"/>
          <w:szCs w:val="28"/>
        </w:rPr>
        <w:t xml:space="preserve"> </w:t>
      </w:r>
    </w:p>
    <w:p w:rsidR="006A7673" w:rsidRPr="0054717A" w:rsidRDefault="006A7673" w:rsidP="006A7673">
      <w:pPr>
        <w:rPr>
          <w:rFonts w:ascii="Arial" w:hAnsi="Arial" w:cs="Arial"/>
          <w:b/>
          <w:bCs/>
          <w:sz w:val="52"/>
          <w:szCs w:val="44"/>
        </w:rPr>
      </w:pPr>
    </w:p>
    <w:sectPr w:rsidR="006A7673" w:rsidRPr="0054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A2170"/>
    <w:multiLevelType w:val="hybridMultilevel"/>
    <w:tmpl w:val="F40E401C"/>
    <w:lvl w:ilvl="0" w:tplc="0415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673"/>
    <w:rsid w:val="00091772"/>
    <w:rsid w:val="00431F68"/>
    <w:rsid w:val="006A7673"/>
    <w:rsid w:val="00734BCE"/>
    <w:rsid w:val="00B11707"/>
    <w:rsid w:val="00CA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9858"/>
  <w15:chartTrackingRefBased/>
  <w15:docId w15:val="{CEC54A47-1215-4E79-9F0E-BC7DE305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A7673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A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7673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A7673"/>
  </w:style>
  <w:style w:type="character" w:styleId="Hipercze">
    <w:name w:val="Hyperlink"/>
    <w:basedOn w:val="Domylnaczcionkaakapitu"/>
    <w:uiPriority w:val="99"/>
    <w:unhideWhenUsed/>
    <w:rsid w:val="00734BC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34B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cyklopedialesna.pl/haslo/drewno/" TargetMode="External"/><Relationship Id="rId5" Type="http://schemas.openxmlformats.org/officeDocument/2006/relationships/hyperlink" Target="https://www.encyklopedialesna.pl/haslo/drewn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5</cp:revision>
  <dcterms:created xsi:type="dcterms:W3CDTF">2023-10-02T12:26:00Z</dcterms:created>
  <dcterms:modified xsi:type="dcterms:W3CDTF">2023-10-05T08:50:00Z</dcterms:modified>
</cp:coreProperties>
</file>