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15FBDE3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D7239C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3E8038ED" w:rsidR="007F539F" w:rsidRPr="008B31F8" w:rsidRDefault="007F539F" w:rsidP="008B31F8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D7239C">
        <w:rPr>
          <w:rFonts w:ascii="Verdana" w:hAnsi="Verdana"/>
          <w:b/>
          <w:sz w:val="18"/>
          <w:szCs w:val="18"/>
        </w:rPr>
        <w:t>Dostawa mobilnego rozdrabniacza wolnoobrotowego Z/I Bełchatów/2022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AE1F01">
        <w:rPr>
          <w:rFonts w:ascii="Verdana" w:hAnsi="Verdana" w:cstheme="minorHAnsi"/>
          <w:sz w:val="20"/>
          <w:szCs w:val="20"/>
        </w:rPr>
        <w:br/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4B23C3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4B23C3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4B23C3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4B23C3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4B23C3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B23C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B31F8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1F01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7239C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15</cp:revision>
  <cp:lastPrinted>2022-01-04T11:51:00Z</cp:lastPrinted>
  <dcterms:created xsi:type="dcterms:W3CDTF">2021-02-19T13:00:00Z</dcterms:created>
  <dcterms:modified xsi:type="dcterms:W3CDTF">2022-01-04T11:51:00Z</dcterms:modified>
</cp:coreProperties>
</file>