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4" w:firstLine="6"/>
        <w:jc w:val="right"/>
        <w:spacing w:after="0"/>
        <w:rPr>
          <w:b/>
          <w:i/>
        </w:rPr>
      </w:pPr>
      <w:r>
        <w:rPr>
          <w:rFonts w:cstheme="minorHAnsi"/>
          <w:b/>
          <w:bCs/>
          <w:i/>
        </w:rPr>
        <w:t xml:space="preserve">Załącznik nr 9 </w:t>
      </w:r>
      <w:r>
        <w:rPr>
          <w:rFonts w:cstheme="minorHAnsi"/>
          <w:b/>
          <w:i/>
        </w:rPr>
        <w:t xml:space="preserve">do SWZ</w:t>
      </w:r>
      <w:r>
        <w:rPr>
          <w:b/>
          <w:i/>
        </w:rPr>
      </w:r>
    </w:p>
    <w:p>
      <w:pPr>
        <w:jc w:val="right"/>
        <w:spacing w:after="0"/>
        <w:rPr>
          <w:rFonts w:cstheme="minorHAnsi"/>
          <w:b/>
          <w:bCs/>
          <w14:ligatures w14:val="none"/>
        </w:rPr>
      </w:pPr>
      <w:r>
        <w:rPr>
          <w:rFonts w:cstheme="minorHAnsi"/>
          <w:b/>
        </w:rPr>
        <w:t xml:space="preserve">Numer sprawy: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lang w:eastAsia="en-US"/>
        </w:rPr>
        <w:t xml:space="preserve">MPŚ-IX.261.10.2024</w:t>
      </w:r>
      <w:r>
        <w:rPr>
          <w:rFonts w:cstheme="minorHAnsi"/>
          <w:b/>
          <w:bCs/>
        </w:rPr>
      </w:r>
      <w:r>
        <w:rPr>
          <w:rFonts w:cstheme="minorHAnsi"/>
          <w:b/>
          <w:bCs/>
          <w14:ligatures w14:val="none"/>
        </w:rPr>
      </w:r>
    </w:p>
    <w:p>
      <w:pPr>
        <w:jc w:val="right"/>
        <w:spacing w:after="0"/>
      </w:pPr>
      <w:r/>
      <w:r/>
    </w:p>
    <w:p>
      <w:pPr>
        <w:pStyle w:val="666"/>
        <w:ind w:hanging="5"/>
        <w:jc w:val="center"/>
        <w:spacing w:before="0" w:after="0"/>
      </w:pPr>
      <w:r>
        <w:rPr>
          <w:rFonts w:asciiTheme="minorHAnsi" w:hAnsiTheme="minorHAnsi" w:eastAsiaTheme="minorHAnsi" w:cstheme="minorHAnsi"/>
          <w:sz w:val="22"/>
          <w:highlight w:val="none"/>
        </w:rPr>
      </w:r>
      <w:r>
        <w:rPr>
          <w:rFonts w:asciiTheme="minorHAnsi" w:hAnsiTheme="minorHAnsi" w:eastAsiaTheme="minorHAnsi" w:cstheme="minorHAnsi"/>
          <w:sz w:val="22"/>
          <w:highlight w:val="none"/>
        </w:rPr>
      </w:r>
    </w:p>
    <w:p>
      <w:pPr>
        <w:pStyle w:val="666"/>
        <w:ind w:hanging="5"/>
        <w:jc w:val="center"/>
        <w:spacing w:before="0" w:after="0"/>
        <w:rPr>
          <w:rFonts w:asciiTheme="minorHAnsi" w:hAnsiTheme="minorHAnsi" w:eastAsiaTheme="minorHAnsi" w:cstheme="minorHAnsi"/>
          <w:sz w:val="22"/>
          <w:szCs w:val="22"/>
          <w:highlight w:val="none"/>
        </w:rPr>
      </w:pPr>
      <w:r>
        <w:rPr>
          <w:rFonts w:asciiTheme="minorHAnsi" w:hAnsiTheme="minorHAnsi" w:eastAsiaTheme="minorHAnsi" w:cstheme="minorHAnsi"/>
          <w:sz w:val="22"/>
        </w:rPr>
        <w:t xml:space="preserve">Oświadczenie</w:t>
      </w:r>
      <w:r/>
    </w:p>
    <w:p>
      <w:pPr>
        <w:jc w:val="center"/>
      </w:pPr>
      <w:r>
        <w:t xml:space="preserve">dotyczące przeciwdziałania agresji</w:t>
      </w:r>
      <w:r/>
    </w:p>
    <w:p>
      <w:r/>
      <w:r/>
    </w:p>
    <w:p>
      <w:pPr>
        <w:jc w:val="both"/>
        <w:spacing w:after="240"/>
      </w:pPr>
      <w:r>
        <w:rPr>
          <w:rFonts w:cstheme="minorHAnsi"/>
        </w:rPr>
        <w:t xml:space="preserve">Ja/My niżej podpisany/ni: ……………………………………….……………………</w:t>
      </w:r>
      <w:r/>
    </w:p>
    <w:p>
      <w:pPr>
        <w:jc w:val="both"/>
        <w:spacing w:after="240"/>
      </w:pPr>
      <w:r>
        <w:rPr>
          <w:rFonts w:cstheme="minorHAnsi"/>
          <w:i/>
        </w:rPr>
        <w:t xml:space="preserve">                                          (imię i nazwisko składającego oświadczenie)</w:t>
      </w:r>
      <w:r/>
    </w:p>
    <w:p>
      <w:pPr>
        <w:jc w:val="both"/>
        <w:spacing w:after="240"/>
        <w:rPr>
          <w:rFonts w:cstheme="minorHAnsi"/>
        </w:rPr>
      </w:pPr>
      <w:r>
        <w:rPr>
          <w:rFonts w:cstheme="minorHAnsi"/>
        </w:rPr>
        <w:t xml:space="preserve">będąc upoważnionym(/mi) do reprezentowania: </w:t>
      </w:r>
      <w:r/>
    </w:p>
    <w:p>
      <w:pPr>
        <w:jc w:val="both"/>
        <w:spacing w:after="240"/>
      </w:pP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jc w:val="center"/>
        <w:spacing w:after="240"/>
        <w:rPr>
          <w:rFonts w:cstheme="minorHAnsi"/>
          <w:highlight w:val="none"/>
        </w:rPr>
      </w:pPr>
      <w:r>
        <w:rPr>
          <w:rFonts w:cstheme="minorHAnsi"/>
        </w:rPr>
        <w:t xml:space="preserve">…………………………………………………</w:t>
      </w:r>
      <w:r/>
      <w:r/>
    </w:p>
    <w:p>
      <w:pPr>
        <w:jc w:val="center"/>
        <w:spacing w:after="240"/>
      </w:pPr>
      <w:r>
        <w:rPr>
          <w:rFonts w:cstheme="minorHAnsi"/>
        </w:rPr>
        <w:t xml:space="preserve">    </w:t>
      </w:r>
      <w:r>
        <w:rPr>
          <w:rFonts w:cstheme="minorHAnsi"/>
          <w:i/>
        </w:rPr>
        <w:t xml:space="preserve">(nazwa i adres  podmiotu lub pieczęć)</w:t>
      </w:r>
      <w:r/>
    </w:p>
    <w:p>
      <w:pPr>
        <w:jc w:val="both"/>
        <w:spacing w:after="240"/>
        <w:rPr>
          <w:rFonts w:eastAsia="Times New Roman"/>
          <w:color w:val="000000" w:themeColor="text1"/>
          <w14:ligatures w14:val="none"/>
        </w:rPr>
      </w:pPr>
      <w:r>
        <w:rPr>
          <w:rFonts w:eastAsia="Times New Roman"/>
          <w:color w:val="000000" w:themeColor="text1"/>
        </w:rPr>
        <w:t xml:space="preserve">oświadczam na potrzeby postępowania o udzielenie zamówienia publicznego pn. </w:t>
      </w:r>
      <w:r>
        <w:rPr>
          <w:rFonts w:eastAsia="Times New Roman"/>
          <w:color w:val="000000" w:themeColor="text1"/>
        </w:rPr>
        <w:t xml:space="preserve">„.</w:t>
      </w:r>
      <w:r>
        <w:rPr>
          <w:rFonts w:eastAsia="Times New Roman"/>
          <w:color w:val="000000" w:themeColor="text1"/>
          <w:lang w:eastAsia="en-US"/>
        </w:rPr>
        <w:t xml:space="preserve">„</w:t>
      </w:r>
      <w:r>
        <w:rPr>
          <w:rFonts w:eastAsia="Times New Roman"/>
          <w:color w:val="000000" w:themeColor="text1"/>
          <w:lang w:eastAsia="en-US"/>
        </w:rPr>
        <w:t xml:space="preserve">Adaptacja zabytkowego Spichlerza w </w:t>
      </w:r>
      <w:r>
        <w:rPr>
          <w:rFonts w:eastAsia="Times New Roman"/>
          <w:color w:val="000000" w:themeColor="text1"/>
          <w:lang w:eastAsia="en-US"/>
        </w:rPr>
        <w:t xml:space="preserve">Słupsku na cele kulturalne, </w:t>
      </w:r>
      <w:r>
        <w:rPr>
          <w:rFonts w:eastAsia="Times New Roman"/>
          <w:color w:val="000000" w:themeColor="text1"/>
        </w:rPr>
      </w:r>
      <w:r>
        <w:rPr>
          <w:rFonts w:eastAsia="Times New Roman"/>
          <w:color w:val="000000" w:themeColor="text1"/>
        </w:rPr>
      </w:r>
      <w:r>
        <w:rPr>
          <w:rFonts w:eastAsia="Times New Roman"/>
          <w:color w:val="000000" w:themeColor="text1"/>
          <w:lang w:eastAsia="en-US"/>
        </w:rPr>
        <w:t xml:space="preserve">społeczne, edukacyjne i turystyczne - </w:t>
      </w:r>
      <w:r>
        <w:rPr>
          <w:rFonts w:eastAsia="Times New Roman"/>
          <w:color w:val="000000" w:themeColor="text1"/>
          <w:lang w:eastAsia="en-US"/>
        </w:rPr>
        <w:t xml:space="preserve">wyposażenie budynku</w:t>
      </w:r>
      <w:r>
        <w:rPr>
          <w:rFonts w:eastAsia="Times New Roman"/>
          <w:color w:val="000000" w:themeColor="text1"/>
          <w:lang w:eastAsia="en-US"/>
        </w:rPr>
        <w:t xml:space="preserve">”</w:t>
      </w:r>
      <w:r>
        <w:rPr>
          <w:rFonts w:eastAsia="Times New Roman"/>
          <w:color w:val="000000" w:themeColor="text1"/>
        </w:rPr>
      </w:r>
      <w:r>
        <w:rPr>
          <w:rFonts w:eastAsia="Times New Roman"/>
          <w:color w:val="000000" w:themeColor="text1"/>
        </w:rPr>
      </w:r>
      <w:r>
        <w:rPr>
          <w:rFonts w:eastAsia="Times New Roman"/>
          <w:color w:val="000000" w:themeColor="text1"/>
          <w14:ligatures w14:val="none"/>
        </w:rPr>
      </w:r>
      <w:r>
        <w:rPr>
          <w:rFonts w:eastAsia="Times New Roman"/>
          <w:color w:val="000000" w:themeColor="text1"/>
        </w:rPr>
      </w:r>
      <w:r>
        <w:rPr>
          <w:rFonts w:eastAsia="Times New Roman"/>
          <w:color w:val="000000" w:themeColor="text1"/>
        </w:rPr>
        <w:t xml:space="preserve">, </w:t>
      </w:r>
      <w:r>
        <w:rPr>
          <w:rFonts w:eastAsia="Times New Roman"/>
          <w:color w:val="000000" w:themeColor="text1"/>
        </w:rPr>
        <w:t xml:space="preserve">prowadzonego przez Zamawiającego – Muzeum Pomorza Środkowego w Słupsku, że</w:t>
      </w:r>
      <w:r>
        <w:rPr>
          <w:rFonts w:eastAsia="Times New Roman"/>
          <w:color w:val="000000" w:themeColor="text1"/>
        </w:rPr>
        <w:t xml:space="preserve"> nie </w:t>
      </w:r>
      <w:r>
        <w:rPr>
          <w:rFonts w:eastAsia="Times New Roman"/>
          <w:color w:val="000000" w:themeColor="text1"/>
        </w:rPr>
        <w:t xml:space="preserve">podlegam wykluczeniu z pos</w:t>
      </w:r>
      <w:r>
        <w:rPr>
          <w:rFonts w:eastAsia="Times New Roman"/>
          <w:color w:val="000000" w:themeColor="text1"/>
        </w:rPr>
        <w:t xml:space="preserve">tępowania na podstawie ustawy z dnia 13 kwietnia 2022 r. o szczególnych rozwiązaniach w zakresie przeciwdziałania wspieraniu agresji na Ukrainę oraz służących ochronie bezpieczeństwa narodowego (Dz. U. poz. 835) - przesłanki wykluczenia wymieniono poniżej.</w:t>
      </w:r>
      <w:r>
        <w:rPr>
          <w:rFonts w:cstheme="minorHAnsi"/>
        </w:rPr>
      </w:r>
      <w:r/>
      <w:r>
        <w:rPr>
          <w:rFonts w:eastAsia="Times New Roman"/>
          <w:color w:val="000000" w:themeColor="text1"/>
          <w14:ligatures w14:val="none"/>
        </w:rPr>
      </w:r>
    </w:p>
    <w:p>
      <w:pPr>
        <w:pStyle w:val="846"/>
        <w:ind w:left="0"/>
        <w:jc w:val="both"/>
        <w:spacing w:after="0"/>
        <w:tabs>
          <w:tab w:val="left" w:pos="284" w:leader="none"/>
          <w:tab w:val="left" w:pos="567" w:leader="none"/>
          <w:tab w:val="left" w:pos="992" w:leader="none"/>
        </w:tabs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 xml:space="preserve">„Art.  7. </w:t>
      </w:r>
      <w:r>
        <w:rPr>
          <w:rFonts w:eastAsia="Times New Roman"/>
          <w:color w:val="000000"/>
        </w:rPr>
      </w:r>
    </w:p>
    <w:p>
      <w:pPr>
        <w:pStyle w:val="846"/>
        <w:ind w:left="0"/>
        <w:jc w:val="both"/>
        <w:spacing w:after="0"/>
        <w:tabs>
          <w:tab w:val="left" w:pos="284" w:leader="none"/>
          <w:tab w:val="left" w:pos="567" w:leader="none"/>
          <w:tab w:val="left" w:pos="992" w:leader="none"/>
        </w:tabs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 xml:space="preserve">1. Z postępowania o udzielenie zamówienia publicznego lub konkursu prowadzonego na podstawie </w:t>
      </w:r>
      <w:hyperlink r:id="rId9" w:tooltip="https://sip.lex.pl/#/document/18903829?cm=DOCUMENT" w:anchor="/document/18903829?cm=DOCUMENT" w:history="1">
        <w:r>
          <w:rPr>
            <w:rFonts w:eastAsia="Times New Roman"/>
            <w:color w:val="000000" w:themeColor="text1"/>
          </w:rPr>
          <w:t xml:space="preserve">ustawy</w:t>
        </w:r>
      </w:hyperlink>
      <w:r>
        <w:rPr>
          <w:rFonts w:eastAsia="Times New Roman"/>
          <w:color w:val="000000" w:themeColor="text1"/>
        </w:rPr>
        <w:t xml:space="preserve"> z dnia 11 września 2019 r. - Prawo zamówień publicznych wyklucza się:</w:t>
      </w:r>
      <w:r>
        <w:rPr>
          <w:rFonts w:eastAsia="Times New Roman"/>
          <w:color w:val="000000"/>
        </w:rPr>
      </w:r>
    </w:p>
    <w:p>
      <w:pPr>
        <w:pStyle w:val="846"/>
        <w:ind w:left="0"/>
        <w:jc w:val="both"/>
        <w:spacing w:after="0"/>
        <w:tabs>
          <w:tab w:val="left" w:pos="284" w:leader="none"/>
          <w:tab w:val="left" w:pos="567" w:leader="none"/>
          <w:tab w:val="left" w:pos="992" w:leader="none"/>
        </w:tabs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 xml:space="preserve">1) wykonawcę oraz uczestnika konkursu wymienionego w wykazach określonych w </w:t>
      </w:r>
      <w:hyperlink r:id="rId10" w:tooltip="https://sip.lex.pl/#/document/67607987?cm=DOCUMENT" w:anchor="/document/67607987?cm=DOCUMENT" w:history="1">
        <w:r>
          <w:rPr>
            <w:rFonts w:eastAsia="Times New Roman"/>
            <w:color w:val="000000" w:themeColor="text1"/>
          </w:rPr>
          <w:t xml:space="preserve">rozporządzeniu</w:t>
        </w:r>
      </w:hyperlink>
      <w:r>
        <w:rPr>
          <w:rFonts w:eastAsia="Times New Roman"/>
          <w:color w:val="000000" w:themeColor="text1"/>
        </w:rPr>
        <w:t xml:space="preserve"> 765/2006 i </w:t>
      </w:r>
      <w:hyperlink r:id="rId11" w:tooltip="https://sip.lex.pl/#/document/68410867?cm=DOCUMENT" w:anchor="/document/68410867?cm=DOCUMENT" w:history="1">
        <w:r>
          <w:rPr>
            <w:rFonts w:eastAsia="Times New Roman"/>
            <w:color w:val="000000" w:themeColor="text1"/>
          </w:rPr>
          <w:t xml:space="preserve">rozporządzeniu</w:t>
        </w:r>
      </w:hyperlink>
      <w:r>
        <w:rPr>
          <w:rFonts w:eastAsia="Times New Roman"/>
          <w:color w:val="000000" w:themeColor="text1"/>
        </w:rPr>
        <w:t xml:space="preserve"> 269/2014 albo wpisanego na listę na podstawie decyzji w sprawie wpisu na listę rozstrzygającej o zastosowaniu środka, o którym mowa w art. 1 pkt 3;</w:t>
      </w:r>
      <w:r>
        <w:rPr>
          <w:rFonts w:eastAsia="Times New Roman"/>
          <w:color w:val="000000"/>
        </w:rPr>
      </w:r>
    </w:p>
    <w:p>
      <w:pPr>
        <w:pStyle w:val="846"/>
        <w:ind w:left="0"/>
        <w:jc w:val="both"/>
        <w:spacing w:after="0"/>
        <w:tabs>
          <w:tab w:val="left" w:pos="284" w:leader="none"/>
          <w:tab w:val="left" w:pos="567" w:leader="none"/>
          <w:tab w:val="left" w:pos="992" w:leader="none"/>
        </w:tabs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 xml:space="preserve">2) wykonawcę oraz uczestnika konkursu, którego beneficjentem rzeczywistym w rozumieniu </w:t>
      </w:r>
      <w:hyperlink r:id="rId12" w:tooltip="https://sip.lex.pl/#/document/18708093?cm=DOCUMENT" w:anchor="/document/18708093?cm=DOCUMENT" w:history="1">
        <w:r>
          <w:rPr>
            <w:rFonts w:eastAsia="Times New Roman"/>
            <w:color w:val="000000" w:themeColor="text1"/>
          </w:rPr>
          <w:t xml:space="preserve">ustawy</w:t>
        </w:r>
      </w:hyperlink>
      <w:r>
        <w:rPr>
          <w:rFonts w:eastAsia="Times New Roman"/>
          <w:color w:val="000000" w:themeColor="text1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tooltip="https://sip.lex.pl/#/document/67607987?cm=DOCUMENT" w:anchor="/document/67607987?cm=DOCUMENT" w:history="1">
        <w:r>
          <w:rPr>
            <w:rFonts w:eastAsia="Times New Roman"/>
            <w:color w:val="000000" w:themeColor="text1"/>
          </w:rPr>
          <w:t xml:space="preserve">rozporządzeniu</w:t>
        </w:r>
      </w:hyperlink>
      <w:r>
        <w:rPr>
          <w:rFonts w:eastAsia="Times New Roman"/>
          <w:color w:val="000000" w:themeColor="text1"/>
        </w:rPr>
        <w:t xml:space="preserve"> 765/2006 i </w:t>
      </w:r>
      <w:hyperlink r:id="rId14" w:tooltip="https://sip.lex.pl/#/document/68410867?cm=DOCUMENT" w:anchor="/document/68410867?cm=DOCUMENT" w:history="1">
        <w:r>
          <w:rPr>
            <w:rFonts w:eastAsia="Times New Roman"/>
            <w:color w:val="000000" w:themeColor="text1"/>
          </w:rPr>
          <w:t xml:space="preserve">rozporządzeniu</w:t>
        </w:r>
      </w:hyperlink>
      <w:r>
        <w:rPr>
          <w:rFonts w:eastAsia="Times New Roman"/>
          <w:color w:val="000000" w:themeColor="text1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  <w:r>
        <w:rPr>
          <w:rFonts w:eastAsia="Times New Roman"/>
          <w:color w:val="000000"/>
        </w:rPr>
      </w:r>
    </w:p>
    <w:p>
      <w:pPr>
        <w:pStyle w:val="846"/>
        <w:ind w:left="0"/>
        <w:jc w:val="both"/>
        <w:spacing w:after="0"/>
        <w:tabs>
          <w:tab w:val="left" w:pos="284" w:leader="none"/>
          <w:tab w:val="left" w:pos="567" w:leader="none"/>
          <w:tab w:val="left" w:pos="992" w:leader="none"/>
        </w:tabs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 xml:space="preserve">3) wykonawcę oraz uczestnika konkursu, którego jednostką dominującą w rozumieniu </w:t>
      </w:r>
      <w:hyperlink r:id="rId15" w:tooltip="https://sip.lex.pl/#/document/16796295?unitId=art(3)ust(1)pkt(37)&amp;cm=DOCUMENT" w:anchor="/document/16796295?unitId=art(3)ust(1)pkt(37)&amp;cm=DOCUMENT" w:history="1">
        <w:r>
          <w:rPr>
            <w:rFonts w:eastAsia="Times New Roman"/>
            <w:color w:val="000000" w:themeColor="text1"/>
          </w:rPr>
          <w:t xml:space="preserve">art. 3 ust. 1 pkt 37</w:t>
        </w:r>
      </w:hyperlink>
      <w:r>
        <w:rPr>
          <w:rFonts w:eastAsia="Times New Roman"/>
          <w:color w:val="000000" w:themeColor="text1"/>
        </w:rPr>
        <w:t xml:space="preserve"> ustawy z dnia 29 września 1994 r. o rachunkowości (Dz. U. z 2021 r. poz. 217, 2105 i 2106) jest podmiot wymieniony w wykazach określonych w </w:t>
      </w:r>
      <w:hyperlink r:id="rId16" w:tooltip="https://sip.lex.pl/#/document/67607987?cm=DOCUMENT" w:anchor="/document/67607987?cm=DOCUMENT" w:history="1">
        <w:r>
          <w:rPr>
            <w:rFonts w:eastAsia="Times New Roman"/>
            <w:color w:val="000000" w:themeColor="text1"/>
          </w:rPr>
          <w:t xml:space="preserve">rozporządzeniu</w:t>
        </w:r>
      </w:hyperlink>
      <w:r>
        <w:rPr>
          <w:rFonts w:eastAsia="Times New Roman"/>
          <w:color w:val="000000" w:themeColor="text1"/>
        </w:rPr>
        <w:t xml:space="preserve"> 765/2006 i </w:t>
      </w:r>
      <w:hyperlink r:id="rId17" w:tooltip="https://sip.lex.pl/#/document/68410867?cm=DOCUMENT" w:anchor="/document/68410867?cm=DOCUMENT" w:history="1">
        <w:r>
          <w:rPr>
            <w:rFonts w:eastAsia="Times New Roman"/>
            <w:color w:val="000000" w:themeColor="text1"/>
          </w:rPr>
          <w:t xml:space="preserve">rozporządzeniu</w:t>
        </w:r>
      </w:hyperlink>
      <w:r>
        <w:rPr>
          <w:rFonts w:eastAsia="Times New Roman"/>
          <w:color w:val="000000" w:themeColor="text1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eastAsia="Times New Roman"/>
          <w:color w:val="000000"/>
        </w:rPr>
      </w:r>
    </w:p>
    <w:p>
      <w:pPr>
        <w:pStyle w:val="846"/>
        <w:ind w:left="0"/>
        <w:jc w:val="both"/>
        <w:spacing w:after="0"/>
        <w:tabs>
          <w:tab w:val="left" w:pos="284" w:leader="none"/>
          <w:tab w:val="left" w:pos="567" w:leader="none"/>
          <w:tab w:val="left" w:pos="992" w:leader="none"/>
        </w:tabs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 xml:space="preserve">2. Wykluczenie następuje na okres trwania okoliczności określonych w ust. 1.</w:t>
      </w:r>
      <w:r>
        <w:rPr>
          <w:rFonts w:eastAsia="Times New Roman"/>
          <w:color w:val="000000"/>
        </w:rPr>
      </w:r>
    </w:p>
    <w:p>
      <w:pPr>
        <w:pStyle w:val="846"/>
        <w:ind w:left="0"/>
        <w:jc w:val="both"/>
        <w:spacing w:after="0"/>
        <w:tabs>
          <w:tab w:val="left" w:pos="284" w:leader="none"/>
          <w:tab w:val="left" w:pos="567" w:leader="none"/>
          <w:tab w:val="left" w:pos="992" w:leader="none"/>
        </w:tabs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 xml:space="preserve">3. W przypadku wykonawcy lub uczes</w:t>
      </w:r>
      <w:r>
        <w:rPr>
          <w:rFonts w:eastAsia="Times New Roman"/>
          <w:color w:val="000000" w:themeColor="text1"/>
        </w:rPr>
        <w:t xml:space="preserve">tnika konkursu wykluczonego na podstawie ust. 1, zamawiający odrzuca wniosek o dopuszczenie do udziału w postępowaniu o udzielnie zamówienia publicznego lub ofertę takiego wykonawcy lub uczestnika konkursu, nie zaprasza go do złożenia oferty wstępnej, ofer</w:t>
      </w:r>
      <w:r>
        <w:rPr>
          <w:rFonts w:eastAsia="Times New Roman"/>
          <w:color w:val="000000" w:themeColor="text1"/>
        </w:rPr>
        <w:t xml:space="preserve">ty podlegającej negocjacjom, oferty dodatkowej, oferty lub oferty ostatecznej, nie zaprasza go do negocjacji lub dialogu, a także nie prowadzi z takim wykonawcą negocjacji lub dialogu, odrzuca wniosek o dopuszczenie do udziału w konkursie, nie zaprasza do </w:t>
      </w:r>
      <w:r>
        <w:rPr>
          <w:rFonts w:eastAsia="Times New Roman"/>
          <w:color w:val="000000" w:themeColor="text1"/>
        </w:rPr>
        <w:t xml:space="preserve">złożenia pracy konkursowej lub nie przeprowadza oceny pracy konkursowej, odpowiednio do trybu stosowanego do udzielenia zamówienia publicznego oraz etapu prowadzonego postępowania o udzielenie zamówienia publicznego.</w:t>
      </w:r>
      <w:r>
        <w:rPr>
          <w:rFonts w:eastAsia="Times New Roman"/>
          <w:color w:val="000000"/>
        </w:rPr>
      </w:r>
    </w:p>
    <w:p>
      <w:pPr>
        <w:pStyle w:val="846"/>
        <w:ind w:left="0"/>
        <w:jc w:val="both"/>
        <w:spacing w:after="0"/>
        <w:tabs>
          <w:tab w:val="left" w:pos="284" w:leader="none"/>
          <w:tab w:val="left" w:pos="567" w:leader="none"/>
          <w:tab w:val="left" w:pos="992" w:leader="none"/>
        </w:tabs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 xml:space="preserve">4. Kontrola udzielania zamówień publicznych w zakresie zgodności z ust. 1 jest wykonywana zgodnie z </w:t>
      </w:r>
      <w:hyperlink r:id="rId18" w:tooltip="https://sip.lex.pl/#/document/18903829?unitId=art(596)&amp;cm=DOCUMENT" w:anchor="/document/18903829?unitId=art(596)&amp;cm=DOCUMENT" w:history="1">
        <w:r>
          <w:rPr>
            <w:rFonts w:eastAsia="Times New Roman"/>
            <w:color w:val="000000" w:themeColor="text1"/>
          </w:rPr>
          <w:t xml:space="preserve">art. 596</w:t>
        </w:r>
      </w:hyperlink>
      <w:r>
        <w:rPr>
          <w:rFonts w:eastAsia="Times New Roman"/>
          <w:color w:val="000000" w:themeColor="text1"/>
        </w:rPr>
        <w:t xml:space="preserve"> ustawy z dnia 11 września 2019 r. - Prawo zamówień publicznych.</w:t>
      </w:r>
      <w:r>
        <w:rPr>
          <w:rFonts w:eastAsia="Times New Roman"/>
          <w:color w:val="000000"/>
        </w:rPr>
      </w:r>
    </w:p>
    <w:p>
      <w:pPr>
        <w:pStyle w:val="846"/>
        <w:ind w:left="0"/>
        <w:jc w:val="both"/>
        <w:spacing w:after="0"/>
        <w:tabs>
          <w:tab w:val="left" w:pos="284" w:leader="none"/>
          <w:tab w:val="left" w:pos="567" w:leader="none"/>
          <w:tab w:val="left" w:pos="992" w:leader="none"/>
        </w:tabs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 xml:space="preserve">5. Przez ubieganie się o udzielenie zamówienia publi</w:t>
      </w:r>
      <w:r>
        <w:rPr>
          <w:rFonts w:eastAsia="Times New Roman"/>
          <w:color w:val="000000" w:themeColor="text1"/>
        </w:rPr>
        <w:t xml:space="preserve">cznego lub dopuszczenie do udziału w konkursie rozumie się odpowiednio złożenie wniosku o dopuszczenie do udziału w postępowaniu o udzielenie zamówienia publicznego lub konkursie, złożenie oferty, przystąpienie do negocjacji lub złożenie pracy konkursowej.</w:t>
      </w:r>
      <w:r>
        <w:rPr>
          <w:rFonts w:eastAsia="Times New Roman"/>
          <w:color w:val="000000"/>
        </w:rPr>
      </w:r>
    </w:p>
    <w:p>
      <w:pPr>
        <w:pStyle w:val="846"/>
        <w:ind w:left="0"/>
        <w:jc w:val="both"/>
        <w:spacing w:after="0"/>
        <w:tabs>
          <w:tab w:val="left" w:pos="284" w:leader="none"/>
          <w:tab w:val="left" w:pos="567" w:leader="none"/>
          <w:tab w:val="left" w:pos="992" w:leader="none"/>
        </w:tabs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 xml:space="preserve">6. Osoba lub podmiot podlegające wykluczeniu</w:t>
      </w:r>
      <w:r>
        <w:rPr>
          <w:rFonts w:eastAsia="Times New Roman"/>
          <w:color w:val="000000" w:themeColor="text1"/>
        </w:rPr>
        <w:t xml:space="preserve"> na podstawie ust. 1, które w okresie tego wykluczenia ubiegają się o udzielenie zamówienia publicznego lub dopuszczenie do udziału w konkursie lub biorą udział w postępowaniu o udzielenie zamówienia publicznego lub w konkursie, podlegają karze pieniężnej.</w:t>
      </w:r>
      <w:r>
        <w:rPr>
          <w:rFonts w:eastAsia="Times New Roman"/>
          <w:color w:val="000000"/>
        </w:rPr>
      </w:r>
    </w:p>
    <w:p>
      <w:pPr>
        <w:pStyle w:val="846"/>
        <w:ind w:left="0"/>
        <w:jc w:val="both"/>
        <w:spacing w:after="0"/>
        <w:tabs>
          <w:tab w:val="left" w:pos="284" w:leader="none"/>
          <w:tab w:val="left" w:pos="567" w:leader="none"/>
          <w:tab w:val="left" w:pos="992" w:leader="none"/>
        </w:tabs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 xml:space="preserve">7. Karę pieniężną, o której mowa w ust. 6, nakłada Prezes Urzędu Zamówień Publicznych, w drodze decyzji, w wysokości do 20 000 000 zł.</w:t>
      </w:r>
      <w:r>
        <w:rPr>
          <w:rFonts w:eastAsia="Times New Roman"/>
          <w:color w:val="000000"/>
        </w:rPr>
      </w:r>
    </w:p>
    <w:p>
      <w:pPr>
        <w:pStyle w:val="846"/>
        <w:ind w:left="0"/>
        <w:jc w:val="both"/>
        <w:spacing w:after="0"/>
        <w:tabs>
          <w:tab w:val="left" w:pos="284" w:leader="none"/>
          <w:tab w:val="left" w:pos="567" w:leader="none"/>
          <w:tab w:val="left" w:pos="992" w:leader="none"/>
        </w:tabs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 xml:space="preserve">8. Wpływy z kar pieniężnych, o których mowa w ust. 6, stanowią dochód budżetu państwa.</w:t>
      </w:r>
      <w:r>
        <w:rPr>
          <w:rFonts w:eastAsia="Times New Roman"/>
          <w:color w:val="000000"/>
        </w:rPr>
      </w:r>
    </w:p>
    <w:p>
      <w:pPr>
        <w:pStyle w:val="846"/>
        <w:ind w:left="0"/>
        <w:jc w:val="both"/>
        <w:spacing w:after="0"/>
        <w:tabs>
          <w:tab w:val="left" w:pos="284" w:leader="none"/>
          <w:tab w:val="left" w:pos="567" w:leader="none"/>
          <w:tab w:val="left" w:pos="992" w:leader="none"/>
        </w:tabs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 xml:space="preserve">9. Przepisy ust. 1-8 stosuje się do postępowania zmierzającego do udzielenia zamówienia publicznego oraz konkursów o wartości mniejszej niż kwoty określone w </w:t>
      </w:r>
      <w:hyperlink r:id="rId19" w:tooltip="https://sip.lex.pl/#/document/18903829?unitId=art(2)ust(1)&amp;cm=DOCUMENT" w:anchor="/document/18903829?unitId=art(2)ust(1)&amp;cm=DOCUMENT" w:history="1">
        <w:r>
          <w:rPr>
            <w:rFonts w:eastAsia="Times New Roman"/>
            <w:color w:val="000000" w:themeColor="text1"/>
          </w:rPr>
          <w:t xml:space="preserve">art. 2 ust. 1</w:t>
        </w:r>
      </w:hyperlink>
      <w:r>
        <w:rPr>
          <w:rFonts w:eastAsia="Times New Roman"/>
          <w:color w:val="000000" w:themeColor="text1"/>
        </w:rPr>
        <w:t xml:space="preserve"> ustawy z dnia 11 września 2019 r. - Prawo zamówień publicznych lub z wyłączeniem stosowania tej ustawy.”</w:t>
      </w:r>
      <w:r>
        <w:rPr>
          <w:rFonts w:eastAsia="Times New Roman"/>
          <w:color w:val="000000"/>
        </w:rPr>
      </w:r>
    </w:p>
    <w:p>
      <w:pPr>
        <w:jc w:val="both"/>
        <w:spacing w:after="0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spacing w:after="0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spacing w:after="0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spacing w:after="0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__________________</w:t>
      </w:r>
      <w:r>
        <w:rPr>
          <w:rFonts w:eastAsia="Times New Roman"/>
        </w:rPr>
      </w:r>
    </w:p>
    <w:p>
      <w:pPr>
        <w:spacing w:after="0" w:line="240" w:lineRule="auto"/>
        <w:rPr>
          <w:rFonts w:eastAsia="Times New Roman"/>
        </w:rPr>
      </w:pPr>
      <w:r>
        <w:rPr>
          <w:rFonts w:eastAsia="Times New Roman"/>
          <w:sz w:val="18"/>
          <w:szCs w:val="18"/>
        </w:rPr>
        <w:t xml:space="preserve">miejscowość, data</w:t>
      </w:r>
      <w:r>
        <w:rPr>
          <w:rFonts w:eastAsia="Times New Roman"/>
        </w:rPr>
      </w:r>
    </w:p>
    <w:p>
      <w:pPr>
        <w:jc w:val="right"/>
        <w:spacing w:after="0" w:line="240" w:lineRule="auto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_________________________________</w:t>
      </w:r>
      <w:r>
        <w:rPr>
          <w:rFonts w:eastAsia="Times New Roman"/>
        </w:rPr>
      </w:r>
    </w:p>
    <w:p>
      <w:pPr>
        <w:ind w:firstLine="696"/>
        <w:jc w:val="right"/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podpis i pieczątka upoważnionego/  upoważnionych</w:t>
      </w:r>
      <w:r>
        <w:rPr>
          <w:rFonts w:eastAsia="Times New Roman"/>
          <w:sz w:val="18"/>
          <w:szCs w:val="18"/>
        </w:rPr>
      </w:r>
    </w:p>
    <w:p>
      <w:pPr>
        <w:ind w:firstLine="696"/>
        <w:jc w:val="right"/>
        <w:spacing w:after="0" w:line="240" w:lineRule="auto"/>
        <w:rPr>
          <w:rFonts w:eastAsia="Times New Roman"/>
        </w:rPr>
      </w:pPr>
      <w:r>
        <w:rPr>
          <w:rFonts w:eastAsia="Times New Roman"/>
          <w:sz w:val="18"/>
          <w:szCs w:val="18"/>
        </w:rPr>
        <w:t xml:space="preserve"> przedstawiciela / przedstawicieli wykonawcy</w:t>
      </w:r>
      <w:r>
        <w:rPr>
          <w:rFonts w:eastAsia="Times New Roman"/>
        </w:rPr>
      </w:r>
    </w:p>
    <w:p>
      <w:pPr>
        <w:ind w:left="3828" w:firstLine="5"/>
        <w:jc w:val="center"/>
        <w:spacing w:after="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4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5"/>
    <w:link w:val="66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5"/>
    <w:link w:val="66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5"/>
    <w:link w:val="687"/>
    <w:uiPriority w:val="10"/>
    <w:rPr>
      <w:sz w:val="48"/>
      <w:szCs w:val="48"/>
    </w:rPr>
  </w:style>
  <w:style w:type="character" w:styleId="37">
    <w:name w:val="Subtitle Char"/>
    <w:basedOn w:val="675"/>
    <w:link w:val="689"/>
    <w:uiPriority w:val="11"/>
    <w:rPr>
      <w:sz w:val="24"/>
      <w:szCs w:val="24"/>
    </w:rPr>
  </w:style>
  <w:style w:type="character" w:styleId="39">
    <w:name w:val="Quote Char"/>
    <w:link w:val="691"/>
    <w:uiPriority w:val="29"/>
    <w:rPr>
      <w:i/>
    </w:rPr>
  </w:style>
  <w:style w:type="character" w:styleId="41">
    <w:name w:val="Intense Quote Char"/>
    <w:link w:val="693"/>
    <w:uiPriority w:val="30"/>
    <w:rPr>
      <w:i/>
    </w:rPr>
  </w:style>
  <w:style w:type="character" w:styleId="43">
    <w:name w:val="Header Char"/>
    <w:basedOn w:val="675"/>
    <w:link w:val="695"/>
    <w:uiPriority w:val="99"/>
  </w:style>
  <w:style w:type="character" w:styleId="47">
    <w:name w:val="Caption Char"/>
    <w:basedOn w:val="699"/>
    <w:link w:val="697"/>
    <w:uiPriority w:val="99"/>
  </w:style>
  <w:style w:type="character" w:styleId="176">
    <w:name w:val="Footnote Text Char"/>
    <w:link w:val="828"/>
    <w:uiPriority w:val="99"/>
    <w:rPr>
      <w:sz w:val="18"/>
    </w:rPr>
  </w:style>
  <w:style w:type="character" w:styleId="179">
    <w:name w:val="Endnote Text Char"/>
    <w:link w:val="831"/>
    <w:uiPriority w:val="99"/>
    <w:rPr>
      <w:sz w:val="20"/>
    </w:rPr>
  </w:style>
  <w:style w:type="paragraph" w:styleId="665" w:default="1">
    <w:name w:val="Normal"/>
    <w:qFormat/>
  </w:style>
  <w:style w:type="paragraph" w:styleId="666">
    <w:name w:val="Heading 1"/>
    <w:basedOn w:val="665"/>
    <w:next w:val="665"/>
    <w:link w:val="67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7">
    <w:name w:val="Heading 2"/>
    <w:basedOn w:val="665"/>
    <w:next w:val="665"/>
    <w:link w:val="67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8">
    <w:name w:val="Heading 3"/>
    <w:basedOn w:val="665"/>
    <w:next w:val="665"/>
    <w:link w:val="68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9">
    <w:name w:val="Heading 4"/>
    <w:basedOn w:val="665"/>
    <w:next w:val="665"/>
    <w:link w:val="68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665"/>
    <w:next w:val="665"/>
    <w:link w:val="68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665"/>
    <w:next w:val="665"/>
    <w:link w:val="68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2">
    <w:name w:val="Heading 7"/>
    <w:basedOn w:val="665"/>
    <w:next w:val="665"/>
    <w:link w:val="68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3">
    <w:name w:val="Heading 8"/>
    <w:basedOn w:val="665"/>
    <w:next w:val="665"/>
    <w:link w:val="68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4">
    <w:name w:val="Heading 9"/>
    <w:basedOn w:val="665"/>
    <w:next w:val="665"/>
    <w:link w:val="68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Nagłówek 1 Znak"/>
    <w:link w:val="666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Nagłówek 2 Znak"/>
    <w:link w:val="667"/>
    <w:uiPriority w:val="9"/>
    <w:rPr>
      <w:rFonts w:ascii="Arial" w:hAnsi="Arial" w:eastAsia="Arial" w:cs="Arial"/>
      <w:sz w:val="34"/>
    </w:rPr>
  </w:style>
  <w:style w:type="character" w:styleId="680" w:customStyle="1">
    <w:name w:val="Nagłówek 3 Znak"/>
    <w:link w:val="668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Nagłówek 4 Znak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Nagłówek 5 Znak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Nagłówek 6 Znak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Nagłówek 7 Znak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Nagłówek 8 Znak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Nagłówek 9 Znak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Title"/>
    <w:basedOn w:val="665"/>
    <w:next w:val="665"/>
    <w:link w:val="688"/>
    <w:uiPriority w:val="10"/>
    <w:qFormat/>
    <w:pPr>
      <w:contextualSpacing/>
      <w:spacing w:before="300"/>
    </w:pPr>
    <w:rPr>
      <w:sz w:val="48"/>
      <w:szCs w:val="48"/>
    </w:rPr>
  </w:style>
  <w:style w:type="character" w:styleId="688" w:customStyle="1">
    <w:name w:val="Tytuł Znak"/>
    <w:link w:val="687"/>
    <w:uiPriority w:val="10"/>
    <w:rPr>
      <w:sz w:val="48"/>
      <w:szCs w:val="48"/>
    </w:rPr>
  </w:style>
  <w:style w:type="paragraph" w:styleId="689">
    <w:name w:val="Subtitle"/>
    <w:basedOn w:val="665"/>
    <w:next w:val="665"/>
    <w:link w:val="690"/>
    <w:uiPriority w:val="11"/>
    <w:qFormat/>
    <w:pPr>
      <w:spacing w:before="200"/>
    </w:pPr>
    <w:rPr>
      <w:sz w:val="24"/>
      <w:szCs w:val="24"/>
    </w:rPr>
  </w:style>
  <w:style w:type="character" w:styleId="690" w:customStyle="1">
    <w:name w:val="Podtytuł Znak"/>
    <w:link w:val="689"/>
    <w:uiPriority w:val="11"/>
    <w:rPr>
      <w:sz w:val="24"/>
      <w:szCs w:val="24"/>
    </w:rPr>
  </w:style>
  <w:style w:type="paragraph" w:styleId="691">
    <w:name w:val="Quote"/>
    <w:basedOn w:val="665"/>
    <w:next w:val="665"/>
    <w:link w:val="692"/>
    <w:uiPriority w:val="29"/>
    <w:qFormat/>
    <w:pPr>
      <w:ind w:left="720" w:right="720"/>
    </w:pPr>
    <w:rPr>
      <w:i/>
    </w:rPr>
  </w:style>
  <w:style w:type="character" w:styleId="692" w:customStyle="1">
    <w:name w:val="Cytat Znak"/>
    <w:link w:val="691"/>
    <w:uiPriority w:val="29"/>
    <w:rPr>
      <w:i/>
    </w:rPr>
  </w:style>
  <w:style w:type="paragraph" w:styleId="693">
    <w:name w:val="Intense Quote"/>
    <w:basedOn w:val="665"/>
    <w:next w:val="665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 w:customStyle="1">
    <w:name w:val="Cytat intensywny Znak"/>
    <w:link w:val="693"/>
    <w:uiPriority w:val="30"/>
    <w:rPr>
      <w:i/>
    </w:rPr>
  </w:style>
  <w:style w:type="paragraph" w:styleId="695">
    <w:name w:val="Header"/>
    <w:basedOn w:val="665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 w:customStyle="1">
    <w:name w:val="Nagłówek Znak"/>
    <w:link w:val="695"/>
    <w:uiPriority w:val="99"/>
  </w:style>
  <w:style w:type="paragraph" w:styleId="697">
    <w:name w:val="Footer"/>
    <w:basedOn w:val="665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 w:customStyle="1">
    <w:name w:val="Footer Char"/>
    <w:uiPriority w:val="99"/>
  </w:style>
  <w:style w:type="paragraph" w:styleId="699">
    <w:name w:val="Caption"/>
    <w:basedOn w:val="665"/>
    <w:next w:val="665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0" w:customStyle="1">
    <w:name w:val="Stopka Znak"/>
    <w:link w:val="697"/>
    <w:uiPriority w:val="99"/>
  </w:style>
  <w:style w:type="table" w:styleId="701">
    <w:name w:val="Table Grid"/>
    <w:basedOn w:val="67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2" w:customStyle="1">
    <w:name w:val="Table Grid Light"/>
    <w:basedOn w:val="67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3">
    <w:name w:val="Plain Table 1"/>
    <w:basedOn w:val="67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67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 w:customStyle="1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1" w:customStyle="1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2" w:customStyle="1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3" w:customStyle="1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4" w:customStyle="1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5" w:customStyle="1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6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3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 w:customStyle="1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5" w:customStyle="1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6" w:customStyle="1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7" w:customStyle="1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8" w:customStyle="1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9" w:customStyle="1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0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3" w:customStyle="1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4" w:customStyle="1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5" w:customStyle="1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6" w:customStyle="1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7" w:customStyle="1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8" w:customStyle="1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9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ned - Accent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7" w:customStyle="1">
    <w:name w:val="Lined - Accent 1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8" w:customStyle="1">
    <w:name w:val="Lined - Accent 2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9" w:customStyle="1">
    <w:name w:val="Lined - Accent 3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0" w:customStyle="1">
    <w:name w:val="Lined - Accent 4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1" w:customStyle="1">
    <w:name w:val="Lined - Accent 5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2" w:customStyle="1">
    <w:name w:val="Lined - Accent 6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3" w:customStyle="1">
    <w:name w:val="Bordered &amp; Lined - Accent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Bordered &amp; Lined - Accent 1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5" w:customStyle="1">
    <w:name w:val="Bordered &amp; Lined - Accent 2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6" w:customStyle="1">
    <w:name w:val="Bordered &amp; Lined - Accent 3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7" w:customStyle="1">
    <w:name w:val="Bordered &amp; Lined - Accent 4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8" w:customStyle="1">
    <w:name w:val="Bordered &amp; Lined - Accent 5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9" w:customStyle="1">
    <w:name w:val="Bordered &amp; Lined - Accent 6"/>
    <w:basedOn w:val="676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0" w:customStyle="1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1" w:customStyle="1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2" w:customStyle="1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3" w:customStyle="1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4" w:customStyle="1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5" w:customStyle="1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6" w:customStyle="1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563c1" w:themeColor="hyperlink"/>
      <w:u w:val="single"/>
    </w:rPr>
  </w:style>
  <w:style w:type="paragraph" w:styleId="828">
    <w:name w:val="footnote text"/>
    <w:basedOn w:val="66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 w:customStyle="1">
    <w:name w:val="Tekst przypisu dolnego Znak"/>
    <w:link w:val="828"/>
    <w:uiPriority w:val="99"/>
    <w:rPr>
      <w:sz w:val="18"/>
    </w:rPr>
  </w:style>
  <w:style w:type="character" w:styleId="830">
    <w:name w:val="footnote reference"/>
    <w:uiPriority w:val="99"/>
    <w:unhideWhenUsed/>
    <w:rPr>
      <w:vertAlign w:val="superscript"/>
    </w:rPr>
  </w:style>
  <w:style w:type="paragraph" w:styleId="831">
    <w:name w:val="endnote text"/>
    <w:basedOn w:val="66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 w:customStyle="1">
    <w:name w:val="Tekst przypisu końcowego Znak"/>
    <w:link w:val="831"/>
    <w:uiPriority w:val="99"/>
    <w:rPr>
      <w:sz w:val="20"/>
    </w:rPr>
  </w:style>
  <w:style w:type="character" w:styleId="833">
    <w:name w:val="endnote reference"/>
    <w:uiPriority w:val="99"/>
    <w:semiHidden/>
    <w:unhideWhenUsed/>
    <w:rPr>
      <w:vertAlign w:val="superscript"/>
    </w:rPr>
  </w:style>
  <w:style w:type="paragraph" w:styleId="834">
    <w:name w:val="toc 1"/>
    <w:basedOn w:val="665"/>
    <w:next w:val="665"/>
    <w:uiPriority w:val="39"/>
    <w:unhideWhenUsed/>
    <w:pPr>
      <w:spacing w:after="57"/>
    </w:pPr>
  </w:style>
  <w:style w:type="paragraph" w:styleId="835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36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37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38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39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40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41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42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665"/>
    <w:next w:val="665"/>
    <w:uiPriority w:val="99"/>
    <w:unhideWhenUsed/>
    <w:pPr>
      <w:spacing w:after="0"/>
    </w:pPr>
  </w:style>
  <w:style w:type="paragraph" w:styleId="845">
    <w:name w:val="No Spacing"/>
    <w:basedOn w:val="665"/>
    <w:uiPriority w:val="1"/>
    <w:qFormat/>
    <w:pPr>
      <w:spacing w:after="0" w:line="240" w:lineRule="auto"/>
    </w:pPr>
  </w:style>
  <w:style w:type="paragraph" w:styleId="846">
    <w:name w:val="List Paragraph"/>
    <w:basedOn w:val="66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6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Piotr Piątak</cp:lastModifiedBy>
  <cp:revision>9</cp:revision>
  <dcterms:created xsi:type="dcterms:W3CDTF">2024-03-15T11:45:00Z</dcterms:created>
  <dcterms:modified xsi:type="dcterms:W3CDTF">2024-07-11T13:02:16Z</dcterms:modified>
</cp:coreProperties>
</file>