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5B12C8" w:rsidRPr="005B12C8">
        <w:rPr>
          <w:rFonts w:ascii="Arial" w:hAnsi="Arial" w:cs="Arial"/>
        </w:rPr>
        <w:t>t.j. Dz. U. z 2023 r. poz. 1605</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rsidR="007530CB" w:rsidRPr="005A2778" w:rsidRDefault="005A2778" w:rsidP="00AA3AFC">
      <w:pPr>
        <w:tabs>
          <w:tab w:val="center" w:pos="4536"/>
          <w:tab w:val="left" w:pos="6945"/>
        </w:tabs>
        <w:spacing w:before="40" w:after="240" w:line="360" w:lineRule="auto"/>
        <w:jc w:val="center"/>
        <w:rPr>
          <w:rFonts w:ascii="Arial" w:hAnsi="Arial" w:cs="Arial"/>
          <w:b/>
        </w:rPr>
      </w:pPr>
      <w:r>
        <w:rPr>
          <w:rFonts w:ascii="Arial" w:hAnsi="Arial" w:cs="Arial"/>
          <w:b/>
        </w:rPr>
        <w:t>„</w:t>
      </w:r>
      <w:r w:rsidR="00B42938" w:rsidRPr="00B42938">
        <w:rPr>
          <w:rFonts w:ascii="Arial" w:hAnsi="Arial" w:cs="Arial"/>
          <w:b/>
        </w:rPr>
        <w:t>Modernizacja drogi powiatowej nr 2449C Strzelno – Jaworowo od km 10+980 do km 12+138, na długości 1,158km</w:t>
      </w:r>
      <w:r>
        <w:rPr>
          <w:rFonts w:ascii="Arial" w:hAnsi="Arial" w:cs="Arial"/>
          <w:b/>
        </w:rPr>
        <w:t>”</w:t>
      </w:r>
    </w:p>
    <w:p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0" w:name="_Hlk100908335"/>
      <w:r w:rsidR="001D14D0" w:rsidRPr="001D14D0">
        <w:rPr>
          <w:rFonts w:ascii="Arial" w:hAnsi="Arial" w:cs="Arial"/>
          <w:caps/>
        </w:rPr>
        <w:t>ZDP.11.272.</w:t>
      </w:r>
      <w:r w:rsidR="00B42938">
        <w:rPr>
          <w:rFonts w:ascii="Arial" w:hAnsi="Arial" w:cs="Arial"/>
          <w:caps/>
        </w:rPr>
        <w:t>7</w:t>
      </w:r>
      <w:r w:rsidR="001D14D0" w:rsidRPr="001D14D0">
        <w:rPr>
          <w:rFonts w:ascii="Arial" w:hAnsi="Arial" w:cs="Arial"/>
          <w:caps/>
        </w:rPr>
        <w:t>.202</w:t>
      </w:r>
      <w:bookmarkEnd w:id="0"/>
      <w:r w:rsidR="00B42938">
        <w:rPr>
          <w:rFonts w:ascii="Arial" w:hAnsi="Arial" w:cs="Arial"/>
          <w:caps/>
        </w:rPr>
        <w:t>4</w:t>
      </w:r>
    </w:p>
    <w:p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5C31F7" w:rsidRPr="00A4496A">
        <w:rPr>
          <w:rFonts w:ascii="Arial" w:hAnsi="Arial" w:cs="Arial"/>
        </w:rPr>
        <w:t>12</w:t>
      </w:r>
      <w:r w:rsidR="001B6935">
        <w:rPr>
          <w:rFonts w:ascii="Arial" w:hAnsi="Arial" w:cs="Arial"/>
        </w:rPr>
        <w:t>.07</w:t>
      </w:r>
      <w:r w:rsidRPr="00726E5A">
        <w:rPr>
          <w:rFonts w:ascii="Arial" w:hAnsi="Arial" w:cs="Arial"/>
        </w:rPr>
        <w:t>.202</w:t>
      </w:r>
      <w:r w:rsidR="001B6935">
        <w:rPr>
          <w:rFonts w:ascii="Arial" w:hAnsi="Arial" w:cs="Arial"/>
        </w:rPr>
        <w:t>4</w:t>
      </w:r>
      <w:r w:rsidRPr="00726E5A">
        <w:rPr>
          <w:rFonts w:ascii="Arial" w:hAnsi="Arial" w:cs="Arial"/>
        </w:rPr>
        <w:t xml:space="preserve"> r.</w:t>
      </w:r>
    </w:p>
    <w:p w:rsidR="00067044" w:rsidRPr="00490D4C" w:rsidRDefault="00067044" w:rsidP="00B93AE5">
      <w:pPr>
        <w:pStyle w:val="Nagwek3"/>
        <w:numPr>
          <w:ilvl w:val="0"/>
          <w:numId w:val="43"/>
        </w:numPr>
        <w:spacing w:line="360" w:lineRule="auto"/>
      </w:pPr>
      <w:r w:rsidRPr="00490D4C">
        <w:lastRenderedPageBreak/>
        <w:t>NAZWA ORAZ ADRES ZAMAWIAJĄCEGO</w:t>
      </w:r>
    </w:p>
    <w:p w:rsidR="00067044" w:rsidRPr="00887FD2" w:rsidRDefault="00067044" w:rsidP="00067044">
      <w:pPr>
        <w:tabs>
          <w:tab w:val="left" w:pos="540"/>
        </w:tabs>
        <w:spacing w:line="360" w:lineRule="auto"/>
        <w:ind w:left="284"/>
        <w:jc w:val="both"/>
        <w:rPr>
          <w:rFonts w:ascii="Arial" w:hAnsi="Arial" w:cs="Arial"/>
          <w:sz w:val="20"/>
          <w:szCs w:val="20"/>
        </w:rPr>
      </w:pP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rsidR="00F24EB0" w:rsidRPr="00AA3AFC" w:rsidRDefault="00DF21DD" w:rsidP="00A02389">
      <w:pPr>
        <w:tabs>
          <w:tab w:val="left" w:pos="540"/>
        </w:tabs>
        <w:spacing w:line="360" w:lineRule="auto"/>
        <w:rPr>
          <w:rFonts w:ascii="Arial" w:hAnsi="Arial" w:cs="Arial"/>
          <w:color w:val="FF0000"/>
          <w:lang w:val="en-US"/>
        </w:rPr>
      </w:pPr>
      <w:r w:rsidRPr="00DF21DD">
        <w:rPr>
          <w:rFonts w:ascii="Arial" w:hAnsi="Arial" w:cs="Arial"/>
          <w:color w:val="FF0000"/>
          <w:lang w:val="en-US"/>
        </w:rPr>
        <w:t>https://platformazakupowa.pl/transakcja/954105</w:t>
      </w:r>
    </w:p>
    <w:p w:rsidR="00067044" w:rsidRDefault="00067044" w:rsidP="00B93AE5">
      <w:pPr>
        <w:pStyle w:val="Nagwek3"/>
        <w:numPr>
          <w:ilvl w:val="0"/>
          <w:numId w:val="43"/>
        </w:numPr>
        <w:spacing w:line="360" w:lineRule="auto"/>
      </w:pPr>
      <w:r w:rsidRPr="000C7661">
        <w:t>OCHRONA DANYCH OSOBO</w:t>
      </w:r>
      <w:r w:rsidR="0047706C">
        <w:t>WY</w:t>
      </w:r>
      <w:r w:rsidRPr="000C7661">
        <w:t>CH</w:t>
      </w:r>
    </w:p>
    <w:p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rsidR="000947D3" w:rsidRPr="000947D3" w:rsidRDefault="000947D3" w:rsidP="000947D3">
      <w:pPr>
        <w:spacing w:line="360" w:lineRule="auto"/>
        <w:rPr>
          <w:rFonts w:ascii="Arial" w:hAnsi="Arial" w:cs="Arial"/>
        </w:rPr>
      </w:pPr>
    </w:p>
    <w:p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w:t>
      </w:r>
      <w:r w:rsidR="0025568B">
        <w:rPr>
          <w:rFonts w:ascii="Arial" w:hAnsi="Arial" w:cs="Arial"/>
        </w:rPr>
        <w:t>20, 88-300 Mogilno tel. 52 315 7</w:t>
      </w:r>
      <w:r w:rsidR="00E30274" w:rsidRPr="00E30274">
        <w:rPr>
          <w:rFonts w:ascii="Arial" w:hAnsi="Arial" w:cs="Arial"/>
        </w:rPr>
        <w:t>0</w:t>
      </w:r>
      <w:r w:rsidR="0025568B">
        <w:rPr>
          <w:rFonts w:ascii="Arial" w:hAnsi="Arial" w:cs="Arial"/>
        </w:rPr>
        <w:t xml:space="preserve"> </w:t>
      </w:r>
      <w:r w:rsidR="00E30274" w:rsidRPr="00E30274">
        <w:rPr>
          <w:rFonts w:ascii="Arial" w:hAnsi="Arial" w:cs="Arial"/>
        </w:rPr>
        <w:t>47</w:t>
      </w:r>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w:t>
      </w:r>
      <w:r w:rsidR="005221D2">
        <w:rPr>
          <w:rFonts w:ascii="Arial" w:hAnsi="Arial" w:cs="Arial"/>
        </w:rPr>
        <w:t> </w:t>
      </w:r>
      <w:r w:rsidR="00DB4CCD" w:rsidRPr="00DB4CCD">
        <w:rPr>
          <w:rFonts w:ascii="Arial" w:hAnsi="Arial" w:cs="Arial"/>
        </w:rPr>
        <w:t>315</w:t>
      </w:r>
      <w:r w:rsidR="005221D2">
        <w:rPr>
          <w:rFonts w:ascii="Arial" w:hAnsi="Arial" w:cs="Arial"/>
        </w:rPr>
        <w:t xml:space="preserve"> 7</w:t>
      </w:r>
      <w:r w:rsidR="00DB4CCD" w:rsidRPr="00DB4CCD">
        <w:rPr>
          <w:rFonts w:ascii="Arial" w:hAnsi="Arial" w:cs="Arial"/>
        </w:rPr>
        <w:t>0</w:t>
      </w:r>
      <w:r w:rsidR="005221D2">
        <w:rPr>
          <w:rFonts w:ascii="Arial" w:hAnsi="Arial" w:cs="Arial"/>
        </w:rPr>
        <w:t xml:space="preserve"> </w:t>
      </w:r>
      <w:r w:rsidR="00DB4CCD" w:rsidRPr="00DB4CCD">
        <w:rPr>
          <w:rFonts w:ascii="Arial" w:hAnsi="Arial" w:cs="Arial"/>
        </w:rPr>
        <w:t>47, e-mail: monikak@zdpmogilno.pl</w:t>
      </w:r>
    </w:p>
    <w:p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w:t>
      </w:r>
      <w:proofErr w:type="spellStart"/>
      <w:r w:rsidRPr="000947D3">
        <w:rPr>
          <w:rFonts w:ascii="Arial" w:hAnsi="Arial" w:cs="Arial"/>
        </w:rPr>
        <w:t>Open</w:t>
      </w:r>
      <w:proofErr w:type="spellEnd"/>
      <w:r w:rsidRPr="000947D3">
        <w:rPr>
          <w:rFonts w:ascii="Arial" w:hAnsi="Arial" w:cs="Arial"/>
        </w:rPr>
        <w:t xml:space="preserve">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rsidR="00067044" w:rsidRPr="000C7661" w:rsidRDefault="00067044" w:rsidP="00B93AE5">
      <w:pPr>
        <w:pStyle w:val="Nagwek3"/>
        <w:numPr>
          <w:ilvl w:val="0"/>
          <w:numId w:val="43"/>
        </w:numPr>
        <w:spacing w:line="360" w:lineRule="auto"/>
      </w:pPr>
      <w:r w:rsidRPr="000C7661">
        <w:t>TRYB UDZIELENIA ZAMÓWIENIA</w:t>
      </w:r>
    </w:p>
    <w:p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rsidR="00F00C6C" w:rsidRPr="000C7661" w:rsidRDefault="00067044" w:rsidP="00B93AE5">
      <w:pPr>
        <w:pStyle w:val="Nagwek3"/>
        <w:numPr>
          <w:ilvl w:val="0"/>
          <w:numId w:val="43"/>
        </w:numPr>
        <w:spacing w:line="360" w:lineRule="auto"/>
      </w:pPr>
      <w:r w:rsidRPr="000C7661">
        <w:t>OPIS PRZEDMIOTU ZAMÓWIENIA</w:t>
      </w:r>
    </w:p>
    <w:p w:rsidR="00447F28" w:rsidRPr="004E131A" w:rsidRDefault="00447F28" w:rsidP="00447F28">
      <w:pPr>
        <w:pStyle w:val="Akapitzlist"/>
        <w:numPr>
          <w:ilvl w:val="0"/>
          <w:numId w:val="38"/>
        </w:numPr>
        <w:spacing w:line="360" w:lineRule="auto"/>
        <w:ind w:left="270" w:hanging="270"/>
        <w:rPr>
          <w:rFonts w:ascii="Arial" w:hAnsi="Arial" w:cs="Arial"/>
        </w:rPr>
      </w:pPr>
      <w:r w:rsidRPr="004E131A">
        <w:rPr>
          <w:rFonts w:ascii="Arial" w:hAnsi="Arial" w:cs="Arial"/>
        </w:rPr>
        <w:t xml:space="preserve">Przedmiotem zamówienia jest </w:t>
      </w:r>
      <w:r w:rsidR="00963F9B">
        <w:rPr>
          <w:rFonts w:ascii="Arial" w:hAnsi="Arial" w:cs="Arial"/>
        </w:rPr>
        <w:t>modernizacja drogi powiatowej nr 2449C Strzelno – Jaworowo od km 10+980 do km 12+138, na długości 1,158km</w:t>
      </w:r>
      <w:r w:rsidRPr="004E131A">
        <w:rPr>
          <w:rFonts w:ascii="Arial" w:hAnsi="Arial" w:cs="Arial"/>
        </w:rPr>
        <w:t>.</w:t>
      </w:r>
    </w:p>
    <w:p w:rsidR="00265491" w:rsidRDefault="00447F28" w:rsidP="00447F28">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w:t>
      </w:r>
      <w:r w:rsidR="00015610">
        <w:rPr>
          <w:rFonts w:ascii="Arial" w:hAnsi="Arial" w:cs="Arial"/>
        </w:rPr>
        <w:t xml:space="preserve">a znajduje się w załączniku nr 5 do SWZ – Dokumentacja </w:t>
      </w:r>
      <w:r w:rsidR="00336AF8">
        <w:rPr>
          <w:rFonts w:ascii="Arial" w:hAnsi="Arial" w:cs="Arial"/>
        </w:rPr>
        <w:t>techniczna</w:t>
      </w:r>
      <w:r w:rsidR="00091DB4">
        <w:rPr>
          <w:rFonts w:ascii="Arial" w:hAnsi="Arial" w:cs="Arial"/>
        </w:rPr>
        <w:t>.</w:t>
      </w:r>
    </w:p>
    <w:p w:rsidR="0025268F" w:rsidRPr="0025268F" w:rsidRDefault="0025268F" w:rsidP="0025268F">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Pr>
          <w:rFonts w:ascii="Arial" w:hAnsi="Arial" w:cs="Arial"/>
        </w:rPr>
        <w:t>jedną ofertę</w:t>
      </w:r>
      <w:r w:rsidRPr="00BD2331">
        <w:rPr>
          <w:rFonts w:ascii="Arial" w:hAnsi="Arial" w:cs="Arial"/>
        </w:rPr>
        <w:t>.</w:t>
      </w:r>
    </w:p>
    <w:p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lastRenderedPageBreak/>
        <w:t xml:space="preserve">Wspólny Słownik Zamówień CPV: </w:t>
      </w:r>
    </w:p>
    <w:p w:rsidR="00F50027" w:rsidRPr="00F50027" w:rsidRDefault="00F50027" w:rsidP="006300D1">
      <w:pPr>
        <w:spacing w:line="360" w:lineRule="auto"/>
        <w:ind w:left="284"/>
        <w:rPr>
          <w:rFonts w:ascii="Arial" w:hAnsi="Arial" w:cs="Arial"/>
        </w:rPr>
      </w:pPr>
      <w:r w:rsidRPr="00F50027">
        <w:rPr>
          <w:rFonts w:ascii="Arial" w:hAnsi="Arial" w:cs="Arial"/>
        </w:rPr>
        <w:t>Główny kod CPV:</w:t>
      </w:r>
    </w:p>
    <w:p w:rsidR="00F50027" w:rsidRPr="00F50027" w:rsidRDefault="00F50027" w:rsidP="006300D1">
      <w:pPr>
        <w:spacing w:line="360" w:lineRule="auto"/>
        <w:ind w:left="284"/>
        <w:rPr>
          <w:rFonts w:ascii="Arial" w:hAnsi="Arial" w:cs="Arial"/>
        </w:rPr>
      </w:pPr>
      <w:r w:rsidRPr="00F50027">
        <w:rPr>
          <w:rFonts w:ascii="Arial" w:hAnsi="Arial" w:cs="Arial"/>
        </w:rPr>
        <w:t>45233142-6 - roboty w zakresie naprawy dróg</w:t>
      </w:r>
    </w:p>
    <w:p w:rsidR="00A027DD" w:rsidRPr="00CC6D9D" w:rsidRDefault="00F50027" w:rsidP="00CC6D9D">
      <w:pPr>
        <w:pStyle w:val="Akapitzlist"/>
        <w:numPr>
          <w:ilvl w:val="0"/>
          <w:numId w:val="38"/>
        </w:numPr>
        <w:spacing w:line="360" w:lineRule="auto"/>
        <w:rPr>
          <w:rFonts w:ascii="Arial" w:hAnsi="Arial" w:cs="Arial"/>
        </w:rPr>
      </w:pPr>
      <w:r w:rsidRPr="00CC6D9D">
        <w:rPr>
          <w:rFonts w:ascii="Arial" w:hAnsi="Arial" w:cs="Arial"/>
        </w:rPr>
        <w:t xml:space="preserve">Zamawiający nie dopuszcza składania ofert wariantowych oraz w postaci </w:t>
      </w:r>
      <w:r w:rsidR="00CC6D9D" w:rsidRPr="00CC6D9D">
        <w:rPr>
          <w:rFonts w:ascii="Arial" w:hAnsi="Arial" w:cs="Arial"/>
        </w:rPr>
        <w:t xml:space="preserve">                          </w:t>
      </w:r>
      <w:r w:rsidR="00CC6D9D">
        <w:rPr>
          <w:rFonts w:ascii="Arial" w:hAnsi="Arial" w:cs="Arial"/>
        </w:rPr>
        <w:t xml:space="preserve"> </w:t>
      </w:r>
      <w:r w:rsidRPr="00CC6D9D">
        <w:rPr>
          <w:rFonts w:ascii="Arial" w:hAnsi="Arial" w:cs="Arial"/>
        </w:rPr>
        <w:t>katalogów elektronicznych.</w:t>
      </w:r>
    </w:p>
    <w:p w:rsidR="00F50027" w:rsidRDefault="00F50027" w:rsidP="00F50027">
      <w:pPr>
        <w:pStyle w:val="Akapitzlist"/>
        <w:numPr>
          <w:ilvl w:val="0"/>
          <w:numId w:val="38"/>
        </w:numPr>
        <w:spacing w:line="360" w:lineRule="auto"/>
        <w:rPr>
          <w:rFonts w:ascii="Arial" w:hAnsi="Arial" w:cs="Arial"/>
        </w:rPr>
      </w:pPr>
      <w:r w:rsidRPr="00A027DD">
        <w:rPr>
          <w:rFonts w:ascii="Arial" w:hAnsi="Arial" w:cs="Arial"/>
        </w:rPr>
        <w:t>Zamawiający nie przewiduje udzielania zamówień,</w:t>
      </w:r>
      <w:r w:rsidR="00CC6D9D">
        <w:rPr>
          <w:rFonts w:ascii="Arial" w:hAnsi="Arial" w:cs="Arial"/>
        </w:rPr>
        <w:t xml:space="preserve"> o których mowa w art. 214 ust.  </w:t>
      </w:r>
      <w:r w:rsidRPr="00A027DD">
        <w:rPr>
          <w:rFonts w:ascii="Arial" w:hAnsi="Arial" w:cs="Arial"/>
        </w:rPr>
        <w:t>1 pkt 7 i 8.</w:t>
      </w:r>
    </w:p>
    <w:p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rsidR="00014502" w:rsidRPr="00926151" w:rsidRDefault="00014502" w:rsidP="00B93AE5">
      <w:pPr>
        <w:pStyle w:val="Nagwek3"/>
        <w:numPr>
          <w:ilvl w:val="0"/>
          <w:numId w:val="43"/>
        </w:numPr>
        <w:spacing w:line="360" w:lineRule="auto"/>
      </w:pPr>
      <w:r>
        <w:t>WIZJA LOKALNA</w:t>
      </w:r>
    </w:p>
    <w:p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rsidR="00067044" w:rsidRPr="000C7661" w:rsidRDefault="00067044" w:rsidP="00B93AE5">
      <w:pPr>
        <w:pStyle w:val="Nagwek3"/>
        <w:numPr>
          <w:ilvl w:val="0"/>
          <w:numId w:val="43"/>
        </w:numPr>
        <w:spacing w:line="360" w:lineRule="auto"/>
      </w:pPr>
      <w:r w:rsidRPr="000C7661">
        <w:t>PODWYKONAWSTWO</w:t>
      </w:r>
    </w:p>
    <w:p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FE5" w:rsidRPr="00401BE3" w:rsidRDefault="00067044" w:rsidP="00B93AE5">
      <w:pPr>
        <w:pStyle w:val="Nagwek3"/>
        <w:numPr>
          <w:ilvl w:val="0"/>
          <w:numId w:val="43"/>
        </w:numPr>
        <w:spacing w:line="360" w:lineRule="auto"/>
      </w:pPr>
      <w:r w:rsidRPr="000C7661">
        <w:t>TERMIN WYKONANIA ZAMÓWIENIA</w:t>
      </w:r>
    </w:p>
    <w:p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557BE4">
        <w:rPr>
          <w:rFonts w:ascii="Arial" w:hAnsi="Arial" w:cs="Arial"/>
          <w:sz w:val="24"/>
          <w:szCs w:val="24"/>
        </w:rPr>
        <w:t>2</w:t>
      </w:r>
      <w:r w:rsidR="00C24332" w:rsidRPr="00605B91">
        <w:rPr>
          <w:rFonts w:ascii="Arial" w:hAnsi="Arial" w:cs="Arial"/>
          <w:sz w:val="24"/>
          <w:szCs w:val="24"/>
        </w:rPr>
        <w:t xml:space="preserve"> miesi</w:t>
      </w:r>
      <w:r w:rsidR="002F2E98">
        <w:rPr>
          <w:rFonts w:ascii="Arial" w:hAnsi="Arial" w:cs="Arial"/>
          <w:sz w:val="24"/>
          <w:szCs w:val="24"/>
        </w:rPr>
        <w:t>ące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lastRenderedPageBreak/>
        <w:t>WARUNKI UDZIAŁU W POSTĘPOWANIU</w:t>
      </w:r>
    </w:p>
    <w:p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135D3F">
        <w:rPr>
          <w:rFonts w:ascii="Arial" w:hAnsi="Arial" w:cs="Arial"/>
          <w:sz w:val="24"/>
          <w:szCs w:val="24"/>
        </w:rPr>
        <w:t>o.c</w:t>
      </w:r>
      <w:proofErr w:type="spellEnd"/>
      <w:r w:rsidRPr="00135D3F">
        <w:rPr>
          <w:rFonts w:ascii="Arial" w:hAnsi="Arial" w:cs="Arial"/>
          <w:sz w:val="24"/>
          <w:szCs w:val="24"/>
        </w:rPr>
        <w:t xml:space="preserve">.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rsidR="00DC2AB8" w:rsidRDefault="00557BE4" w:rsidP="00135D3F">
      <w:pPr>
        <w:pStyle w:val="Akapitzlist"/>
        <w:spacing w:after="294" w:line="360" w:lineRule="auto"/>
        <w:ind w:left="900" w:right="14"/>
        <w:rPr>
          <w:rFonts w:ascii="Arial" w:hAnsi="Arial" w:cs="Arial"/>
        </w:rPr>
      </w:pPr>
      <w:r w:rsidRPr="00557BE4">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budowę,</w:t>
      </w:r>
      <w:r w:rsidR="00135D3F">
        <w:rPr>
          <w:rFonts w:ascii="Arial" w:hAnsi="Arial" w:cs="Arial"/>
        </w:rPr>
        <w:t xml:space="preserve"> modernizację,</w:t>
      </w:r>
      <w:r w:rsidRPr="00557BE4">
        <w:rPr>
          <w:rFonts w:ascii="Arial" w:hAnsi="Arial" w:cs="Arial"/>
        </w:rPr>
        <w:t xml:space="preserve"> przebudowę, rozbudowę, remont drogi </w:t>
      </w:r>
      <w:r>
        <w:rPr>
          <w:rFonts w:ascii="Arial" w:hAnsi="Arial" w:cs="Arial"/>
        </w:rPr>
        <w:t>o wartości przynajmniej 200 000,00 złotych.</w:t>
      </w:r>
    </w:p>
    <w:p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lastRenderedPageBreak/>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rsidR="00067044" w:rsidRPr="000C7661" w:rsidRDefault="00067044" w:rsidP="00B93AE5">
      <w:pPr>
        <w:pStyle w:val="Nagwek3"/>
        <w:numPr>
          <w:ilvl w:val="0"/>
          <w:numId w:val="43"/>
        </w:numPr>
        <w:spacing w:line="360" w:lineRule="auto"/>
        <w:rPr>
          <w:iCs/>
        </w:rPr>
      </w:pPr>
      <w:r w:rsidRPr="000C7661">
        <w:t>PODSTAWY WYKLUCZENIA Z POSTĘPOWANIA</w:t>
      </w:r>
    </w:p>
    <w:p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w:t>
      </w:r>
      <w:r w:rsidRPr="00E8477F">
        <w:rPr>
          <w:rFonts w:ascii="Arial" w:hAnsi="Arial" w:cs="Arial"/>
        </w:rPr>
        <w:lastRenderedPageBreak/>
        <w:t>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rsidR="00135D3F" w:rsidRPr="00135D3F" w:rsidRDefault="00135D3F" w:rsidP="00135D3F">
      <w:pPr>
        <w:pStyle w:val="Akapitzlist"/>
        <w:spacing w:line="360" w:lineRule="auto"/>
        <w:ind w:left="720"/>
        <w:rPr>
          <w:rFonts w:ascii="Arial" w:hAnsi="Arial" w:cs="Arial"/>
        </w:rPr>
      </w:pPr>
      <w:r w:rsidRPr="00135D3F">
        <w:rPr>
          <w:rFonts w:ascii="Arial" w:hAnsi="Arial" w:cs="Arial"/>
        </w:rPr>
        <w:t xml:space="preserve">Przedmiotowy wykaz robót budowlanych należy złożyć na formularzu udostępnionym w ramach niniejszej SWZ - wzór przedmiotowego oświadczenia stanowi zał. nr 7 SWZ. </w:t>
      </w:r>
    </w:p>
    <w:p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 xml:space="preserve">Opłacona polisa lub inny dokument potwierdzający, że wykonawca jest ubezpieczony od odpowiedzialności cywilnej w zakresie określonym </w:t>
      </w:r>
      <w:r w:rsidRPr="00135D3F">
        <w:rPr>
          <w:rFonts w:ascii="Arial" w:hAnsi="Arial" w:cs="Arial"/>
        </w:rPr>
        <w:lastRenderedPageBreak/>
        <w:t>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rsidR="001D312B" w:rsidRPr="001D312B" w:rsidRDefault="001D312B" w:rsidP="001D312B">
      <w:pPr>
        <w:pStyle w:val="Akapitzlist"/>
        <w:spacing w:line="360" w:lineRule="auto"/>
        <w:ind w:left="720"/>
        <w:rPr>
          <w:rFonts w:ascii="Arial" w:hAnsi="Arial" w:cs="Arial"/>
        </w:rPr>
      </w:pPr>
      <w:r w:rsidRPr="001D312B">
        <w:rPr>
          <w:rFonts w:ascii="Arial" w:hAnsi="Arial" w:cs="Arial"/>
        </w:rPr>
        <w:t>Przedmiotowy wykaz osób należy złożyć na formularzu udostępnionym w ramach niniejszej SWZ - wzór przedmiotowego oświadczenia stanowi zał. nr</w:t>
      </w:r>
      <w:r>
        <w:rPr>
          <w:rFonts w:ascii="Arial" w:hAnsi="Arial" w:cs="Arial"/>
        </w:rPr>
        <w:t> 10</w:t>
      </w:r>
      <w:r w:rsidRPr="001D312B">
        <w:rPr>
          <w:rFonts w:ascii="Arial" w:hAnsi="Arial" w:cs="Arial"/>
        </w:rPr>
        <w:t xml:space="preserve"> SWZ.</w:t>
      </w:r>
    </w:p>
    <w:p w:rsidR="001D312B" w:rsidRPr="00135D3F" w:rsidRDefault="001D312B" w:rsidP="001D312B">
      <w:pPr>
        <w:pStyle w:val="Akapitzlist"/>
        <w:spacing w:line="360" w:lineRule="auto"/>
        <w:ind w:left="720"/>
        <w:rPr>
          <w:rFonts w:ascii="Arial" w:hAnsi="Arial" w:cs="Arial"/>
        </w:rPr>
      </w:pPr>
    </w:p>
    <w:p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2" w:name="bookmark11"/>
    </w:p>
    <w:p w:rsidR="00067044" w:rsidRPr="000C7661" w:rsidRDefault="00067044" w:rsidP="00B93AE5">
      <w:pPr>
        <w:pStyle w:val="Nagwek3"/>
        <w:numPr>
          <w:ilvl w:val="0"/>
          <w:numId w:val="43"/>
        </w:numPr>
        <w:spacing w:line="360" w:lineRule="auto"/>
      </w:pPr>
      <w:r w:rsidRPr="000C7661">
        <w:t xml:space="preserve">SPOSÓB KOMUNIKACJI ORAZ </w:t>
      </w:r>
      <w:bookmarkEnd w:id="2"/>
      <w:r w:rsidRPr="000C7661">
        <w:t>WYJAŚNIENIA TREŚCI SWZ</w:t>
      </w:r>
    </w:p>
    <w:p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w:t>
      </w:r>
      <w:proofErr w:type="spellStart"/>
      <w:r w:rsidRPr="00E65CDD">
        <w:rPr>
          <w:rFonts w:ascii="Arial" w:hAnsi="Arial" w:cs="Arial"/>
          <w:bCs/>
        </w:rPr>
        <w:t>txt</w:t>
      </w:r>
      <w:proofErr w:type="spellEnd"/>
      <w:r w:rsidRPr="00E65CDD">
        <w:rPr>
          <w:rFonts w:ascii="Arial" w:hAnsi="Arial" w:cs="Arial"/>
          <w:bCs/>
        </w:rPr>
        <w:t>, .</w:t>
      </w:r>
      <w:proofErr w:type="spellStart"/>
      <w:r w:rsidRPr="00E65CDD">
        <w:rPr>
          <w:rFonts w:ascii="Arial" w:hAnsi="Arial" w:cs="Arial"/>
          <w:bCs/>
        </w:rPr>
        <w:t>rtf</w:t>
      </w:r>
      <w:proofErr w:type="spellEnd"/>
      <w:r w:rsidRPr="00E65CDD">
        <w:rPr>
          <w:rFonts w:ascii="Arial" w:hAnsi="Arial" w:cs="Arial"/>
          <w:bCs/>
        </w:rPr>
        <w:t xml:space="preserve">, </w:t>
      </w:r>
      <w:proofErr w:type="spellStart"/>
      <w:r w:rsidRPr="00E65CDD">
        <w:rPr>
          <w:rFonts w:ascii="Arial" w:hAnsi="Arial" w:cs="Arial"/>
          <w:bCs/>
        </w:rPr>
        <w:t>.pd</w:t>
      </w:r>
      <w:proofErr w:type="spellEnd"/>
      <w:r w:rsidRPr="00E65CDD">
        <w:rPr>
          <w:rFonts w:ascii="Arial" w:hAnsi="Arial" w:cs="Arial"/>
          <w:bCs/>
        </w:rPr>
        <w:t>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rsidR="00067044" w:rsidRPr="00E65CDD" w:rsidRDefault="002C1469"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lastRenderedPageBreak/>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w:t>
      </w:r>
      <w:proofErr w:type="spellStart"/>
      <w:r w:rsidRPr="00E65CDD">
        <w:rPr>
          <w:rFonts w:ascii="Arial" w:hAnsi="Arial" w:cs="Arial"/>
          <w:bCs/>
        </w:rPr>
        <w:t>Adobe</w:t>
      </w:r>
      <w:proofErr w:type="spellEnd"/>
      <w:r w:rsidRPr="00E65CDD">
        <w:rPr>
          <w:rFonts w:ascii="Arial" w:hAnsi="Arial" w:cs="Arial"/>
          <w:bCs/>
        </w:rPr>
        <w:t xml:space="preserve"> </w:t>
      </w:r>
      <w:proofErr w:type="spellStart"/>
      <w:r w:rsidRPr="00E65CDD">
        <w:rPr>
          <w:rFonts w:ascii="Arial" w:hAnsi="Arial" w:cs="Arial"/>
          <w:bCs/>
        </w:rPr>
        <w:t>Acrobat</w:t>
      </w:r>
      <w:proofErr w:type="spellEnd"/>
      <w:r w:rsidRPr="00E65CDD">
        <w:rPr>
          <w:rFonts w:ascii="Arial" w:hAnsi="Arial" w:cs="Arial"/>
          <w:bCs/>
        </w:rPr>
        <w:t xml:space="preserve"> </w:t>
      </w:r>
      <w:proofErr w:type="spellStart"/>
      <w:r w:rsidRPr="00E65CDD">
        <w:rPr>
          <w:rFonts w:ascii="Arial" w:hAnsi="Arial" w:cs="Arial"/>
          <w:bCs/>
        </w:rPr>
        <w:t>Reader</w:t>
      </w:r>
      <w:proofErr w:type="spellEnd"/>
      <w:r w:rsidRPr="00E65CDD">
        <w:rPr>
          <w:rFonts w:ascii="Arial" w:hAnsi="Arial" w:cs="Arial"/>
          <w:bCs/>
        </w:rPr>
        <w:t xml:space="preserve"> lub inny obsługujący format plików .pdf,</w:t>
      </w:r>
    </w:p>
    <w:p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xml:space="preserve">) generowany </w:t>
      </w:r>
      <w:proofErr w:type="spellStart"/>
      <w:r w:rsidRPr="00E65CDD">
        <w:rPr>
          <w:rFonts w:ascii="Arial" w:hAnsi="Arial" w:cs="Arial"/>
          <w:bCs/>
        </w:rPr>
        <w:t>wg</w:t>
      </w:r>
      <w:proofErr w:type="spellEnd"/>
      <w:r w:rsidRPr="00E65CDD">
        <w:rPr>
          <w:rFonts w:ascii="Arial" w:hAnsi="Arial" w:cs="Arial"/>
          <w:bCs/>
        </w:rPr>
        <w:t>. czasu lokalnego serwera synchronizowanego z zegarem Głównego Instytutu Miar.</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9, </w:t>
      </w:r>
      <w:r w:rsidRPr="00E65CDD">
        <w:rPr>
          <w:rFonts w:ascii="Arial" w:hAnsi="Arial" w:cs="Arial"/>
        </w:rPr>
        <w:lastRenderedPageBreak/>
        <w:t>zamawiający nie ma obowiązku udzielania wyjaśnień SWZ oraz obowiązku przedłużenia terminu składania ofert.</w:t>
      </w:r>
    </w:p>
    <w:p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rsidR="00067044" w:rsidRPr="000C7661" w:rsidRDefault="00067044" w:rsidP="00B93AE5">
      <w:pPr>
        <w:pStyle w:val="Nagwek3"/>
        <w:numPr>
          <w:ilvl w:val="0"/>
          <w:numId w:val="43"/>
        </w:numPr>
        <w:spacing w:line="360" w:lineRule="auto"/>
      </w:pPr>
      <w:bookmarkStart w:id="3" w:name="bookmark12"/>
      <w:r w:rsidRPr="000C7661">
        <w:t>OPIS SPOSOBU PRZYGOTOWANIA OFER</w:t>
      </w:r>
      <w:bookmarkEnd w:id="3"/>
      <w:r w:rsidRPr="000C7661">
        <w:t>T ORAZ WYMAGANIA FORMALNE DOTYCZĄCE SKŁADANYCH OŚWIADCZEŃ I</w:t>
      </w:r>
      <w:r w:rsidR="00922D4B">
        <w:t> </w:t>
      </w:r>
      <w:r w:rsidRPr="000C7661">
        <w:t>DOKUMENTÓW</w:t>
      </w:r>
    </w:p>
    <w:p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rsidR="00C51FC6" w:rsidRPr="003B6749" w:rsidRDefault="00C51FC6" w:rsidP="00C51FC6">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324D73">
        <w:rPr>
          <w:rFonts w:ascii="Arial" w:hAnsi="Arial" w:cs="Arial"/>
          <w:b/>
          <w:bCs/>
        </w:rPr>
        <w:t>3</w:t>
      </w:r>
      <w:r w:rsidR="004F60B9">
        <w:rPr>
          <w:rFonts w:ascii="Arial" w:hAnsi="Arial" w:cs="Arial"/>
          <w:b/>
          <w:bCs/>
        </w:rPr>
        <w:t xml:space="preserve"> </w:t>
      </w:r>
      <w:r w:rsidR="000B7ED5">
        <w:rPr>
          <w:rFonts w:ascii="Arial" w:hAnsi="Arial" w:cs="Arial"/>
          <w:b/>
          <w:bCs/>
        </w:rPr>
        <w:t>0</w:t>
      </w:r>
      <w:r w:rsidR="004F60B9">
        <w:rPr>
          <w:rFonts w:ascii="Arial" w:hAnsi="Arial" w:cs="Arial"/>
          <w:b/>
          <w:bCs/>
        </w:rPr>
        <w:t>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rsidR="00C51FC6" w:rsidRDefault="00C51FC6" w:rsidP="00C51FC6">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w:t>
      </w:r>
      <w:r w:rsidR="00A146A5" w:rsidRPr="00A146A5">
        <w:rPr>
          <w:rFonts w:ascii="Arial" w:hAnsi="Arial" w:cs="Arial"/>
        </w:rPr>
        <w:t>t.j. Dz. U. z 2024 r. poz. 419</w:t>
      </w:r>
      <w:r w:rsidR="0044066F">
        <w:rPr>
          <w:rFonts w:ascii="Arial" w:hAnsi="Arial" w:cs="Arial"/>
        </w:rPr>
        <w:t>).</w:t>
      </w:r>
    </w:p>
    <w:p w:rsidR="00C51FC6" w:rsidRDefault="00C51FC6" w:rsidP="00C51FC6">
      <w:pPr>
        <w:pStyle w:val="Akapitzlist"/>
        <w:spacing w:line="360" w:lineRule="auto"/>
        <w:ind w:left="697" w:right="23"/>
        <w:rPr>
          <w:rFonts w:ascii="Arial" w:hAnsi="Arial" w:cs="Arial"/>
        </w:rPr>
      </w:pPr>
      <w:r w:rsidRPr="003B6749">
        <w:rPr>
          <w:rFonts w:ascii="Arial" w:hAnsi="Arial" w:cs="Arial"/>
        </w:rPr>
        <w:lastRenderedPageBreak/>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rsidR="00C51FC6" w:rsidRPr="00A620A0" w:rsidRDefault="00C51FC6" w:rsidP="00C51FC6">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rsidR="00067044" w:rsidRPr="000C7661" w:rsidRDefault="00067044" w:rsidP="00B93AE5">
      <w:pPr>
        <w:pStyle w:val="Nagwek3"/>
        <w:numPr>
          <w:ilvl w:val="0"/>
          <w:numId w:val="43"/>
        </w:numPr>
        <w:spacing w:line="360" w:lineRule="auto"/>
      </w:pPr>
      <w:r w:rsidRPr="000C7661">
        <w:t>SPOSÓB OBLICZENIA CENY OFERTY</w:t>
      </w:r>
    </w:p>
    <w:p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651D4" w:rsidRPr="00A943B2">
        <w:rPr>
          <w:rFonts w:ascii="Arial" w:hAnsi="Arial"/>
        </w:rPr>
        <w:t>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3)</w:t>
      </w:r>
      <w:r w:rsidRPr="0030179D">
        <w:rPr>
          <w:rFonts w:ascii="Arial" w:hAnsi="Arial" w:cs="Arial"/>
        </w:rPr>
        <w:tab/>
        <w:t>wskazania wartości towaru lub usługi objętego obowiązkiem podatkowym zamawiającego, bez kwoty podatku;</w:t>
      </w:r>
    </w:p>
    <w:p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rsidR="00067044" w:rsidRPr="000C7661" w:rsidRDefault="00067044" w:rsidP="00B93AE5">
      <w:pPr>
        <w:pStyle w:val="Nagwek3"/>
        <w:numPr>
          <w:ilvl w:val="0"/>
          <w:numId w:val="43"/>
        </w:numPr>
        <w:spacing w:line="360" w:lineRule="auto"/>
      </w:pPr>
      <w:r w:rsidRPr="000C7661">
        <w:t>TERMIN ZWIĄZANIA OFERTĄ</w:t>
      </w:r>
    </w:p>
    <w:p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373F69" w:rsidRPr="00A4496A">
        <w:rPr>
          <w:rFonts w:ascii="Arial" w:hAnsi="Arial" w:cs="Arial"/>
          <w:b/>
        </w:rPr>
        <w:t>27</w:t>
      </w:r>
      <w:r w:rsidR="00B139E4" w:rsidRPr="00A4496A">
        <w:rPr>
          <w:rFonts w:ascii="Arial" w:hAnsi="Arial" w:cs="Arial"/>
          <w:b/>
        </w:rPr>
        <w:t>.</w:t>
      </w:r>
      <w:r w:rsidR="002C70ED" w:rsidRPr="00A4496A">
        <w:rPr>
          <w:rFonts w:ascii="Arial" w:hAnsi="Arial" w:cs="Arial"/>
          <w:b/>
        </w:rPr>
        <w:t>08</w:t>
      </w:r>
      <w:r w:rsidR="00E106BF" w:rsidRPr="00A4496A">
        <w:rPr>
          <w:rFonts w:ascii="Arial" w:hAnsi="Arial" w:cs="Arial"/>
          <w:b/>
        </w:rPr>
        <w:t>.202</w:t>
      </w:r>
      <w:r w:rsidR="002C70ED" w:rsidRPr="00A4496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6A3031" w:rsidRPr="00F55B4B">
        <w:rPr>
          <w:rFonts w:ascii="Arial" w:hAnsi="Arial" w:cs="Arial"/>
          <w:b/>
        </w:rPr>
        <w:t>29.07</w:t>
      </w:r>
      <w:r w:rsidR="000B538E" w:rsidRPr="00F55B4B">
        <w:rPr>
          <w:rFonts w:ascii="Arial" w:hAnsi="Arial" w:cs="Arial"/>
          <w:b/>
        </w:rPr>
        <w:t>.</w:t>
      </w:r>
      <w:r w:rsidRPr="00F55B4B">
        <w:rPr>
          <w:rFonts w:ascii="Arial" w:hAnsi="Arial" w:cs="Arial"/>
          <w:b/>
        </w:rPr>
        <w:t>202</w:t>
      </w:r>
      <w:r w:rsidR="006A3031" w:rsidRPr="00F55B4B">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AF45B0" w:rsidRPr="00F55B4B">
        <w:rPr>
          <w:rFonts w:ascii="Arial" w:hAnsi="Arial" w:cs="Arial"/>
          <w:b/>
          <w:bCs/>
        </w:rPr>
        <w:t>29</w:t>
      </w:r>
      <w:r w:rsidR="00B139E4" w:rsidRPr="00F55B4B">
        <w:rPr>
          <w:rFonts w:ascii="Arial" w:hAnsi="Arial" w:cs="Arial"/>
          <w:b/>
          <w:bCs/>
        </w:rPr>
        <w:t>.0</w:t>
      </w:r>
      <w:r w:rsidR="00AF45B0" w:rsidRPr="00F55B4B">
        <w:rPr>
          <w:rFonts w:ascii="Arial" w:hAnsi="Arial" w:cs="Arial"/>
          <w:b/>
          <w:bCs/>
        </w:rPr>
        <w:t>7</w:t>
      </w:r>
      <w:r w:rsidR="000B538E" w:rsidRPr="00F55B4B">
        <w:rPr>
          <w:rFonts w:ascii="Arial" w:hAnsi="Arial" w:cs="Arial"/>
          <w:b/>
        </w:rPr>
        <w:t>.</w:t>
      </w:r>
      <w:r w:rsidRPr="00F55B4B">
        <w:rPr>
          <w:rFonts w:ascii="Arial" w:hAnsi="Arial" w:cs="Arial"/>
          <w:b/>
        </w:rPr>
        <w:t>202</w:t>
      </w:r>
      <w:r w:rsidR="00AF45B0" w:rsidRPr="00F55B4B">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4"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4"/>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rsidR="00776D87" w:rsidRPr="00CD5961" w:rsidRDefault="00776D87" w:rsidP="00CD5961">
      <w:pPr>
        <w:spacing w:line="360" w:lineRule="auto"/>
        <w:contextualSpacing/>
        <w:rPr>
          <w:rFonts w:ascii="Arial" w:hAnsi="Arial" w:cs="Arial"/>
        </w:rPr>
      </w:pPr>
    </w:p>
    <w:p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lastRenderedPageBreak/>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rsidR="003E7E6E" w:rsidRPr="003E7E6E" w:rsidRDefault="003E7E6E" w:rsidP="003E7E6E">
      <w:pPr>
        <w:pStyle w:val="Akapitzlist"/>
        <w:spacing w:line="360" w:lineRule="auto"/>
        <w:ind w:left="450"/>
        <w:contextualSpacing/>
        <w:rPr>
          <w:rFonts w:ascii="Arial" w:hAnsi="Arial" w:cs="Arial"/>
        </w:rPr>
      </w:pP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w:t>
      </w:r>
      <w:proofErr w:type="spellStart"/>
      <w:r w:rsidRPr="003E7E6E">
        <w:rPr>
          <w:rFonts w:ascii="Arial" w:hAnsi="Arial" w:cs="Arial"/>
        </w:rPr>
        <w:t>pkt</w:t>
      </w:r>
      <w:proofErr w:type="spellEnd"/>
      <w:r w:rsidRPr="003E7E6E">
        <w:rPr>
          <w:rFonts w:ascii="Arial" w:hAnsi="Arial" w:cs="Arial"/>
        </w:rPr>
        <w:t xml:space="preserve"> 5 ustawy </w:t>
      </w:r>
      <w:proofErr w:type="spellStart"/>
      <w:r w:rsidRPr="003E7E6E">
        <w:rPr>
          <w:rFonts w:ascii="Arial" w:hAnsi="Arial" w:cs="Arial"/>
        </w:rPr>
        <w:t>Pzp</w:t>
      </w:r>
      <w:proofErr w:type="spellEnd"/>
      <w:r w:rsidRPr="003E7E6E">
        <w:rPr>
          <w:rFonts w:ascii="Arial" w:hAnsi="Arial" w:cs="Arial"/>
        </w:rPr>
        <w:t>.</w:t>
      </w:r>
    </w:p>
    <w:p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rsidR="00067044" w:rsidRPr="000C7661" w:rsidRDefault="00067044" w:rsidP="00C84961">
      <w:pPr>
        <w:pStyle w:val="Nagwek3"/>
        <w:numPr>
          <w:ilvl w:val="0"/>
          <w:numId w:val="43"/>
        </w:numPr>
        <w:spacing w:line="360" w:lineRule="auto"/>
      </w:pPr>
      <w:r w:rsidRPr="000C7661">
        <w:t>WYMAGANIA DOTYCZĄCE ZABEZPIECZENIA NALEŻYTEGO WYKONANIA UMOWY</w:t>
      </w:r>
    </w:p>
    <w:p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rsidR="00067044" w:rsidRPr="00033137" w:rsidRDefault="00067044" w:rsidP="002003F7">
      <w:pPr>
        <w:pStyle w:val="Nagwek3"/>
        <w:numPr>
          <w:ilvl w:val="0"/>
          <w:numId w:val="43"/>
        </w:numPr>
        <w:spacing w:line="360" w:lineRule="auto"/>
      </w:pPr>
      <w:r w:rsidRPr="00033137">
        <w:t>POUCZENIE O ŚRODKACH OCHRONY PRAWNEJ PRZYSŁUGUJĄCYCH WYKONAWCY</w:t>
      </w:r>
    </w:p>
    <w:p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rsidR="00067044" w:rsidRDefault="00067044" w:rsidP="002003F7">
      <w:pPr>
        <w:pStyle w:val="Nagwek3"/>
        <w:numPr>
          <w:ilvl w:val="0"/>
          <w:numId w:val="43"/>
        </w:numPr>
        <w:spacing w:line="360" w:lineRule="auto"/>
      </w:pPr>
      <w:r w:rsidRPr="000C7661">
        <w:t>WYKAZ ZAŁĄCZNIKÓW DO SWZ</w:t>
      </w:r>
    </w:p>
    <w:p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15" w:rsidRDefault="00332415">
      <w:r>
        <w:separator/>
      </w:r>
    </w:p>
  </w:endnote>
  <w:endnote w:type="continuationSeparator" w:id="0">
    <w:p w:rsidR="00332415" w:rsidRDefault="00332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002C1469" w:rsidRPr="007B17EA">
      <w:rPr>
        <w:rFonts w:ascii="Arial" w:hAnsi="Arial" w:cs="Arial"/>
        <w:b/>
        <w:bCs/>
        <w:sz w:val="16"/>
        <w:szCs w:val="16"/>
      </w:rPr>
      <w:fldChar w:fldCharType="begin"/>
    </w:r>
    <w:r w:rsidRPr="007B17EA">
      <w:rPr>
        <w:rFonts w:ascii="Arial" w:hAnsi="Arial" w:cs="Arial"/>
        <w:b/>
        <w:bCs/>
        <w:sz w:val="16"/>
        <w:szCs w:val="16"/>
      </w:rPr>
      <w:instrText>PAGE</w:instrText>
    </w:r>
    <w:r w:rsidR="002C1469" w:rsidRPr="007B17EA">
      <w:rPr>
        <w:rFonts w:ascii="Arial" w:hAnsi="Arial" w:cs="Arial"/>
        <w:b/>
        <w:bCs/>
        <w:sz w:val="16"/>
        <w:szCs w:val="16"/>
      </w:rPr>
      <w:fldChar w:fldCharType="separate"/>
    </w:r>
    <w:r w:rsidR="00E44450">
      <w:rPr>
        <w:rFonts w:ascii="Arial" w:hAnsi="Arial" w:cs="Arial"/>
        <w:b/>
        <w:bCs/>
        <w:noProof/>
        <w:sz w:val="16"/>
        <w:szCs w:val="16"/>
      </w:rPr>
      <w:t>23</w:t>
    </w:r>
    <w:r w:rsidR="002C1469" w:rsidRPr="007B17EA">
      <w:rPr>
        <w:rFonts w:ascii="Arial" w:hAnsi="Arial" w:cs="Arial"/>
        <w:b/>
        <w:bCs/>
        <w:sz w:val="16"/>
        <w:szCs w:val="16"/>
      </w:rPr>
      <w:fldChar w:fldCharType="end"/>
    </w:r>
    <w:r w:rsidRPr="007B17EA">
      <w:rPr>
        <w:rFonts w:ascii="Arial" w:hAnsi="Arial" w:cs="Arial"/>
        <w:sz w:val="16"/>
        <w:szCs w:val="16"/>
      </w:rPr>
      <w:t xml:space="preserve"> z </w:t>
    </w:r>
    <w:r w:rsidR="002C1469" w:rsidRPr="007B17EA">
      <w:rPr>
        <w:rFonts w:ascii="Arial" w:hAnsi="Arial" w:cs="Arial"/>
        <w:b/>
        <w:bCs/>
        <w:sz w:val="16"/>
        <w:szCs w:val="16"/>
      </w:rPr>
      <w:fldChar w:fldCharType="begin"/>
    </w:r>
    <w:r w:rsidRPr="007B17EA">
      <w:rPr>
        <w:rFonts w:ascii="Arial" w:hAnsi="Arial" w:cs="Arial"/>
        <w:b/>
        <w:bCs/>
        <w:sz w:val="16"/>
        <w:szCs w:val="16"/>
      </w:rPr>
      <w:instrText>NUMPAGES</w:instrText>
    </w:r>
    <w:r w:rsidR="002C1469" w:rsidRPr="007B17EA">
      <w:rPr>
        <w:rFonts w:ascii="Arial" w:hAnsi="Arial" w:cs="Arial"/>
        <w:b/>
        <w:bCs/>
        <w:sz w:val="16"/>
        <w:szCs w:val="16"/>
      </w:rPr>
      <w:fldChar w:fldCharType="separate"/>
    </w:r>
    <w:r w:rsidR="00E44450">
      <w:rPr>
        <w:rFonts w:ascii="Arial" w:hAnsi="Arial" w:cs="Arial"/>
        <w:b/>
        <w:bCs/>
        <w:noProof/>
        <w:sz w:val="16"/>
        <w:szCs w:val="16"/>
      </w:rPr>
      <w:t>23</w:t>
    </w:r>
    <w:r w:rsidR="002C1469" w:rsidRPr="007B17EA">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15" w:rsidRDefault="00332415">
      <w:r>
        <w:separator/>
      </w:r>
    </w:p>
  </w:footnote>
  <w:footnote w:type="continuationSeparator" w:id="0">
    <w:p w:rsidR="00332415" w:rsidRDefault="00332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806C97">
      <w:rPr>
        <w:rFonts w:ascii="Arial" w:hAnsi="Arial" w:cs="Arial"/>
      </w:rPr>
      <w:t>7</w:t>
    </w:r>
    <w:r w:rsidRPr="00726E5A">
      <w:rPr>
        <w:rFonts w:ascii="Arial" w:hAnsi="Arial" w:cs="Arial"/>
      </w:rPr>
      <w:t>.202</w:t>
    </w:r>
    <w:r w:rsidR="00806C97">
      <w:rPr>
        <w:rFonts w:ascii="Arial" w:hAnsi="Arial" w:cs="Arial"/>
      </w:rPr>
      <w:t>4</w:t>
    </w:r>
  </w:p>
  <w:p w:rsidR="00FA4956" w:rsidRPr="005B7CDA" w:rsidRDefault="00FA4956" w:rsidP="005B7CDA">
    <w:pPr>
      <w:pStyle w:val="Nagwek"/>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205301"/>
    <w:multiLevelType w:val="hybridMultilevel"/>
    <w:tmpl w:val="872AE7D8"/>
    <w:lvl w:ilvl="0" w:tplc="E23A69C2">
      <w:start w:val="1"/>
      <w:numFmt w:val="decimal"/>
      <w:suff w:val="space"/>
      <w:lvlText w:val="%1."/>
      <w:lvlJc w:val="left"/>
      <w:pPr>
        <w:ind w:left="0" w:firstLine="0"/>
      </w:pPr>
      <w:rPr>
        <w:rFonts w:ascii="Arial" w:eastAsia="Calibri" w:hAnsi="Arial" w:cs="Arial" w:hint="default"/>
        <w:b/>
        <w:i w:val="0"/>
        <w:strike w:val="0"/>
        <w:dstrike w:val="0"/>
        <w:color w:val="000000"/>
        <w:sz w:val="24"/>
        <w:szCs w:val="24"/>
        <w:u w:val="none" w:color="000000"/>
        <w:vertAlign w:val="baseline"/>
      </w:rPr>
    </w:lvl>
    <w:lvl w:ilvl="1" w:tplc="04150019">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9"/>
  </w:num>
  <w:num w:numId="5">
    <w:abstractNumId w:val="27"/>
  </w:num>
  <w:num w:numId="6">
    <w:abstractNumId w:val="38"/>
  </w:num>
  <w:num w:numId="7">
    <w:abstractNumId w:val="15"/>
  </w:num>
  <w:num w:numId="8">
    <w:abstractNumId w:val="8"/>
  </w:num>
  <w:num w:numId="9">
    <w:abstractNumId w:val="17"/>
  </w:num>
  <w:num w:numId="10">
    <w:abstractNumId w:val="5"/>
  </w:num>
  <w:num w:numId="11">
    <w:abstractNumId w:val="36"/>
  </w:num>
  <w:num w:numId="12">
    <w:abstractNumId w:val="35"/>
  </w:num>
  <w:num w:numId="13">
    <w:abstractNumId w:val="32"/>
    <w:lvlOverride w:ilvl="0">
      <w:startOverride w:val="1"/>
    </w:lvlOverride>
  </w:num>
  <w:num w:numId="14">
    <w:abstractNumId w:val="26"/>
    <w:lvlOverride w:ilvl="0">
      <w:startOverride w:val="1"/>
    </w:lvlOverride>
  </w:num>
  <w:num w:numId="15">
    <w:abstractNumId w:val="14"/>
  </w:num>
  <w:num w:numId="16">
    <w:abstractNumId w:val="6"/>
  </w:num>
  <w:num w:numId="17">
    <w:abstractNumId w:val="34"/>
  </w:num>
  <w:num w:numId="18">
    <w:abstractNumId w:val="22"/>
  </w:num>
  <w:num w:numId="19">
    <w:abstractNumId w:val="16"/>
  </w:num>
  <w:num w:numId="20">
    <w:abstractNumId w:val="43"/>
  </w:num>
  <w:num w:numId="21">
    <w:abstractNumId w:val="20"/>
  </w:num>
  <w:num w:numId="22">
    <w:abstractNumId w:val="23"/>
  </w:num>
  <w:num w:numId="23">
    <w:abstractNumId w:val="18"/>
  </w:num>
  <w:num w:numId="24">
    <w:abstractNumId w:val="21"/>
  </w:num>
  <w:num w:numId="25">
    <w:abstractNumId w:val="41"/>
  </w:num>
  <w:num w:numId="26">
    <w:abstractNumId w:val="7"/>
  </w:num>
  <w:num w:numId="27">
    <w:abstractNumId w:val="31"/>
  </w:num>
  <w:num w:numId="28">
    <w:abstractNumId w:val="12"/>
  </w:num>
  <w:num w:numId="29">
    <w:abstractNumId w:val="9"/>
  </w:num>
  <w:num w:numId="30">
    <w:abstractNumId w:val="37"/>
  </w:num>
  <w:num w:numId="31">
    <w:abstractNumId w:val="29"/>
  </w:num>
  <w:num w:numId="32">
    <w:abstractNumId w:val="33"/>
  </w:num>
  <w:num w:numId="33">
    <w:abstractNumId w:val="44"/>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0"/>
  </w:num>
  <w:num w:numId="40">
    <w:abstractNumId w:val="24"/>
  </w:num>
  <w:num w:numId="41">
    <w:abstractNumId w:val="19"/>
  </w:num>
  <w:num w:numId="42">
    <w:abstractNumId w:val="4"/>
  </w:num>
  <w:num w:numId="43">
    <w:abstractNumId w:val="30"/>
  </w:num>
  <w:num w:numId="44">
    <w:abstractNumId w:val="3"/>
  </w:num>
  <w:num w:numId="45">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77E06"/>
    <w:rsid w:val="00003756"/>
    <w:rsid w:val="00010F27"/>
    <w:rsid w:val="00014502"/>
    <w:rsid w:val="00015610"/>
    <w:rsid w:val="00015DEC"/>
    <w:rsid w:val="00020951"/>
    <w:rsid w:val="00020D92"/>
    <w:rsid w:val="00030116"/>
    <w:rsid w:val="00053349"/>
    <w:rsid w:val="00053CD0"/>
    <w:rsid w:val="00064BCB"/>
    <w:rsid w:val="00067044"/>
    <w:rsid w:val="000839E9"/>
    <w:rsid w:val="00083FE5"/>
    <w:rsid w:val="00091B03"/>
    <w:rsid w:val="00091DB4"/>
    <w:rsid w:val="000947D3"/>
    <w:rsid w:val="000A3A09"/>
    <w:rsid w:val="000A521C"/>
    <w:rsid w:val="000B3CB0"/>
    <w:rsid w:val="000B538E"/>
    <w:rsid w:val="000B53E3"/>
    <w:rsid w:val="000B7D4D"/>
    <w:rsid w:val="000B7ED5"/>
    <w:rsid w:val="000D2F61"/>
    <w:rsid w:val="000D4894"/>
    <w:rsid w:val="000D505A"/>
    <w:rsid w:val="000D6598"/>
    <w:rsid w:val="000E1B75"/>
    <w:rsid w:val="000E7491"/>
    <w:rsid w:val="000F135B"/>
    <w:rsid w:val="000F1DE9"/>
    <w:rsid w:val="00111578"/>
    <w:rsid w:val="001121CA"/>
    <w:rsid w:val="0011385E"/>
    <w:rsid w:val="001311C2"/>
    <w:rsid w:val="00135D3F"/>
    <w:rsid w:val="00137428"/>
    <w:rsid w:val="00161744"/>
    <w:rsid w:val="00162DD5"/>
    <w:rsid w:val="001675B4"/>
    <w:rsid w:val="00170C45"/>
    <w:rsid w:val="001754F5"/>
    <w:rsid w:val="00190D15"/>
    <w:rsid w:val="00191984"/>
    <w:rsid w:val="00194306"/>
    <w:rsid w:val="001A257B"/>
    <w:rsid w:val="001A4B85"/>
    <w:rsid w:val="001A5A3B"/>
    <w:rsid w:val="001B29F4"/>
    <w:rsid w:val="001B6935"/>
    <w:rsid w:val="001B6BA0"/>
    <w:rsid w:val="001D14D0"/>
    <w:rsid w:val="001D312B"/>
    <w:rsid w:val="001D6296"/>
    <w:rsid w:val="001E1106"/>
    <w:rsid w:val="001E2C78"/>
    <w:rsid w:val="001E684D"/>
    <w:rsid w:val="001F4FA3"/>
    <w:rsid w:val="002003F7"/>
    <w:rsid w:val="002159BE"/>
    <w:rsid w:val="00224529"/>
    <w:rsid w:val="00233523"/>
    <w:rsid w:val="00237847"/>
    <w:rsid w:val="00251962"/>
    <w:rsid w:val="0025268F"/>
    <w:rsid w:val="00253021"/>
    <w:rsid w:val="0025568B"/>
    <w:rsid w:val="00265491"/>
    <w:rsid w:val="0027744F"/>
    <w:rsid w:val="00283766"/>
    <w:rsid w:val="00295FB3"/>
    <w:rsid w:val="002A4BE2"/>
    <w:rsid w:val="002B07C4"/>
    <w:rsid w:val="002C1469"/>
    <w:rsid w:val="002C70ED"/>
    <w:rsid w:val="002D59D5"/>
    <w:rsid w:val="002D60C4"/>
    <w:rsid w:val="002D63A3"/>
    <w:rsid w:val="002E09D1"/>
    <w:rsid w:val="002E285F"/>
    <w:rsid w:val="002E291A"/>
    <w:rsid w:val="002E52C1"/>
    <w:rsid w:val="002E7EC0"/>
    <w:rsid w:val="002F2E98"/>
    <w:rsid w:val="002F32B9"/>
    <w:rsid w:val="0030179D"/>
    <w:rsid w:val="00306CCD"/>
    <w:rsid w:val="0031158B"/>
    <w:rsid w:val="003148F5"/>
    <w:rsid w:val="00324D73"/>
    <w:rsid w:val="00326F46"/>
    <w:rsid w:val="00332415"/>
    <w:rsid w:val="00334729"/>
    <w:rsid w:val="00335D76"/>
    <w:rsid w:val="00336AF8"/>
    <w:rsid w:val="00337B12"/>
    <w:rsid w:val="00353C76"/>
    <w:rsid w:val="003546E5"/>
    <w:rsid w:val="00361269"/>
    <w:rsid w:val="003651D4"/>
    <w:rsid w:val="00365A98"/>
    <w:rsid w:val="00367103"/>
    <w:rsid w:val="00370C9A"/>
    <w:rsid w:val="00371F14"/>
    <w:rsid w:val="00373F69"/>
    <w:rsid w:val="0037543E"/>
    <w:rsid w:val="00377BCD"/>
    <w:rsid w:val="00386579"/>
    <w:rsid w:val="003921C4"/>
    <w:rsid w:val="003A5844"/>
    <w:rsid w:val="003B2B02"/>
    <w:rsid w:val="003B38E7"/>
    <w:rsid w:val="003B3B56"/>
    <w:rsid w:val="003C1C72"/>
    <w:rsid w:val="003D70E2"/>
    <w:rsid w:val="003D75EB"/>
    <w:rsid w:val="003D7942"/>
    <w:rsid w:val="003E2410"/>
    <w:rsid w:val="003E766A"/>
    <w:rsid w:val="003E7E6E"/>
    <w:rsid w:val="003F7E51"/>
    <w:rsid w:val="00401BE3"/>
    <w:rsid w:val="00402ABD"/>
    <w:rsid w:val="00402E32"/>
    <w:rsid w:val="00403BBE"/>
    <w:rsid w:val="004053C0"/>
    <w:rsid w:val="00406EFF"/>
    <w:rsid w:val="004073E5"/>
    <w:rsid w:val="004104FC"/>
    <w:rsid w:val="004114FB"/>
    <w:rsid w:val="00413692"/>
    <w:rsid w:val="0044066F"/>
    <w:rsid w:val="00443A5F"/>
    <w:rsid w:val="004464E0"/>
    <w:rsid w:val="0044763A"/>
    <w:rsid w:val="00447F28"/>
    <w:rsid w:val="004655C1"/>
    <w:rsid w:val="00466A05"/>
    <w:rsid w:val="00473046"/>
    <w:rsid w:val="0047706C"/>
    <w:rsid w:val="004B33E8"/>
    <w:rsid w:val="004B399C"/>
    <w:rsid w:val="004B3E80"/>
    <w:rsid w:val="004D0B46"/>
    <w:rsid w:val="004E431A"/>
    <w:rsid w:val="004E4C3C"/>
    <w:rsid w:val="004F5C6D"/>
    <w:rsid w:val="004F60B9"/>
    <w:rsid w:val="004F6C87"/>
    <w:rsid w:val="004F7AA2"/>
    <w:rsid w:val="00503D12"/>
    <w:rsid w:val="005221D2"/>
    <w:rsid w:val="005328B2"/>
    <w:rsid w:val="0053433A"/>
    <w:rsid w:val="00544007"/>
    <w:rsid w:val="005544A2"/>
    <w:rsid w:val="00555857"/>
    <w:rsid w:val="00557BE4"/>
    <w:rsid w:val="00564509"/>
    <w:rsid w:val="00577ED7"/>
    <w:rsid w:val="005812BD"/>
    <w:rsid w:val="00581E6A"/>
    <w:rsid w:val="005A1565"/>
    <w:rsid w:val="005A2778"/>
    <w:rsid w:val="005B12C8"/>
    <w:rsid w:val="005B2609"/>
    <w:rsid w:val="005B4DE0"/>
    <w:rsid w:val="005B5D1C"/>
    <w:rsid w:val="005B6DE0"/>
    <w:rsid w:val="005B7CDA"/>
    <w:rsid w:val="005C31F7"/>
    <w:rsid w:val="005C565E"/>
    <w:rsid w:val="005D0E71"/>
    <w:rsid w:val="005D145E"/>
    <w:rsid w:val="005D60C6"/>
    <w:rsid w:val="005F1A3C"/>
    <w:rsid w:val="005F3801"/>
    <w:rsid w:val="005F78D2"/>
    <w:rsid w:val="00605B91"/>
    <w:rsid w:val="0061174D"/>
    <w:rsid w:val="0061545E"/>
    <w:rsid w:val="006300D1"/>
    <w:rsid w:val="0063733F"/>
    <w:rsid w:val="00637802"/>
    <w:rsid w:val="00640F5F"/>
    <w:rsid w:val="00643F1A"/>
    <w:rsid w:val="006461ED"/>
    <w:rsid w:val="0065171E"/>
    <w:rsid w:val="00661E49"/>
    <w:rsid w:val="00663156"/>
    <w:rsid w:val="006729E4"/>
    <w:rsid w:val="00675DBB"/>
    <w:rsid w:val="00691D3B"/>
    <w:rsid w:val="00694CE1"/>
    <w:rsid w:val="006966CA"/>
    <w:rsid w:val="006A3031"/>
    <w:rsid w:val="006B32D8"/>
    <w:rsid w:val="006C0439"/>
    <w:rsid w:val="006C5483"/>
    <w:rsid w:val="006D168D"/>
    <w:rsid w:val="006D4CFF"/>
    <w:rsid w:val="006D624E"/>
    <w:rsid w:val="006E3278"/>
    <w:rsid w:val="006E696F"/>
    <w:rsid w:val="006E7D0A"/>
    <w:rsid w:val="006F2CC4"/>
    <w:rsid w:val="006F4F7A"/>
    <w:rsid w:val="006F632B"/>
    <w:rsid w:val="006F6F15"/>
    <w:rsid w:val="006F707C"/>
    <w:rsid w:val="006F7A91"/>
    <w:rsid w:val="0070262A"/>
    <w:rsid w:val="00706B73"/>
    <w:rsid w:val="00716AEF"/>
    <w:rsid w:val="007206AB"/>
    <w:rsid w:val="0072186F"/>
    <w:rsid w:val="00726E5A"/>
    <w:rsid w:val="00730AFD"/>
    <w:rsid w:val="00731795"/>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48F7"/>
    <w:rsid w:val="007F57FC"/>
    <w:rsid w:val="007F74B9"/>
    <w:rsid w:val="00805ACB"/>
    <w:rsid w:val="00806C97"/>
    <w:rsid w:val="00814450"/>
    <w:rsid w:val="00815466"/>
    <w:rsid w:val="0082096F"/>
    <w:rsid w:val="00821C96"/>
    <w:rsid w:val="0082284E"/>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C7072"/>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63F9B"/>
    <w:rsid w:val="00975CF6"/>
    <w:rsid w:val="00977900"/>
    <w:rsid w:val="00977E06"/>
    <w:rsid w:val="009830EF"/>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6792"/>
    <w:rsid w:val="009F7709"/>
    <w:rsid w:val="00A02389"/>
    <w:rsid w:val="00A027DD"/>
    <w:rsid w:val="00A146A5"/>
    <w:rsid w:val="00A21F38"/>
    <w:rsid w:val="00A274DC"/>
    <w:rsid w:val="00A36C3E"/>
    <w:rsid w:val="00A415CE"/>
    <w:rsid w:val="00A43E65"/>
    <w:rsid w:val="00A4496A"/>
    <w:rsid w:val="00A44F21"/>
    <w:rsid w:val="00A620A0"/>
    <w:rsid w:val="00A662F1"/>
    <w:rsid w:val="00A77EB1"/>
    <w:rsid w:val="00A85CE9"/>
    <w:rsid w:val="00A90744"/>
    <w:rsid w:val="00A916FA"/>
    <w:rsid w:val="00AA0CEC"/>
    <w:rsid w:val="00AA3AFC"/>
    <w:rsid w:val="00AB34A1"/>
    <w:rsid w:val="00AB3A95"/>
    <w:rsid w:val="00AB78A0"/>
    <w:rsid w:val="00AC108C"/>
    <w:rsid w:val="00AC1865"/>
    <w:rsid w:val="00AC6A3D"/>
    <w:rsid w:val="00AD5979"/>
    <w:rsid w:val="00AE1A8B"/>
    <w:rsid w:val="00AE61BE"/>
    <w:rsid w:val="00AF45B0"/>
    <w:rsid w:val="00B01029"/>
    <w:rsid w:val="00B02758"/>
    <w:rsid w:val="00B0326C"/>
    <w:rsid w:val="00B07322"/>
    <w:rsid w:val="00B13419"/>
    <w:rsid w:val="00B139E4"/>
    <w:rsid w:val="00B244A3"/>
    <w:rsid w:val="00B2569E"/>
    <w:rsid w:val="00B25732"/>
    <w:rsid w:val="00B25903"/>
    <w:rsid w:val="00B33456"/>
    <w:rsid w:val="00B366A2"/>
    <w:rsid w:val="00B37735"/>
    <w:rsid w:val="00B4106A"/>
    <w:rsid w:val="00B42938"/>
    <w:rsid w:val="00B454C3"/>
    <w:rsid w:val="00B6135B"/>
    <w:rsid w:val="00B64D81"/>
    <w:rsid w:val="00B657D2"/>
    <w:rsid w:val="00B83CC8"/>
    <w:rsid w:val="00B93AE5"/>
    <w:rsid w:val="00B96B30"/>
    <w:rsid w:val="00BA132B"/>
    <w:rsid w:val="00BA35E6"/>
    <w:rsid w:val="00BA3C54"/>
    <w:rsid w:val="00BB5890"/>
    <w:rsid w:val="00BB5A44"/>
    <w:rsid w:val="00BB61D9"/>
    <w:rsid w:val="00BC2D98"/>
    <w:rsid w:val="00BD2C59"/>
    <w:rsid w:val="00C03008"/>
    <w:rsid w:val="00C05D63"/>
    <w:rsid w:val="00C149FC"/>
    <w:rsid w:val="00C157CB"/>
    <w:rsid w:val="00C157D0"/>
    <w:rsid w:val="00C1717E"/>
    <w:rsid w:val="00C2271C"/>
    <w:rsid w:val="00C24332"/>
    <w:rsid w:val="00C26268"/>
    <w:rsid w:val="00C322F9"/>
    <w:rsid w:val="00C45448"/>
    <w:rsid w:val="00C51FC6"/>
    <w:rsid w:val="00C6380C"/>
    <w:rsid w:val="00C65D43"/>
    <w:rsid w:val="00C702CA"/>
    <w:rsid w:val="00C77C1C"/>
    <w:rsid w:val="00C816E6"/>
    <w:rsid w:val="00C84961"/>
    <w:rsid w:val="00C978F3"/>
    <w:rsid w:val="00CB0175"/>
    <w:rsid w:val="00CC6B7C"/>
    <w:rsid w:val="00CC6D9D"/>
    <w:rsid w:val="00CD56CF"/>
    <w:rsid w:val="00CD5961"/>
    <w:rsid w:val="00CE1863"/>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DF21DD"/>
    <w:rsid w:val="00E05F7A"/>
    <w:rsid w:val="00E106BF"/>
    <w:rsid w:val="00E235DC"/>
    <w:rsid w:val="00E2405A"/>
    <w:rsid w:val="00E25048"/>
    <w:rsid w:val="00E25239"/>
    <w:rsid w:val="00E30274"/>
    <w:rsid w:val="00E322F3"/>
    <w:rsid w:val="00E348C7"/>
    <w:rsid w:val="00E44450"/>
    <w:rsid w:val="00E57FA4"/>
    <w:rsid w:val="00E60C36"/>
    <w:rsid w:val="00E65CDD"/>
    <w:rsid w:val="00E8477F"/>
    <w:rsid w:val="00E8551C"/>
    <w:rsid w:val="00E92667"/>
    <w:rsid w:val="00E93A5F"/>
    <w:rsid w:val="00E95EEB"/>
    <w:rsid w:val="00EA469F"/>
    <w:rsid w:val="00EC0F11"/>
    <w:rsid w:val="00EC3DAB"/>
    <w:rsid w:val="00EC4D32"/>
    <w:rsid w:val="00EC662D"/>
    <w:rsid w:val="00ED0446"/>
    <w:rsid w:val="00ED5BA2"/>
    <w:rsid w:val="00ED5DD9"/>
    <w:rsid w:val="00EE6154"/>
    <w:rsid w:val="00EF1AB8"/>
    <w:rsid w:val="00F00C6C"/>
    <w:rsid w:val="00F0112B"/>
    <w:rsid w:val="00F04142"/>
    <w:rsid w:val="00F04FD8"/>
    <w:rsid w:val="00F07651"/>
    <w:rsid w:val="00F07D1E"/>
    <w:rsid w:val="00F10880"/>
    <w:rsid w:val="00F14A30"/>
    <w:rsid w:val="00F17F1B"/>
    <w:rsid w:val="00F24EB0"/>
    <w:rsid w:val="00F2534C"/>
    <w:rsid w:val="00F50027"/>
    <w:rsid w:val="00F524DC"/>
    <w:rsid w:val="00F5456B"/>
    <w:rsid w:val="00F55B4B"/>
    <w:rsid w:val="00F634F3"/>
    <w:rsid w:val="00F758C4"/>
    <w:rsid w:val="00F908FF"/>
    <w:rsid w:val="00F93C41"/>
    <w:rsid w:val="00F94B8B"/>
    <w:rsid w:val="00FA1544"/>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067044"/>
    <w:rPr>
      <w:rFonts w:ascii="Tahoma" w:hAnsi="Tahoma" w:cs="Tahoma"/>
      <w:sz w:val="16"/>
      <w:szCs w:val="16"/>
    </w:rPr>
  </w:style>
  <w:style w:type="character" w:customStyle="1" w:styleId="PlandokumentuZnak">
    <w:name w:val="Plan dokumentu Znak"/>
    <w:basedOn w:val="Domylnaczcionkaakapitu"/>
    <w:link w:val="Plan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ierozpoznanawzmianka4">
    <w:name w:val="Nierozpoznana wzmianka4"/>
    <w:basedOn w:val="Domylnaczcionkaakapitu"/>
    <w:uiPriority w:val="99"/>
    <w:semiHidden/>
    <w:unhideWhenUsed/>
    <w:rsid w:val="00AC6A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DD08-AA55-4F6D-A28F-9408FCC6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5573</Words>
  <Characters>33441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Admin</cp:lastModifiedBy>
  <cp:revision>45</cp:revision>
  <cp:lastPrinted>2024-07-12T05:14:00Z</cp:lastPrinted>
  <dcterms:created xsi:type="dcterms:W3CDTF">2023-09-13T09:26:00Z</dcterms:created>
  <dcterms:modified xsi:type="dcterms:W3CDTF">2024-07-12T05:19:00Z</dcterms:modified>
</cp:coreProperties>
</file>