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0" w:rsidRPr="00784C67" w:rsidRDefault="000B4A70" w:rsidP="003D5BA5">
      <w:pPr>
        <w:ind w:left="3540"/>
        <w:jc w:val="right"/>
      </w:pPr>
      <w:r w:rsidRPr="00784C67">
        <w:t xml:space="preserve">Nowe Miasto Lubawskie, dnia </w:t>
      </w:r>
      <w:r w:rsidR="00546F09">
        <w:t>24</w:t>
      </w:r>
      <w:r w:rsidR="000C21A9">
        <w:t xml:space="preserve"> września </w:t>
      </w:r>
      <w:r w:rsidRPr="00784C67">
        <w:t>20</w:t>
      </w:r>
      <w:r w:rsidR="005D58E0" w:rsidRPr="00784C67">
        <w:t>20</w:t>
      </w:r>
      <w:r w:rsidRPr="00784C67">
        <w:t xml:space="preserve"> roku</w:t>
      </w:r>
    </w:p>
    <w:p w:rsidR="000B4A70" w:rsidRPr="00784C67" w:rsidRDefault="000B4A70" w:rsidP="00C6784F">
      <w:pPr>
        <w:pStyle w:val="Nagwek2"/>
        <w:jc w:val="both"/>
        <w:rPr>
          <w:sz w:val="24"/>
          <w:szCs w:val="24"/>
        </w:rPr>
      </w:pPr>
      <w:proofErr w:type="spellStart"/>
      <w:r w:rsidRPr="00784C67">
        <w:rPr>
          <w:sz w:val="24"/>
          <w:szCs w:val="24"/>
        </w:rPr>
        <w:t>L.dz.SZP</w:t>
      </w:r>
      <w:proofErr w:type="spellEnd"/>
      <w:r w:rsidR="00651286" w:rsidRPr="00784C67">
        <w:rPr>
          <w:sz w:val="24"/>
          <w:szCs w:val="24"/>
        </w:rPr>
        <w:t>/</w:t>
      </w:r>
      <w:r w:rsidRPr="00784C67">
        <w:rPr>
          <w:sz w:val="24"/>
          <w:szCs w:val="24"/>
        </w:rPr>
        <w:t>ZP</w:t>
      </w:r>
      <w:r w:rsidR="00D62FA1" w:rsidRPr="00784C67">
        <w:rPr>
          <w:sz w:val="24"/>
          <w:szCs w:val="24"/>
        </w:rPr>
        <w:t>/</w:t>
      </w:r>
      <w:r w:rsidR="00C53799">
        <w:rPr>
          <w:sz w:val="24"/>
          <w:szCs w:val="24"/>
        </w:rPr>
        <w:t>2431</w:t>
      </w:r>
      <w:r w:rsidRPr="00784C67">
        <w:rPr>
          <w:sz w:val="24"/>
          <w:szCs w:val="24"/>
        </w:rPr>
        <w:t>/20</w:t>
      </w:r>
      <w:r w:rsidR="00A52EC9" w:rsidRPr="00784C67">
        <w:rPr>
          <w:sz w:val="24"/>
          <w:szCs w:val="24"/>
        </w:rPr>
        <w:t>20</w:t>
      </w:r>
    </w:p>
    <w:p w:rsidR="000B4A70" w:rsidRPr="00784C67" w:rsidRDefault="000B4A70" w:rsidP="00C6784F">
      <w:pPr>
        <w:jc w:val="both"/>
      </w:pPr>
      <w:r w:rsidRPr="00784C67">
        <w:tab/>
      </w:r>
      <w:r w:rsidRPr="00784C67">
        <w:tab/>
      </w:r>
      <w:r w:rsidRPr="00784C67">
        <w:tab/>
      </w:r>
    </w:p>
    <w:p w:rsidR="00331F46" w:rsidRPr="00784C67" w:rsidRDefault="00331F46" w:rsidP="00C6784F">
      <w:pPr>
        <w:jc w:val="both"/>
      </w:pPr>
    </w:p>
    <w:p w:rsidR="000B4A70" w:rsidRPr="00784C67" w:rsidRDefault="000B4A70" w:rsidP="00C6784F">
      <w:pPr>
        <w:jc w:val="both"/>
        <w:rPr>
          <w:b/>
          <w:u w:val="single"/>
        </w:rPr>
      </w:pPr>
      <w:r w:rsidRPr="00784C67">
        <w:tab/>
      </w:r>
      <w:r w:rsidRPr="00784C67">
        <w:tab/>
      </w:r>
      <w:r w:rsidRPr="00784C67">
        <w:tab/>
      </w:r>
      <w:r w:rsidRPr="00784C67">
        <w:tab/>
      </w:r>
      <w:r w:rsidRPr="00784C67">
        <w:tab/>
      </w:r>
      <w:r w:rsidRPr="00784C67">
        <w:tab/>
      </w:r>
      <w:r w:rsidR="00513453">
        <w:tab/>
      </w:r>
      <w:r w:rsidRPr="00784C67">
        <w:rPr>
          <w:b/>
          <w:u w:val="single"/>
        </w:rPr>
        <w:t>Wszyscy Wykonawcy</w:t>
      </w:r>
    </w:p>
    <w:p w:rsidR="000B4A70" w:rsidRPr="00784C67" w:rsidRDefault="000B4A70" w:rsidP="006C351C">
      <w:pPr>
        <w:jc w:val="both"/>
        <w:rPr>
          <w:b/>
          <w:u w:val="single"/>
        </w:rPr>
      </w:pPr>
    </w:p>
    <w:p w:rsidR="00D62FA1" w:rsidRDefault="00D62FA1" w:rsidP="006C351C">
      <w:pPr>
        <w:jc w:val="both"/>
        <w:rPr>
          <w:b/>
          <w:u w:val="single"/>
        </w:rPr>
      </w:pPr>
    </w:p>
    <w:p w:rsidR="000B4A70" w:rsidRPr="00784C67" w:rsidRDefault="000B4A70" w:rsidP="006C351C">
      <w:pPr>
        <w:jc w:val="both"/>
        <w:rPr>
          <w:b/>
        </w:rPr>
      </w:pPr>
      <w:r w:rsidRPr="00784C67">
        <w:rPr>
          <w:b/>
        </w:rPr>
        <w:t xml:space="preserve">dotyczy: przetargu nieograniczonego na </w:t>
      </w:r>
      <w:r w:rsidR="00CB3DFA" w:rsidRPr="002243BB">
        <w:rPr>
          <w:b/>
        </w:rPr>
        <w:t>dostaw</w:t>
      </w:r>
      <w:r w:rsidR="00CB3DFA">
        <w:rPr>
          <w:b/>
        </w:rPr>
        <w:t>ę sprzętu, aparatury medycznej oraz wyposażenia</w:t>
      </w:r>
      <w:r w:rsidR="00CB3DFA" w:rsidRPr="00784C67">
        <w:rPr>
          <w:b/>
        </w:rPr>
        <w:t xml:space="preserve"> </w:t>
      </w:r>
      <w:r w:rsidRPr="00784C67">
        <w:rPr>
          <w:b/>
        </w:rPr>
        <w:t xml:space="preserve">(postępowanie nr </w:t>
      </w:r>
      <w:r w:rsidR="006E0978">
        <w:rPr>
          <w:b/>
        </w:rPr>
        <w:t>1</w:t>
      </w:r>
      <w:r w:rsidR="00CB3DFA">
        <w:rPr>
          <w:b/>
        </w:rPr>
        <w:t>4</w:t>
      </w:r>
      <w:r w:rsidRPr="00784C67">
        <w:rPr>
          <w:b/>
        </w:rPr>
        <w:t>/PN/20</w:t>
      </w:r>
      <w:r w:rsidR="00A52EC9" w:rsidRPr="00784C67">
        <w:rPr>
          <w:b/>
        </w:rPr>
        <w:t>20</w:t>
      </w:r>
      <w:r w:rsidRPr="00784C67">
        <w:rPr>
          <w:b/>
        </w:rPr>
        <w:t>)</w:t>
      </w:r>
    </w:p>
    <w:p w:rsidR="000B4A70" w:rsidRDefault="000B4A70" w:rsidP="00CE7B2E">
      <w:pPr>
        <w:jc w:val="both"/>
      </w:pPr>
    </w:p>
    <w:p w:rsidR="00331F46" w:rsidRPr="00784C67" w:rsidRDefault="00331F46" w:rsidP="007E73C3">
      <w:pPr>
        <w:jc w:val="both"/>
      </w:pPr>
    </w:p>
    <w:p w:rsidR="000B4A70" w:rsidRPr="005D6033" w:rsidRDefault="000B4A70" w:rsidP="007E73C3">
      <w:pPr>
        <w:ind w:firstLine="709"/>
        <w:jc w:val="both"/>
      </w:pPr>
      <w:r w:rsidRPr="005D6033">
        <w:t>W związku z wpłynięciem od Wykonawców zapytań Zamawiający udziela następujących odpowiedzi:</w:t>
      </w:r>
    </w:p>
    <w:p w:rsidR="005D6033" w:rsidRDefault="005D6033" w:rsidP="007E73C3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70" w:rsidRPr="008847BB" w:rsidRDefault="000B4A70" w:rsidP="007E73C3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BB">
        <w:rPr>
          <w:rFonts w:ascii="Times New Roman" w:hAnsi="Times New Roman" w:cs="Times New Roman"/>
          <w:sz w:val="24"/>
          <w:szCs w:val="24"/>
        </w:rPr>
        <w:t>Pyt.</w:t>
      </w:r>
      <w:r w:rsidR="00401F09" w:rsidRPr="008847BB">
        <w:rPr>
          <w:rFonts w:ascii="Times New Roman" w:hAnsi="Times New Roman" w:cs="Times New Roman"/>
          <w:sz w:val="24"/>
          <w:szCs w:val="24"/>
        </w:rPr>
        <w:t xml:space="preserve"> </w:t>
      </w:r>
      <w:r w:rsidRPr="008847BB">
        <w:rPr>
          <w:rFonts w:ascii="Times New Roman" w:hAnsi="Times New Roman" w:cs="Times New Roman"/>
          <w:sz w:val="24"/>
          <w:szCs w:val="24"/>
        </w:rPr>
        <w:t>1</w:t>
      </w:r>
    </w:p>
    <w:p w:rsidR="008847BB" w:rsidRPr="008847BB" w:rsidRDefault="008847BB" w:rsidP="007E73C3">
      <w:pPr>
        <w:pStyle w:val="Akapitzlist"/>
        <w:ind w:left="0"/>
        <w:jc w:val="both"/>
        <w:rPr>
          <w:sz w:val="24"/>
          <w:szCs w:val="24"/>
        </w:rPr>
      </w:pPr>
      <w:r w:rsidRPr="008847BB">
        <w:rPr>
          <w:bCs/>
          <w:sz w:val="24"/>
          <w:szCs w:val="24"/>
        </w:rPr>
        <w:t>Dotyczy: Załącznik  nr 1 do SIWZ – Grupa 4 i Grupa 5</w:t>
      </w:r>
    </w:p>
    <w:p w:rsidR="008847BB" w:rsidRDefault="008847BB" w:rsidP="007E73C3">
      <w:pPr>
        <w:pStyle w:val="Akapitzlist"/>
        <w:ind w:left="0"/>
        <w:contextualSpacing/>
        <w:jc w:val="both"/>
        <w:rPr>
          <w:bCs/>
          <w:sz w:val="24"/>
          <w:szCs w:val="24"/>
        </w:rPr>
      </w:pPr>
      <w:r w:rsidRPr="008847BB">
        <w:rPr>
          <w:bCs/>
          <w:sz w:val="24"/>
          <w:szCs w:val="24"/>
        </w:rPr>
        <w:t xml:space="preserve">Czy </w:t>
      </w:r>
      <w:r w:rsidRPr="007E73C3">
        <w:rPr>
          <w:bCs/>
          <w:sz w:val="24"/>
          <w:szCs w:val="24"/>
        </w:rPr>
        <w:t>Zamawiający dopuści jako rozwiązanie równoważne kardiomonitor jezdny ze stojakiem wykonanym z profili aluminiowych wyposażony w koszyk na akcesoria oraz uchwyt do prowadzenia, na stabilnej konstrukcji z pięcioramienną podstawą na 5 kołach z blokadą? Jednocześnie chcielibyśmy zwrócić uwagę, iż wózek posiada możliwość regulacji wysokości jak również kąta nachylenia kardiomonitora.</w:t>
      </w:r>
    </w:p>
    <w:p w:rsidR="006626D1" w:rsidRPr="007E73C3" w:rsidRDefault="006626D1" w:rsidP="007E73C3">
      <w:pPr>
        <w:pStyle w:val="Akapitzlist"/>
        <w:ind w:left="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Odp. Tak.</w:t>
      </w:r>
    </w:p>
    <w:p w:rsidR="008847BB" w:rsidRPr="007E73C3" w:rsidRDefault="008847BB" w:rsidP="007E73C3">
      <w:pPr>
        <w:pStyle w:val="Akapitzlist"/>
        <w:ind w:left="0"/>
        <w:jc w:val="both"/>
        <w:rPr>
          <w:sz w:val="24"/>
          <w:szCs w:val="24"/>
        </w:rPr>
      </w:pPr>
    </w:p>
    <w:p w:rsidR="008847BB" w:rsidRPr="007E73C3" w:rsidRDefault="008847BB" w:rsidP="007E73C3">
      <w:pPr>
        <w:pStyle w:val="Akapitzlist"/>
        <w:ind w:left="0"/>
        <w:jc w:val="both"/>
        <w:rPr>
          <w:sz w:val="24"/>
          <w:szCs w:val="24"/>
        </w:rPr>
      </w:pPr>
      <w:r w:rsidRPr="007E73C3">
        <w:rPr>
          <w:sz w:val="24"/>
          <w:szCs w:val="24"/>
        </w:rPr>
        <w:t>Pyt</w:t>
      </w:r>
      <w:r w:rsidRPr="007E73C3">
        <w:rPr>
          <w:sz w:val="24"/>
          <w:szCs w:val="24"/>
        </w:rPr>
        <w:t xml:space="preserve">. </w:t>
      </w:r>
      <w:r w:rsidRPr="007E73C3">
        <w:rPr>
          <w:sz w:val="24"/>
          <w:szCs w:val="24"/>
        </w:rPr>
        <w:t>2</w:t>
      </w:r>
    </w:p>
    <w:p w:rsidR="008847BB" w:rsidRPr="007E73C3" w:rsidRDefault="008847BB" w:rsidP="007E73C3">
      <w:pPr>
        <w:pStyle w:val="Akapitzlist"/>
        <w:ind w:left="0"/>
        <w:jc w:val="both"/>
        <w:rPr>
          <w:sz w:val="24"/>
          <w:szCs w:val="24"/>
        </w:rPr>
      </w:pPr>
      <w:r w:rsidRPr="007E73C3">
        <w:rPr>
          <w:bCs/>
          <w:sz w:val="24"/>
          <w:szCs w:val="24"/>
        </w:rPr>
        <w:t>Dotyczy: Załącznik  nr 1 do SIWZ – Grupa 4 i Grupa 5</w:t>
      </w:r>
    </w:p>
    <w:p w:rsidR="008847BB" w:rsidRPr="007E73C3" w:rsidRDefault="008847BB" w:rsidP="007E73C3">
      <w:pPr>
        <w:pStyle w:val="Akapitzlist"/>
        <w:ind w:left="0"/>
        <w:contextualSpacing/>
        <w:jc w:val="both"/>
        <w:rPr>
          <w:sz w:val="24"/>
          <w:szCs w:val="24"/>
        </w:rPr>
      </w:pPr>
      <w:r w:rsidRPr="007E73C3">
        <w:rPr>
          <w:bCs/>
          <w:sz w:val="24"/>
          <w:szCs w:val="24"/>
        </w:rPr>
        <w:t xml:space="preserve">Czy Zamawiający dopuści kardiomonitor wyposażony w wysokiej jakości ekran 12’’ o rozdzielczości 800x600 pikseli, odchylony względem podstawy kardiomonitora pod kątem 100 – 110 stopni ułatwiając tym samym obserwację mierzonych parametrów w tym jednoczesnego wyświetlenia aż 13 krzywych dynamicznych? </w:t>
      </w:r>
    </w:p>
    <w:p w:rsidR="00F130CC" w:rsidRPr="007E73C3" w:rsidRDefault="00F130CC" w:rsidP="007E73C3">
      <w:pPr>
        <w:pStyle w:val="Podtytu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7E73C3">
        <w:rPr>
          <w:rFonts w:ascii="Times New Roman" w:hAnsi="Times New Roman" w:cs="Times New Roman"/>
          <w:i w:val="0"/>
          <w:sz w:val="24"/>
          <w:szCs w:val="24"/>
        </w:rPr>
        <w:t xml:space="preserve">Odp. </w:t>
      </w:r>
      <w:r w:rsidR="006626D1">
        <w:rPr>
          <w:rFonts w:ascii="Times New Roman" w:hAnsi="Times New Roman" w:cs="Times New Roman"/>
          <w:i w:val="0"/>
          <w:sz w:val="24"/>
          <w:szCs w:val="24"/>
        </w:rPr>
        <w:t>Nie.</w:t>
      </w:r>
    </w:p>
    <w:p w:rsidR="00F130CC" w:rsidRPr="007E73C3" w:rsidRDefault="00F130CC" w:rsidP="007E73C3">
      <w:pPr>
        <w:jc w:val="both"/>
      </w:pPr>
    </w:p>
    <w:p w:rsidR="007E73C3" w:rsidRPr="007E73C3" w:rsidRDefault="007E73C3" w:rsidP="006626D1">
      <w:r w:rsidRPr="007E73C3">
        <w:t>Pyt</w:t>
      </w:r>
      <w:r>
        <w:t>. 3</w:t>
      </w:r>
    </w:p>
    <w:p w:rsidR="007E73C3" w:rsidRPr="007E73C3" w:rsidRDefault="007E73C3" w:rsidP="006626D1">
      <w:pPr>
        <w:pStyle w:val="Tekstpodstawowy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7E73C3">
        <w:rPr>
          <w:rFonts w:ascii="Times New Roman" w:hAnsi="Times New Roman"/>
          <w:sz w:val="24"/>
        </w:rPr>
        <w:t>Dotyczy</w:t>
      </w:r>
      <w:proofErr w:type="spellEnd"/>
      <w:r w:rsidRPr="007E73C3">
        <w:rPr>
          <w:rFonts w:ascii="Times New Roman" w:hAnsi="Times New Roman"/>
          <w:sz w:val="24"/>
        </w:rPr>
        <w:t xml:space="preserve">: </w:t>
      </w:r>
      <w:proofErr w:type="spellStart"/>
      <w:r w:rsidRPr="007E73C3">
        <w:rPr>
          <w:rFonts w:ascii="Times New Roman" w:hAnsi="Times New Roman"/>
          <w:sz w:val="24"/>
        </w:rPr>
        <w:t>Grupa</w:t>
      </w:r>
      <w:proofErr w:type="spellEnd"/>
      <w:r w:rsidRPr="007E73C3">
        <w:rPr>
          <w:rFonts w:ascii="Times New Roman" w:hAnsi="Times New Roman"/>
          <w:sz w:val="24"/>
        </w:rPr>
        <w:t xml:space="preserve"> 5 - </w:t>
      </w:r>
      <w:proofErr w:type="spellStart"/>
      <w:r w:rsidRPr="007E73C3">
        <w:rPr>
          <w:rFonts w:ascii="Times New Roman" w:hAnsi="Times New Roman"/>
          <w:snapToGrid w:val="0"/>
          <w:sz w:val="24"/>
        </w:rPr>
        <w:t>Kardiomonitor</w:t>
      </w:r>
      <w:proofErr w:type="spellEnd"/>
      <w:r w:rsidRPr="007E73C3">
        <w:rPr>
          <w:rFonts w:ascii="Times New Roman" w:hAnsi="Times New Roman"/>
          <w:snapToGrid w:val="0"/>
          <w:sz w:val="24"/>
        </w:rPr>
        <w:t xml:space="preserve"> EKG SpO2 NIBP</w:t>
      </w:r>
    </w:p>
    <w:p w:rsidR="007E73C3" w:rsidRPr="007E73C3" w:rsidRDefault="007E73C3" w:rsidP="006626D1">
      <w:r w:rsidRPr="007E73C3">
        <w:t xml:space="preserve">Czy Zamawiający dopuści do zaoferowania wysokiej jakości kardiomonitor mierzący parametry: : ciśnienie nieinwazyjne, saturacja, EKG, temperatura, ST, Arytmie, </w:t>
      </w:r>
      <w:proofErr w:type="spellStart"/>
      <w:r w:rsidRPr="007E73C3">
        <w:t>Resp</w:t>
      </w:r>
      <w:proofErr w:type="spellEnd"/>
      <w:r w:rsidRPr="007E73C3">
        <w:t>, z kolorowym ekran TFT 12,1 cali – sterowany za pomocą przycisków i pokrętła nawigacyjnego.?</w:t>
      </w:r>
    </w:p>
    <w:p w:rsidR="007E73C3" w:rsidRDefault="006626D1" w:rsidP="006626D1">
      <w:r>
        <w:t>Odp. Nie.</w:t>
      </w:r>
    </w:p>
    <w:p w:rsidR="006626D1" w:rsidRDefault="006626D1" w:rsidP="006626D1"/>
    <w:p w:rsidR="007E73C3" w:rsidRPr="007E73C3" w:rsidRDefault="007E73C3" w:rsidP="006626D1">
      <w:r w:rsidRPr="007E73C3">
        <w:t>Pyt</w:t>
      </w:r>
      <w:r>
        <w:t>. 4</w:t>
      </w:r>
    </w:p>
    <w:p w:rsidR="007E73C3" w:rsidRPr="007E73C3" w:rsidRDefault="007E73C3" w:rsidP="006626D1">
      <w:pPr>
        <w:pStyle w:val="Tekstpodstawowy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7E73C3">
        <w:rPr>
          <w:rFonts w:ascii="Times New Roman" w:hAnsi="Times New Roman"/>
          <w:sz w:val="24"/>
        </w:rPr>
        <w:t>Dotyczy</w:t>
      </w:r>
      <w:proofErr w:type="spellEnd"/>
      <w:r w:rsidRPr="007E73C3">
        <w:rPr>
          <w:rFonts w:ascii="Times New Roman" w:hAnsi="Times New Roman"/>
          <w:sz w:val="24"/>
        </w:rPr>
        <w:t xml:space="preserve">: </w:t>
      </w:r>
      <w:proofErr w:type="spellStart"/>
      <w:r w:rsidRPr="007E73C3">
        <w:rPr>
          <w:rFonts w:ascii="Times New Roman" w:hAnsi="Times New Roman"/>
          <w:sz w:val="24"/>
        </w:rPr>
        <w:t>Grupa</w:t>
      </w:r>
      <w:proofErr w:type="spellEnd"/>
      <w:r w:rsidRPr="007E73C3">
        <w:rPr>
          <w:rFonts w:ascii="Times New Roman" w:hAnsi="Times New Roman"/>
          <w:sz w:val="24"/>
        </w:rPr>
        <w:t xml:space="preserve"> 5 - </w:t>
      </w:r>
      <w:proofErr w:type="spellStart"/>
      <w:r w:rsidRPr="007E73C3">
        <w:rPr>
          <w:rFonts w:ascii="Times New Roman" w:hAnsi="Times New Roman"/>
          <w:snapToGrid w:val="0"/>
          <w:sz w:val="24"/>
        </w:rPr>
        <w:t>Kardiomonitor</w:t>
      </w:r>
      <w:proofErr w:type="spellEnd"/>
      <w:r w:rsidRPr="007E73C3">
        <w:rPr>
          <w:rFonts w:ascii="Times New Roman" w:hAnsi="Times New Roman"/>
          <w:snapToGrid w:val="0"/>
          <w:sz w:val="24"/>
        </w:rPr>
        <w:t xml:space="preserve"> EKG SpO2 NIBP</w:t>
      </w:r>
    </w:p>
    <w:p w:rsidR="007E73C3" w:rsidRPr="007E73C3" w:rsidRDefault="007E73C3" w:rsidP="006626D1">
      <w:r w:rsidRPr="007E73C3">
        <w:t xml:space="preserve">Czy Zamawiający dopuści do zaoferowania wysokiej jakości kardiomonitor mierzący parametry: : ciśnienie nieinwazyjne, saturacja, EKG, temperatura, ST, Arytmie, </w:t>
      </w:r>
      <w:proofErr w:type="spellStart"/>
      <w:r w:rsidRPr="007E73C3">
        <w:t>Resp</w:t>
      </w:r>
      <w:proofErr w:type="spellEnd"/>
      <w:r w:rsidRPr="007E73C3">
        <w:t>, z kolorowym ekran TFT 12,1 cali – sterowany za pomocą ekranu dotykowego.?</w:t>
      </w:r>
    </w:p>
    <w:p w:rsidR="007E73C3" w:rsidRDefault="006626D1" w:rsidP="006626D1">
      <w:r>
        <w:t>Odp. Nie.</w:t>
      </w:r>
    </w:p>
    <w:p w:rsidR="006626D1" w:rsidRDefault="006626D1" w:rsidP="006626D1"/>
    <w:p w:rsidR="007E73C3" w:rsidRPr="007E73C3" w:rsidRDefault="007E73C3" w:rsidP="007E73C3">
      <w:r w:rsidRPr="007E73C3">
        <w:t>Pyt</w:t>
      </w:r>
      <w:r>
        <w:t>. 5</w:t>
      </w:r>
    </w:p>
    <w:p w:rsidR="007E73C3" w:rsidRPr="007E73C3" w:rsidRDefault="007E73C3" w:rsidP="007E73C3">
      <w:pPr>
        <w:pStyle w:val="Tekstpodstawowy"/>
        <w:spacing w:line="240" w:lineRule="auto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7E73C3">
        <w:rPr>
          <w:rFonts w:ascii="Times New Roman" w:hAnsi="Times New Roman"/>
          <w:sz w:val="24"/>
        </w:rPr>
        <w:t>Dotyczy</w:t>
      </w:r>
      <w:proofErr w:type="spellEnd"/>
      <w:r w:rsidRPr="007E73C3">
        <w:rPr>
          <w:rFonts w:ascii="Times New Roman" w:hAnsi="Times New Roman"/>
          <w:sz w:val="24"/>
        </w:rPr>
        <w:t xml:space="preserve">: </w:t>
      </w:r>
      <w:proofErr w:type="spellStart"/>
      <w:r w:rsidRPr="007E73C3">
        <w:rPr>
          <w:rFonts w:ascii="Times New Roman" w:hAnsi="Times New Roman"/>
          <w:sz w:val="24"/>
        </w:rPr>
        <w:t>Grupa</w:t>
      </w:r>
      <w:proofErr w:type="spellEnd"/>
      <w:r w:rsidRPr="007E73C3">
        <w:rPr>
          <w:rFonts w:ascii="Times New Roman" w:hAnsi="Times New Roman"/>
          <w:sz w:val="24"/>
        </w:rPr>
        <w:t xml:space="preserve"> 5 - </w:t>
      </w:r>
      <w:proofErr w:type="spellStart"/>
      <w:r w:rsidRPr="007E73C3">
        <w:rPr>
          <w:rFonts w:ascii="Times New Roman" w:hAnsi="Times New Roman"/>
          <w:snapToGrid w:val="0"/>
          <w:sz w:val="24"/>
        </w:rPr>
        <w:t>Kardiomonitor</w:t>
      </w:r>
      <w:proofErr w:type="spellEnd"/>
      <w:r w:rsidRPr="007E73C3">
        <w:rPr>
          <w:rFonts w:ascii="Times New Roman" w:hAnsi="Times New Roman"/>
          <w:snapToGrid w:val="0"/>
          <w:sz w:val="24"/>
        </w:rPr>
        <w:t xml:space="preserve"> EKG SpO2 NIBP</w:t>
      </w:r>
    </w:p>
    <w:p w:rsidR="007E73C3" w:rsidRDefault="007E73C3" w:rsidP="007E73C3">
      <w:r w:rsidRPr="007E73C3">
        <w:t>Czy Zamawiający dopuści do zaoferowania wysokiej jakości kardiomonitor na jezdnym stojaku ze stali lakierowanej proszkowo, wyposażonym w koszyk na akcesoria oraz uchwyt do prowadzenia stojaka, stojak stabilny oparty na 5 kołach, możliwość zablokowania stojaka (blokada kół).</w:t>
      </w:r>
    </w:p>
    <w:p w:rsidR="006626D1" w:rsidRPr="007E73C3" w:rsidRDefault="006626D1" w:rsidP="006626D1">
      <w:r>
        <w:lastRenderedPageBreak/>
        <w:t>Odp. Tak.</w:t>
      </w:r>
    </w:p>
    <w:p w:rsidR="007E73C3" w:rsidRPr="007E73C3" w:rsidRDefault="007E73C3" w:rsidP="006626D1">
      <w:pPr>
        <w:jc w:val="both"/>
      </w:pPr>
      <w:r w:rsidRPr="007E73C3">
        <w:t>Poniżej zdjęcia poglądowe kardiomonitory i wózka, który chcielibyśmy zaoferować w postępowaniu:</w:t>
      </w:r>
    </w:p>
    <w:p w:rsidR="007E73C3" w:rsidRDefault="007E73C3" w:rsidP="007E73C3">
      <w:pPr>
        <w:tabs>
          <w:tab w:val="left" w:pos="3030"/>
          <w:tab w:val="center" w:pos="4680"/>
        </w:tabs>
        <w:jc w:val="center"/>
        <w:rPr>
          <w:b/>
          <w:i/>
          <w:sz w:val="22"/>
        </w:rPr>
      </w:pPr>
    </w:p>
    <w:p w:rsidR="007E73C3" w:rsidRDefault="007E73C3" w:rsidP="007E73C3">
      <w:pPr>
        <w:tabs>
          <w:tab w:val="left" w:pos="3030"/>
          <w:tab w:val="center" w:pos="4680"/>
        </w:tabs>
        <w:jc w:val="center"/>
        <w:rPr>
          <w:b/>
          <w:i/>
          <w:sz w:val="22"/>
        </w:rPr>
      </w:pPr>
    </w:p>
    <w:p w:rsidR="007E73C3" w:rsidRDefault="007E73C3" w:rsidP="007E73C3">
      <w:pPr>
        <w:tabs>
          <w:tab w:val="left" w:pos="3030"/>
          <w:tab w:val="center" w:pos="4680"/>
        </w:tabs>
        <w:jc w:val="center"/>
        <w:rPr>
          <w:b/>
          <w:i/>
          <w:sz w:val="22"/>
        </w:rPr>
      </w:pPr>
      <w:r>
        <w:rPr>
          <w:noProof/>
        </w:rPr>
        <w:drawing>
          <wp:inline distT="0" distB="0" distL="0" distR="0" wp14:anchorId="0E713DE1" wp14:editId="295F9D95">
            <wp:extent cx="4086860" cy="3355340"/>
            <wp:effectExtent l="0" t="0" r="8890" b="0"/>
            <wp:docPr id="2" name="Obraz 2" descr="Kardiomonitor CMS8000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diomonitor CMS8000 -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C3" w:rsidRDefault="007E73C3" w:rsidP="007E73C3">
      <w:pPr>
        <w:jc w:val="both"/>
      </w:pPr>
    </w:p>
    <w:p w:rsidR="007E73C3" w:rsidRDefault="007E73C3" w:rsidP="007E73C3">
      <w:pPr>
        <w:jc w:val="both"/>
      </w:pPr>
      <w:r>
        <w:t>Pyt. 6</w:t>
      </w:r>
    </w:p>
    <w:p w:rsidR="007E73C3" w:rsidRPr="007E73C3" w:rsidRDefault="007E73C3" w:rsidP="007E73C3">
      <w:pPr>
        <w:jc w:val="both"/>
      </w:pPr>
      <w:r w:rsidRPr="007E73C3">
        <w:t>Dotyczy zapisów SIWZ:</w:t>
      </w:r>
    </w:p>
    <w:p w:rsidR="007E73C3" w:rsidRPr="007E73C3" w:rsidRDefault="007E73C3" w:rsidP="007E73C3">
      <w:pPr>
        <w:jc w:val="both"/>
        <w:rPr>
          <w:b/>
        </w:rPr>
      </w:pPr>
      <w:r w:rsidRPr="007E73C3"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7E73C3" w:rsidRDefault="006626D1" w:rsidP="007E73C3">
      <w:pPr>
        <w:jc w:val="both"/>
      </w:pPr>
      <w:r>
        <w:t>Odp. Tak.</w:t>
      </w:r>
    </w:p>
    <w:p w:rsidR="006626D1" w:rsidRDefault="006626D1" w:rsidP="007E73C3">
      <w:pPr>
        <w:jc w:val="both"/>
      </w:pPr>
    </w:p>
    <w:p w:rsidR="007E73C3" w:rsidRDefault="007E73C3" w:rsidP="007E73C3">
      <w:pPr>
        <w:jc w:val="both"/>
      </w:pPr>
      <w:r>
        <w:t>Pyt. 7</w:t>
      </w:r>
    </w:p>
    <w:p w:rsidR="007E73C3" w:rsidRPr="007E73C3" w:rsidRDefault="007E73C3" w:rsidP="007E73C3">
      <w:pPr>
        <w:jc w:val="both"/>
      </w:pPr>
      <w:r w:rsidRPr="007E73C3">
        <w:t>Dotyczy zapisów SIWZ:</w:t>
      </w:r>
    </w:p>
    <w:p w:rsidR="007E73C3" w:rsidRPr="007E73C3" w:rsidRDefault="007E73C3" w:rsidP="007E73C3">
      <w:pPr>
        <w:jc w:val="both"/>
      </w:pPr>
      <w:r w:rsidRPr="007E73C3"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:rsidR="007E73C3" w:rsidRDefault="006626D1" w:rsidP="007E73C3">
      <w:pPr>
        <w:jc w:val="both"/>
      </w:pPr>
      <w:r>
        <w:t>Odp. Dopuszcza.</w:t>
      </w:r>
    </w:p>
    <w:p w:rsidR="006626D1" w:rsidRPr="007E73C3" w:rsidRDefault="006626D1" w:rsidP="007E73C3">
      <w:pPr>
        <w:jc w:val="both"/>
      </w:pPr>
    </w:p>
    <w:p w:rsidR="007E73C3" w:rsidRDefault="007E73C3" w:rsidP="007E73C3">
      <w:pPr>
        <w:jc w:val="both"/>
      </w:pPr>
      <w:r>
        <w:t>Pyt. 8</w:t>
      </w:r>
    </w:p>
    <w:p w:rsidR="007E73C3" w:rsidRPr="007E73C3" w:rsidRDefault="007E73C3" w:rsidP="006626D1">
      <w:pPr>
        <w:jc w:val="both"/>
        <w:rPr>
          <w:color w:val="000000"/>
        </w:rPr>
      </w:pPr>
      <w:r w:rsidRPr="007E73C3">
        <w:t>Dotyczy Umowy:</w:t>
      </w:r>
    </w:p>
    <w:p w:rsidR="007E73C3" w:rsidRPr="007E73C3" w:rsidRDefault="007E73C3" w:rsidP="006626D1">
      <w:pPr>
        <w:suppressAutoHyphens/>
        <w:jc w:val="both"/>
      </w:pPr>
      <w:r w:rsidRPr="007E73C3">
        <w:rPr>
          <w:b/>
        </w:rPr>
        <w:t>§</w:t>
      </w:r>
      <w:r w:rsidR="006626D1">
        <w:rPr>
          <w:b/>
        </w:rPr>
        <w:t xml:space="preserve"> </w:t>
      </w:r>
      <w:r w:rsidRPr="007E73C3">
        <w:rPr>
          <w:b/>
        </w:rPr>
        <w:t xml:space="preserve">6 </w:t>
      </w:r>
      <w:r w:rsidRPr="007E73C3">
        <w:t>Prosimy o dodanie ustępu o następującej treści „Jeżeli odstąpienie od umowy nastąpi z przyczyn, za które odpowiada Zamawiający, to Zamawiający zapłaci Wykonawcy karę w wysokości 10 % wynagrodzenia przypadającego na niefakturowaną część dostaw, określonych umową”</w:t>
      </w:r>
    </w:p>
    <w:p w:rsidR="007E73C3" w:rsidRPr="007E73C3" w:rsidRDefault="007E73C3" w:rsidP="006626D1">
      <w:pPr>
        <w:jc w:val="both"/>
      </w:pPr>
      <w:r w:rsidRPr="007E73C3">
        <w:t>Obecne zapisy chronią jedynie Zamawiającego, nie dają Wykonawcy możliwości dochodzenia odszkodowania za poniesione straty.</w:t>
      </w:r>
    </w:p>
    <w:p w:rsidR="007E73C3" w:rsidRDefault="006626D1" w:rsidP="006626D1">
      <w:pPr>
        <w:jc w:val="both"/>
      </w:pPr>
      <w:r>
        <w:t>Odp. Zamawiający przychyla się do prośby Wykonawcy.</w:t>
      </w:r>
    </w:p>
    <w:p w:rsidR="007E73C3" w:rsidRPr="007E73C3" w:rsidRDefault="007E73C3" w:rsidP="007E73C3">
      <w:pPr>
        <w:jc w:val="both"/>
      </w:pPr>
      <w:r w:rsidRPr="007E73C3">
        <w:lastRenderedPageBreak/>
        <w:t>Pyt. 9</w:t>
      </w:r>
    </w:p>
    <w:p w:rsidR="007E73C3" w:rsidRPr="007E73C3" w:rsidRDefault="007E73C3" w:rsidP="007E73C3">
      <w:pPr>
        <w:jc w:val="both"/>
        <w:rPr>
          <w:color w:val="000000"/>
        </w:rPr>
      </w:pPr>
      <w:r w:rsidRPr="007E73C3">
        <w:t>Dotyczy Umowy:</w:t>
      </w:r>
    </w:p>
    <w:p w:rsidR="007E73C3" w:rsidRDefault="007E73C3" w:rsidP="007E73C3">
      <w:pPr>
        <w:contextualSpacing/>
        <w:jc w:val="both"/>
      </w:pPr>
      <w:r w:rsidRPr="007E73C3">
        <w:t xml:space="preserve">Wykonawca wnosi o dokonanie zmian wysokości kar umownych określonych w § 6 ust. 4  Umowy, tj. zamiast 5% na 1%. Obecne kary umowne są rażąco wysokie i niewspółmiernie </w:t>
      </w:r>
      <w:r w:rsidRPr="007E73C3">
        <w:br/>
        <w:t>do przedmiotu umowy wygórowane.</w:t>
      </w:r>
    </w:p>
    <w:p w:rsidR="006626D1" w:rsidRPr="007E73C3" w:rsidRDefault="006626D1" w:rsidP="007E73C3">
      <w:pPr>
        <w:contextualSpacing/>
        <w:jc w:val="both"/>
      </w:pPr>
      <w:r>
        <w:t>Odp. Zamawiający nie przychyla się do wniosku.</w:t>
      </w:r>
    </w:p>
    <w:p w:rsidR="007E73C3" w:rsidRPr="007E73C3" w:rsidRDefault="007E73C3" w:rsidP="007E73C3">
      <w:pPr>
        <w:jc w:val="both"/>
      </w:pPr>
    </w:p>
    <w:p w:rsidR="007E73C3" w:rsidRPr="007E73C3" w:rsidRDefault="007E73C3" w:rsidP="007E73C3">
      <w:pPr>
        <w:jc w:val="both"/>
      </w:pPr>
      <w:r w:rsidRPr="007E73C3">
        <w:t>Pyt. 10</w:t>
      </w:r>
    </w:p>
    <w:p w:rsidR="007E73C3" w:rsidRPr="007E73C3" w:rsidRDefault="007E73C3" w:rsidP="007E73C3">
      <w:pPr>
        <w:jc w:val="both"/>
      </w:pPr>
      <w:r w:rsidRPr="007E73C3">
        <w:t>Dotyczy Parametry Techniczne (dotyczy pakiet 15 - Myjnia endoskopowa):</w:t>
      </w:r>
    </w:p>
    <w:p w:rsidR="007E73C3" w:rsidRPr="007E73C3" w:rsidRDefault="007E73C3" w:rsidP="007E73C3">
      <w:pPr>
        <w:jc w:val="both"/>
      </w:pPr>
      <w:r w:rsidRPr="007E73C3">
        <w:t>Czy Zamawiający wyrazi zgodę na zaoferowanie urządzenia o następujących parametrach technicznych:</w:t>
      </w:r>
    </w:p>
    <w:p w:rsidR="007E73C3" w:rsidRPr="007E73C3" w:rsidRDefault="007E73C3" w:rsidP="007E73C3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7E73C3">
        <w:rPr>
          <w:sz w:val="24"/>
          <w:szCs w:val="24"/>
        </w:rPr>
        <w:t>Kompaktowa konstrukcja. Myjnia zawiera przestrzeń wewnętrzną na środki myjąco-dezynfekujące.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Czytnik kodów umożliwiający identyfikację  endoskopu i operatora.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Możliwość dodania do dokumentacji informacji o lekarzu i pacjencie.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Kompleksowy system zarządzania danymi umożliwiający identyfikację i śledzenie endoskopu.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Cykl dezynfekcji 30 min.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Komputerowe programowanie cyklu.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Obsługa sieciowa i zdalny nadzór serwisowy.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Dwie komory działające asynchronicznie.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 xml:space="preserve">Myjnia </w:t>
      </w:r>
      <w:proofErr w:type="spellStart"/>
      <w:r w:rsidRPr="007E73C3">
        <w:t>zwalidowana</w:t>
      </w:r>
      <w:proofErr w:type="spellEnd"/>
      <w:r w:rsidRPr="007E73C3">
        <w:t xml:space="preserve"> do obsługi sond TEE, rozszerzaczy, cystoskopów, </w:t>
      </w:r>
      <w:proofErr w:type="spellStart"/>
      <w:r w:rsidRPr="007E73C3">
        <w:t>półkrytycznych</w:t>
      </w:r>
      <w:proofErr w:type="spellEnd"/>
      <w:r w:rsidRPr="007E73C3">
        <w:t xml:space="preserve"> endoskopów sztywnych.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Walidowany proces  w temperaturze pokojowej 25°C.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 xml:space="preserve">Możliwość przepłukiwania kanałów endoskopu alkoholem. 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Bezdotykowe otwieranie i zamykanie pokrywy komory bez użycia rąk zapewniające łatwość użycia oraz zmniejszające ryzyko zakażeń krzyżowych.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Siedem niezależnych podłączeń kanałów roboczych endoskopu.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Zestaw środków myjących i dezynfekcyjnych wynikających z procesu walidacji skuteczności działania myjni.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Gwarancja właściwego podłączenia do przyłącza endoskopu z zachowaniem separacji kanałów.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 xml:space="preserve">Wszystkie przyłącza </w:t>
      </w:r>
      <w:proofErr w:type="spellStart"/>
      <w:r w:rsidRPr="007E73C3">
        <w:t>zwalidowane</w:t>
      </w:r>
      <w:proofErr w:type="spellEnd"/>
      <w:r w:rsidRPr="007E73C3">
        <w:t xml:space="preserve"> przez producenta urządzenia dla zapewnienia prawidłowości procesu.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Automatyczne monitorowanie niezależnego przepływu wewnątrz każdego kanału w trakcie procesu za pomocą niezależnie działających przepływomierzy.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Monitorowanie wymaganego przepływu przez kanały robocze pod katem zatorów.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Przerwanie programu w przypadku nie osiągnięcia wymaganego przepływu przez którykolwiek kanał roboczy.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Automatyczna kontrola testu szczelności w trakcie całego cyklu. Przerwanie programu w przypadku wykrycia nieszczelności.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Sterowanie mikroprocesorowe.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Monitor o wymiarze 15 cali.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Środki dezynfekcyjne kompatybilne ze wszystkimi rodzajami endoskopów i narzędzi na bazie kwasu nadoctowego, stosowane jednorazowo.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Możliwość procesowania wszelkich dostępnych na rynku endoskopów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 xml:space="preserve">Cykl </w:t>
      </w:r>
      <w:proofErr w:type="spellStart"/>
      <w:r w:rsidRPr="007E73C3">
        <w:t>autodezynfekcji</w:t>
      </w:r>
      <w:proofErr w:type="spellEnd"/>
      <w:r w:rsidRPr="007E73C3">
        <w:t xml:space="preserve"> możliwy do zaprogramowania.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Możliwość podłączenia drukarki zapisującej parametry cyklu.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Myjnia wyposażona w trzy niezależne pompy dozujące.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 xml:space="preserve">Wyświetlanie informacji dotyczących </w:t>
      </w:r>
      <w:proofErr w:type="spellStart"/>
      <w:r w:rsidRPr="007E73C3">
        <w:t>reprocesowania</w:t>
      </w:r>
      <w:proofErr w:type="spellEnd"/>
      <w:r w:rsidRPr="007E73C3">
        <w:t xml:space="preserve"> w czasie rzeczywistym.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Wymiary myjni szerokość 114 cm, głębokość 79cm, wysokość 157cm.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lastRenderedPageBreak/>
        <w:t>Kaseta transportowa zabezpieczająca  endoskop pasująca do komory myjni, kompatybilna z szafą do przechowywania  endoskopów (ENDODRY).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Komory wykonane z tworzywa sztucznego odporna na działanie środków chemicznych.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Komory  wyposażone w ramiona natryskowe w górnej części.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Wbudowany podwójny system filtracji  pobieranej wody.</w:t>
      </w:r>
    </w:p>
    <w:p w:rsidR="007E73C3" w:rsidRPr="007E73C3" w:rsidRDefault="007E73C3" w:rsidP="007E73C3">
      <w:pPr>
        <w:numPr>
          <w:ilvl w:val="1"/>
          <w:numId w:val="11"/>
        </w:numPr>
        <w:jc w:val="both"/>
      </w:pPr>
      <w:r w:rsidRPr="007E73C3">
        <w:t>Napięcie zasilania 230V</w:t>
      </w:r>
    </w:p>
    <w:p w:rsidR="007E73C3" w:rsidRPr="006626D1" w:rsidRDefault="007E73C3" w:rsidP="007E73C3">
      <w:pPr>
        <w:numPr>
          <w:ilvl w:val="1"/>
          <w:numId w:val="11"/>
        </w:numPr>
        <w:jc w:val="both"/>
      </w:pPr>
      <w:r w:rsidRPr="006626D1">
        <w:t>Autoryzowany serwis techniczny na terenie kraju.</w:t>
      </w:r>
    </w:p>
    <w:p w:rsidR="007E73C3" w:rsidRPr="006626D1" w:rsidRDefault="007E73C3" w:rsidP="007E73C3">
      <w:pPr>
        <w:numPr>
          <w:ilvl w:val="1"/>
          <w:numId w:val="11"/>
        </w:numPr>
        <w:jc w:val="both"/>
      </w:pPr>
      <w:r w:rsidRPr="006626D1">
        <w:t>System filtracji powietrza.</w:t>
      </w:r>
    </w:p>
    <w:p w:rsidR="007E73C3" w:rsidRPr="006626D1" w:rsidRDefault="007E73C3" w:rsidP="007E73C3">
      <w:pPr>
        <w:numPr>
          <w:ilvl w:val="1"/>
          <w:numId w:val="11"/>
        </w:numPr>
        <w:jc w:val="both"/>
      </w:pPr>
      <w:r w:rsidRPr="006626D1">
        <w:t xml:space="preserve">Urządzenie spełniające wymagania wynikające z obowiązującej normy ISO 15883 cz. I </w:t>
      </w:r>
      <w:proofErr w:type="spellStart"/>
      <w:r w:rsidRPr="006626D1">
        <w:t>i</w:t>
      </w:r>
      <w:proofErr w:type="spellEnd"/>
      <w:r w:rsidRPr="006626D1">
        <w:t xml:space="preserve"> IV wraz deklaracją zgodności CE. Spełnia wymogi europejskiej dyrektywy dotyczącej wyrobów medycznych 93/42/EEC.</w:t>
      </w:r>
    </w:p>
    <w:p w:rsidR="007E73C3" w:rsidRPr="006626D1" w:rsidRDefault="006626D1" w:rsidP="006626D1">
      <w:pPr>
        <w:spacing w:before="120"/>
        <w:jc w:val="both"/>
      </w:pPr>
      <w:r w:rsidRPr="006626D1">
        <w:t>Odp.</w:t>
      </w:r>
      <w:r w:rsidR="000F7D45">
        <w:t xml:space="preserve"> Dopuszcza przy uwzględnieniu przez Wykonawcę wymogu dot. adapterów.</w:t>
      </w:r>
      <w:r w:rsidRPr="006626D1">
        <w:t xml:space="preserve"> </w:t>
      </w:r>
    </w:p>
    <w:p w:rsidR="006626D1" w:rsidRPr="006626D1" w:rsidRDefault="006626D1" w:rsidP="006626D1">
      <w:pPr>
        <w:spacing w:before="120"/>
        <w:jc w:val="both"/>
      </w:pPr>
    </w:p>
    <w:p w:rsidR="007E73C3" w:rsidRPr="006626D1" w:rsidRDefault="007E73C3" w:rsidP="007E73C3">
      <w:pPr>
        <w:jc w:val="both"/>
      </w:pPr>
      <w:r w:rsidRPr="006626D1">
        <w:t>Pyt. 11</w:t>
      </w:r>
    </w:p>
    <w:p w:rsidR="007E73C3" w:rsidRPr="007E73C3" w:rsidRDefault="007E73C3" w:rsidP="007E73C3">
      <w:pPr>
        <w:jc w:val="both"/>
      </w:pPr>
      <w:r w:rsidRPr="007E73C3">
        <w:rPr>
          <w:bCs/>
        </w:rPr>
        <w:t>Zad. 9</w:t>
      </w:r>
    </w:p>
    <w:p w:rsidR="007E73C3" w:rsidRPr="007E73C3" w:rsidRDefault="007E73C3" w:rsidP="007E73C3">
      <w:pPr>
        <w:jc w:val="both"/>
      </w:pPr>
      <w:r w:rsidRPr="007E73C3">
        <w:t>Czy Zamawiający dopuści zbiornik wielorazowy 1,5l lub 2,5l do wkładów jednorazowych z zabezpieczeniem przed przelaniem w postaci filtra hydrofobowego/antybakteryjnego w pokrywie wkładu jednorazow</w:t>
      </w:r>
      <w:bookmarkStart w:id="0" w:name="_GoBack"/>
      <w:bookmarkEnd w:id="0"/>
      <w:r w:rsidRPr="007E73C3">
        <w:t>ego?</w:t>
      </w:r>
    </w:p>
    <w:p w:rsidR="007E73C3" w:rsidRDefault="006626D1" w:rsidP="007E73C3">
      <w:pPr>
        <w:jc w:val="both"/>
      </w:pPr>
      <w:r>
        <w:t>Odp. Tak.</w:t>
      </w:r>
    </w:p>
    <w:p w:rsidR="006626D1" w:rsidRPr="007E73C3" w:rsidRDefault="006626D1" w:rsidP="007E73C3">
      <w:pPr>
        <w:jc w:val="both"/>
      </w:pPr>
    </w:p>
    <w:p w:rsidR="007E73C3" w:rsidRPr="007E73C3" w:rsidRDefault="007E73C3" w:rsidP="007E73C3">
      <w:pPr>
        <w:jc w:val="both"/>
      </w:pPr>
      <w:r>
        <w:t>Pyt. 12</w:t>
      </w:r>
      <w:r w:rsidRPr="007E73C3">
        <w:t> </w:t>
      </w:r>
    </w:p>
    <w:p w:rsidR="007E73C3" w:rsidRPr="007E73C3" w:rsidRDefault="007E73C3" w:rsidP="007E73C3">
      <w:pPr>
        <w:jc w:val="both"/>
      </w:pPr>
      <w:r w:rsidRPr="007E73C3">
        <w:rPr>
          <w:bCs/>
        </w:rPr>
        <w:t>Zad. 10</w:t>
      </w:r>
    </w:p>
    <w:p w:rsidR="007E73C3" w:rsidRPr="007E73C3" w:rsidRDefault="007E73C3" w:rsidP="007E73C3">
      <w:pPr>
        <w:jc w:val="both"/>
      </w:pPr>
      <w:r w:rsidRPr="007E73C3">
        <w:t>Czy Zamawiający może doprecyzować czy będzie wymagał ssak elektryczny z zasilaniem sieciowym czy regulator próżniowy do centralnej próżni?</w:t>
      </w:r>
    </w:p>
    <w:p w:rsidR="007E73C3" w:rsidRDefault="006626D1" w:rsidP="007E73C3">
      <w:pPr>
        <w:jc w:val="both"/>
      </w:pPr>
      <w:r>
        <w:t xml:space="preserve">Odp. </w:t>
      </w:r>
      <w:r w:rsidRPr="007E73C3">
        <w:t xml:space="preserve">Regulator </w:t>
      </w:r>
      <w:r w:rsidRPr="007E73C3">
        <w:t>próżniowy do centralnej próżni</w:t>
      </w:r>
      <w:r>
        <w:t>.</w:t>
      </w:r>
    </w:p>
    <w:p w:rsidR="006626D1" w:rsidRPr="007E73C3" w:rsidRDefault="006626D1" w:rsidP="007E73C3">
      <w:pPr>
        <w:jc w:val="both"/>
      </w:pPr>
    </w:p>
    <w:p w:rsidR="007E73C3" w:rsidRDefault="007E73C3" w:rsidP="007E73C3">
      <w:pPr>
        <w:jc w:val="both"/>
      </w:pPr>
      <w:r>
        <w:t>Pyt. 13</w:t>
      </w:r>
    </w:p>
    <w:p w:rsidR="007E73C3" w:rsidRPr="007E73C3" w:rsidRDefault="007E73C3" w:rsidP="007E73C3">
      <w:pPr>
        <w:jc w:val="both"/>
      </w:pPr>
      <w:r w:rsidRPr="007E73C3">
        <w:rPr>
          <w:bCs/>
        </w:rPr>
        <w:t>Zad. 10</w:t>
      </w:r>
    </w:p>
    <w:p w:rsidR="007E73C3" w:rsidRPr="007E73C3" w:rsidRDefault="007E73C3" w:rsidP="007E73C3">
      <w:pPr>
        <w:jc w:val="both"/>
      </w:pPr>
      <w:r w:rsidRPr="007E73C3">
        <w:t>Czy Zamawiający dopuści ssak/regulator próżniowy jezdny do centralnej próżni bez zasilania sieciowego, o wydajności 50l; wymiary:126x 113x50mm?</w:t>
      </w:r>
    </w:p>
    <w:p w:rsidR="00334FD7" w:rsidRDefault="00334FD7" w:rsidP="007E73C3">
      <w:pPr>
        <w:jc w:val="both"/>
      </w:pPr>
      <w:r>
        <w:t>Odp. Tak.</w:t>
      </w:r>
    </w:p>
    <w:p w:rsidR="007E73C3" w:rsidRPr="007E73C3" w:rsidRDefault="007E73C3" w:rsidP="007E73C3">
      <w:pPr>
        <w:jc w:val="both"/>
      </w:pPr>
      <w:r w:rsidRPr="007E73C3">
        <w:t> </w:t>
      </w:r>
    </w:p>
    <w:p w:rsidR="007E73C3" w:rsidRDefault="007E73C3" w:rsidP="007E73C3">
      <w:pPr>
        <w:jc w:val="both"/>
        <w:rPr>
          <w:bCs/>
        </w:rPr>
      </w:pPr>
      <w:r>
        <w:rPr>
          <w:bCs/>
        </w:rPr>
        <w:t>Pyt. 14</w:t>
      </w:r>
    </w:p>
    <w:p w:rsidR="007E73C3" w:rsidRPr="007E73C3" w:rsidRDefault="007E73C3" w:rsidP="007E73C3">
      <w:pPr>
        <w:jc w:val="both"/>
      </w:pPr>
      <w:r w:rsidRPr="007E73C3">
        <w:rPr>
          <w:bCs/>
        </w:rPr>
        <w:t>Zad. 10</w:t>
      </w:r>
    </w:p>
    <w:p w:rsidR="00334FD7" w:rsidRDefault="007E73C3" w:rsidP="007E73C3">
      <w:pPr>
        <w:jc w:val="both"/>
      </w:pPr>
      <w:r w:rsidRPr="007E73C3">
        <w:t>Czy Zamawiający dopuści ssak elektryczny jezdny z zasilaniem sieciowym 230V, 50/60Hz; o wymiarach 36x 17x 28,5cm; o wydajności 18l/min i podciśnieniu 75kPa, z zabezpieczeniem przed przelaniem w postaci filtra hydrofobowego/antybakteryjnego zamiast zbiornika zabezpieczającego; nie wymagający podłączenia do centralnej próżni?</w:t>
      </w:r>
    </w:p>
    <w:p w:rsidR="00334FD7" w:rsidRDefault="00334FD7" w:rsidP="007E73C3">
      <w:pPr>
        <w:jc w:val="both"/>
      </w:pPr>
      <w:r>
        <w:t>Nie.</w:t>
      </w:r>
    </w:p>
    <w:p w:rsidR="007E73C3" w:rsidRPr="007E73C3" w:rsidRDefault="007E73C3" w:rsidP="007E73C3">
      <w:pPr>
        <w:jc w:val="both"/>
      </w:pPr>
      <w:r w:rsidRPr="007E73C3">
        <w:t> </w:t>
      </w:r>
    </w:p>
    <w:p w:rsidR="007E73C3" w:rsidRDefault="007E73C3" w:rsidP="007E73C3">
      <w:pPr>
        <w:jc w:val="both"/>
        <w:rPr>
          <w:bCs/>
        </w:rPr>
      </w:pPr>
      <w:r>
        <w:rPr>
          <w:bCs/>
        </w:rPr>
        <w:t>Pyt. 15</w:t>
      </w:r>
    </w:p>
    <w:p w:rsidR="007E73C3" w:rsidRPr="007E73C3" w:rsidRDefault="007E73C3" w:rsidP="007E73C3">
      <w:pPr>
        <w:jc w:val="both"/>
      </w:pPr>
      <w:r w:rsidRPr="007E73C3">
        <w:rPr>
          <w:bCs/>
        </w:rPr>
        <w:t>Zad. 10</w:t>
      </w:r>
    </w:p>
    <w:p w:rsidR="007E73C3" w:rsidRPr="007E73C3" w:rsidRDefault="007E73C3" w:rsidP="007E73C3">
      <w:pPr>
        <w:jc w:val="both"/>
      </w:pPr>
      <w:r w:rsidRPr="007E73C3">
        <w:t>Czy Zamawiający dopuści zbiornik wielorazowy o poj. 1,5l lub 2,5l do wkładów jednorazowych z zabezpieczeniem przed przelaniem w postaci filtra hydrofobowego/antybakteryjnego w pokrywie wkładu jednorazowego?</w:t>
      </w:r>
    </w:p>
    <w:p w:rsidR="007E73C3" w:rsidRPr="007E73C3" w:rsidRDefault="00334FD7" w:rsidP="007E73C3">
      <w:pPr>
        <w:jc w:val="both"/>
      </w:pPr>
      <w:r>
        <w:t>Odp. Tak.</w:t>
      </w:r>
    </w:p>
    <w:p w:rsidR="007E73C3" w:rsidRPr="007E73C3" w:rsidRDefault="007E73C3" w:rsidP="007E73C3">
      <w:pPr>
        <w:jc w:val="both"/>
      </w:pPr>
    </w:p>
    <w:sectPr w:rsidR="007E73C3" w:rsidRPr="007E73C3" w:rsidSect="00033B7B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A1" w:rsidRDefault="004A6EA1" w:rsidP="00AD162E">
      <w:r>
        <w:separator/>
      </w:r>
    </w:p>
  </w:endnote>
  <w:endnote w:type="continuationSeparator" w:id="0">
    <w:p w:rsidR="004A6EA1" w:rsidRDefault="004A6EA1" w:rsidP="00A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ndeDaxOffice">
    <w:altName w:val="Bahnschrift Light"/>
    <w:charset w:val="EE"/>
    <w:family w:val="swiss"/>
    <w:pitch w:val="variable"/>
    <w:sig w:usb0="800000AF" w:usb1="5000206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A1" w:rsidRDefault="004A6EA1" w:rsidP="00AD162E">
      <w:r>
        <w:separator/>
      </w:r>
    </w:p>
  </w:footnote>
  <w:footnote w:type="continuationSeparator" w:id="0">
    <w:p w:rsidR="004A6EA1" w:rsidRDefault="004A6EA1" w:rsidP="00AD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2E" w:rsidRPr="003053A5" w:rsidRDefault="00AD162E" w:rsidP="00AD162E">
    <w:pPr>
      <w:pStyle w:val="Nagwek"/>
    </w:pPr>
    <w:r>
      <w:rPr>
        <w:noProof/>
      </w:rPr>
      <w:drawing>
        <wp:inline distT="0" distB="0" distL="0" distR="0" wp14:anchorId="3FA2D1ED" wp14:editId="645C4B9C">
          <wp:extent cx="5756910" cy="572770"/>
          <wp:effectExtent l="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62E" w:rsidRDefault="00AD1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54"/>
    <w:multiLevelType w:val="hybridMultilevel"/>
    <w:tmpl w:val="9CA26C78"/>
    <w:numStyleLink w:val="Zaimportowanystyl14"/>
  </w:abstractNum>
  <w:abstractNum w:abstractNumId="1">
    <w:nsid w:val="01135B6B"/>
    <w:multiLevelType w:val="hybridMultilevel"/>
    <w:tmpl w:val="D602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0FE"/>
    <w:multiLevelType w:val="hybridMultilevel"/>
    <w:tmpl w:val="47D0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19F4"/>
    <w:multiLevelType w:val="multilevel"/>
    <w:tmpl w:val="B9B4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C5436"/>
    <w:multiLevelType w:val="singleLevel"/>
    <w:tmpl w:val="541076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61F5D9B"/>
    <w:multiLevelType w:val="hybridMultilevel"/>
    <w:tmpl w:val="AE02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C35"/>
    <w:multiLevelType w:val="hybridMultilevel"/>
    <w:tmpl w:val="DB54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5D14"/>
    <w:multiLevelType w:val="hybridMultilevel"/>
    <w:tmpl w:val="80FCE568"/>
    <w:lvl w:ilvl="0" w:tplc="0456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53303"/>
    <w:multiLevelType w:val="hybridMultilevel"/>
    <w:tmpl w:val="44D619BE"/>
    <w:lvl w:ilvl="0" w:tplc="0B16BB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56D76E4"/>
    <w:multiLevelType w:val="hybridMultilevel"/>
    <w:tmpl w:val="2CDA0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9222C"/>
    <w:multiLevelType w:val="hybridMultilevel"/>
    <w:tmpl w:val="7DEE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E5E6B"/>
    <w:multiLevelType w:val="hybridMultilevel"/>
    <w:tmpl w:val="AADC4B02"/>
    <w:lvl w:ilvl="0" w:tplc="1E0066E8">
      <w:start w:val="1"/>
      <w:numFmt w:val="bullet"/>
      <w:lvlText w:val=""/>
      <w:lvlJc w:val="left"/>
      <w:pPr>
        <w:tabs>
          <w:tab w:val="num" w:pos="349"/>
        </w:tabs>
        <w:ind w:left="312" w:hanging="170"/>
      </w:pPr>
      <w:rPr>
        <w:rFonts w:ascii="Symbol" w:hAnsi="Symbol" w:hint="default"/>
        <w:sz w:val="22"/>
        <w:szCs w:val="22"/>
      </w:rPr>
    </w:lvl>
    <w:lvl w:ilvl="1" w:tplc="0E5423F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40C47130"/>
    <w:multiLevelType w:val="hybridMultilevel"/>
    <w:tmpl w:val="3C74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74337"/>
    <w:multiLevelType w:val="hybridMultilevel"/>
    <w:tmpl w:val="D602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6038AF"/>
    <w:multiLevelType w:val="hybridMultilevel"/>
    <w:tmpl w:val="9CA26C78"/>
    <w:styleLink w:val="Zaimportowanystyl14"/>
    <w:lvl w:ilvl="0" w:tplc="9E5CCC7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8A906">
      <w:start w:val="1"/>
      <w:numFmt w:val="bullet"/>
      <w:lvlText w:val="o"/>
      <w:lvlJc w:val="left"/>
      <w:pPr>
        <w:tabs>
          <w:tab w:val="left" w:pos="360"/>
        </w:tabs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0B18A">
      <w:start w:val="1"/>
      <w:numFmt w:val="bullet"/>
      <w:lvlText w:val="▪"/>
      <w:lvlJc w:val="left"/>
      <w:pPr>
        <w:tabs>
          <w:tab w:val="left" w:pos="360"/>
        </w:tabs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E54A4">
      <w:start w:val="1"/>
      <w:numFmt w:val="bullet"/>
      <w:lvlText w:val="·"/>
      <w:lvlJc w:val="left"/>
      <w:pPr>
        <w:tabs>
          <w:tab w:val="left" w:pos="360"/>
        </w:tabs>
        <w:ind w:left="25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C0128">
      <w:start w:val="1"/>
      <w:numFmt w:val="bullet"/>
      <w:lvlText w:val="o"/>
      <w:lvlJc w:val="left"/>
      <w:pPr>
        <w:tabs>
          <w:tab w:val="left" w:pos="360"/>
        </w:tabs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6B38E">
      <w:start w:val="1"/>
      <w:numFmt w:val="bullet"/>
      <w:lvlText w:val="▪"/>
      <w:lvlJc w:val="left"/>
      <w:pPr>
        <w:tabs>
          <w:tab w:val="left" w:pos="360"/>
        </w:tabs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6D50A">
      <w:start w:val="1"/>
      <w:numFmt w:val="bullet"/>
      <w:lvlText w:val="·"/>
      <w:lvlJc w:val="left"/>
      <w:pPr>
        <w:tabs>
          <w:tab w:val="left" w:pos="360"/>
        </w:tabs>
        <w:ind w:left="47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B46A">
      <w:start w:val="1"/>
      <w:numFmt w:val="bullet"/>
      <w:lvlText w:val="o"/>
      <w:lvlJc w:val="left"/>
      <w:pPr>
        <w:tabs>
          <w:tab w:val="left" w:pos="360"/>
        </w:tabs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633C0">
      <w:start w:val="1"/>
      <w:numFmt w:val="bullet"/>
      <w:lvlText w:val="▪"/>
      <w:lvlJc w:val="left"/>
      <w:pPr>
        <w:tabs>
          <w:tab w:val="left" w:pos="360"/>
        </w:tabs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8F03CEB"/>
    <w:multiLevelType w:val="hybridMultilevel"/>
    <w:tmpl w:val="80107D54"/>
    <w:lvl w:ilvl="0" w:tplc="37006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75801E6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D7127"/>
    <w:multiLevelType w:val="hybridMultilevel"/>
    <w:tmpl w:val="D8D2783E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3F0F9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D3446"/>
    <w:multiLevelType w:val="hybridMultilevel"/>
    <w:tmpl w:val="B0FC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537A0"/>
    <w:multiLevelType w:val="hybridMultilevel"/>
    <w:tmpl w:val="0352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551D8"/>
    <w:multiLevelType w:val="hybridMultilevel"/>
    <w:tmpl w:val="5A44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11579"/>
    <w:multiLevelType w:val="hybridMultilevel"/>
    <w:tmpl w:val="DA220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22"/>
  </w:num>
  <w:num w:numId="6">
    <w:abstractNumId w:val="1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12"/>
  </w:num>
  <w:num w:numId="13">
    <w:abstractNumId w:val="24"/>
  </w:num>
  <w:num w:numId="14">
    <w:abstractNumId w:val="6"/>
  </w:num>
  <w:num w:numId="15">
    <w:abstractNumId w:val="11"/>
  </w:num>
  <w:num w:numId="16">
    <w:abstractNumId w:val="17"/>
  </w:num>
  <w:num w:numId="17">
    <w:abstractNumId w:val="14"/>
  </w:num>
  <w:num w:numId="18">
    <w:abstractNumId w:val="19"/>
  </w:num>
  <w:num w:numId="19">
    <w:abstractNumId w:val="21"/>
  </w:num>
  <w:num w:numId="20">
    <w:abstractNumId w:val="1"/>
  </w:num>
  <w:num w:numId="21">
    <w:abstractNumId w:val="16"/>
  </w:num>
  <w:num w:numId="22">
    <w:abstractNumId w:val="18"/>
  </w:num>
  <w:num w:numId="23">
    <w:abstractNumId w:val="0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0"/>
    <w:rsid w:val="00033B7B"/>
    <w:rsid w:val="00044F1C"/>
    <w:rsid w:val="000A4C3A"/>
    <w:rsid w:val="000B1055"/>
    <w:rsid w:val="000B4A70"/>
    <w:rsid w:val="000C21A9"/>
    <w:rsid w:val="000E5585"/>
    <w:rsid w:val="000F623B"/>
    <w:rsid w:val="000F7D45"/>
    <w:rsid w:val="001133DF"/>
    <w:rsid w:val="00116FEA"/>
    <w:rsid w:val="00134745"/>
    <w:rsid w:val="00141729"/>
    <w:rsid w:val="00144E4A"/>
    <w:rsid w:val="00145DC1"/>
    <w:rsid w:val="001945E8"/>
    <w:rsid w:val="001A68E8"/>
    <w:rsid w:val="001B5517"/>
    <w:rsid w:val="001C0F57"/>
    <w:rsid w:val="001C585F"/>
    <w:rsid w:val="001E22F3"/>
    <w:rsid w:val="001F1948"/>
    <w:rsid w:val="001F7235"/>
    <w:rsid w:val="00206007"/>
    <w:rsid w:val="00213D45"/>
    <w:rsid w:val="00230EA4"/>
    <w:rsid w:val="00232C34"/>
    <w:rsid w:val="002366E5"/>
    <w:rsid w:val="002426FD"/>
    <w:rsid w:val="002448A1"/>
    <w:rsid w:val="0025287A"/>
    <w:rsid w:val="00267854"/>
    <w:rsid w:val="00273D13"/>
    <w:rsid w:val="002836D0"/>
    <w:rsid w:val="00283DCC"/>
    <w:rsid w:val="00285F13"/>
    <w:rsid w:val="00294FB7"/>
    <w:rsid w:val="002C030C"/>
    <w:rsid w:val="002D6677"/>
    <w:rsid w:val="002E086D"/>
    <w:rsid w:val="002E67FF"/>
    <w:rsid w:val="002F2681"/>
    <w:rsid w:val="00310E24"/>
    <w:rsid w:val="00331F46"/>
    <w:rsid w:val="00334FD7"/>
    <w:rsid w:val="00340699"/>
    <w:rsid w:val="00342A36"/>
    <w:rsid w:val="00366F4B"/>
    <w:rsid w:val="00372356"/>
    <w:rsid w:val="00396F37"/>
    <w:rsid w:val="003C3EC0"/>
    <w:rsid w:val="003D29BA"/>
    <w:rsid w:val="003D5BA5"/>
    <w:rsid w:val="003D6972"/>
    <w:rsid w:val="003F02B7"/>
    <w:rsid w:val="00401F09"/>
    <w:rsid w:val="00404FEE"/>
    <w:rsid w:val="00413DE4"/>
    <w:rsid w:val="00416E4D"/>
    <w:rsid w:val="004418DB"/>
    <w:rsid w:val="0044409F"/>
    <w:rsid w:val="004458BF"/>
    <w:rsid w:val="004521C0"/>
    <w:rsid w:val="00460EC4"/>
    <w:rsid w:val="00473CFF"/>
    <w:rsid w:val="004A3E09"/>
    <w:rsid w:val="004A6EA1"/>
    <w:rsid w:val="004B0C43"/>
    <w:rsid w:val="004B2784"/>
    <w:rsid w:val="004B5DFA"/>
    <w:rsid w:val="004C6D0C"/>
    <w:rsid w:val="004D1D4E"/>
    <w:rsid w:val="00513453"/>
    <w:rsid w:val="0051491C"/>
    <w:rsid w:val="005224D0"/>
    <w:rsid w:val="00546F09"/>
    <w:rsid w:val="00582B70"/>
    <w:rsid w:val="005A20D1"/>
    <w:rsid w:val="005B3D75"/>
    <w:rsid w:val="005D58E0"/>
    <w:rsid w:val="005D6033"/>
    <w:rsid w:val="005D7B81"/>
    <w:rsid w:val="006150F6"/>
    <w:rsid w:val="00621F2A"/>
    <w:rsid w:val="00624BD4"/>
    <w:rsid w:val="00627003"/>
    <w:rsid w:val="00651286"/>
    <w:rsid w:val="0065621E"/>
    <w:rsid w:val="00662369"/>
    <w:rsid w:val="006626D1"/>
    <w:rsid w:val="006626D4"/>
    <w:rsid w:val="006B5BA3"/>
    <w:rsid w:val="006C351C"/>
    <w:rsid w:val="006C695A"/>
    <w:rsid w:val="006E0978"/>
    <w:rsid w:val="006E2EDB"/>
    <w:rsid w:val="006F4852"/>
    <w:rsid w:val="00721096"/>
    <w:rsid w:val="00724634"/>
    <w:rsid w:val="0075003C"/>
    <w:rsid w:val="00784C67"/>
    <w:rsid w:val="007A5723"/>
    <w:rsid w:val="007B4BFB"/>
    <w:rsid w:val="007B5D71"/>
    <w:rsid w:val="007E73C3"/>
    <w:rsid w:val="007F2528"/>
    <w:rsid w:val="007F2568"/>
    <w:rsid w:val="007F3DA9"/>
    <w:rsid w:val="007F3E9A"/>
    <w:rsid w:val="007F798E"/>
    <w:rsid w:val="008133F9"/>
    <w:rsid w:val="00817C2F"/>
    <w:rsid w:val="00820C27"/>
    <w:rsid w:val="00823BE9"/>
    <w:rsid w:val="008517C1"/>
    <w:rsid w:val="00861590"/>
    <w:rsid w:val="00861E53"/>
    <w:rsid w:val="008668B1"/>
    <w:rsid w:val="00871373"/>
    <w:rsid w:val="00876E84"/>
    <w:rsid w:val="008847BB"/>
    <w:rsid w:val="008A23F8"/>
    <w:rsid w:val="008B402A"/>
    <w:rsid w:val="008B483B"/>
    <w:rsid w:val="008C0EEF"/>
    <w:rsid w:val="008D68BD"/>
    <w:rsid w:val="008E2846"/>
    <w:rsid w:val="008E5B61"/>
    <w:rsid w:val="008F6D9E"/>
    <w:rsid w:val="00922606"/>
    <w:rsid w:val="00926B24"/>
    <w:rsid w:val="009419D7"/>
    <w:rsid w:val="009513A3"/>
    <w:rsid w:val="0095352B"/>
    <w:rsid w:val="00956C4E"/>
    <w:rsid w:val="009655FC"/>
    <w:rsid w:val="00973265"/>
    <w:rsid w:val="009815D7"/>
    <w:rsid w:val="009919CE"/>
    <w:rsid w:val="009C4868"/>
    <w:rsid w:val="009D1798"/>
    <w:rsid w:val="009E1E9D"/>
    <w:rsid w:val="009F618D"/>
    <w:rsid w:val="00A0112A"/>
    <w:rsid w:val="00A124C5"/>
    <w:rsid w:val="00A373EE"/>
    <w:rsid w:val="00A52941"/>
    <w:rsid w:val="00A52EC9"/>
    <w:rsid w:val="00A569CA"/>
    <w:rsid w:val="00A70C92"/>
    <w:rsid w:val="00A7187F"/>
    <w:rsid w:val="00AA2BDE"/>
    <w:rsid w:val="00AD162E"/>
    <w:rsid w:val="00AE1E9E"/>
    <w:rsid w:val="00B15B89"/>
    <w:rsid w:val="00BC5BB0"/>
    <w:rsid w:val="00BE51D6"/>
    <w:rsid w:val="00C0076C"/>
    <w:rsid w:val="00C11D40"/>
    <w:rsid w:val="00C34834"/>
    <w:rsid w:val="00C53799"/>
    <w:rsid w:val="00C637D9"/>
    <w:rsid w:val="00C6784F"/>
    <w:rsid w:val="00C77538"/>
    <w:rsid w:val="00C834F9"/>
    <w:rsid w:val="00C8703C"/>
    <w:rsid w:val="00CA2A05"/>
    <w:rsid w:val="00CA47F3"/>
    <w:rsid w:val="00CB3DFA"/>
    <w:rsid w:val="00CD0AD3"/>
    <w:rsid w:val="00CE44BD"/>
    <w:rsid w:val="00CE7B2E"/>
    <w:rsid w:val="00CF5986"/>
    <w:rsid w:val="00D12FAF"/>
    <w:rsid w:val="00D26D05"/>
    <w:rsid w:val="00D33449"/>
    <w:rsid w:val="00D571A2"/>
    <w:rsid w:val="00D62FA1"/>
    <w:rsid w:val="00D8032B"/>
    <w:rsid w:val="00D8149C"/>
    <w:rsid w:val="00D96F9C"/>
    <w:rsid w:val="00DA0A2B"/>
    <w:rsid w:val="00DB542D"/>
    <w:rsid w:val="00DD4EE1"/>
    <w:rsid w:val="00DD58AB"/>
    <w:rsid w:val="00DE40DC"/>
    <w:rsid w:val="00DF0EAF"/>
    <w:rsid w:val="00DF3326"/>
    <w:rsid w:val="00E1390D"/>
    <w:rsid w:val="00E13E53"/>
    <w:rsid w:val="00E20F65"/>
    <w:rsid w:val="00E54ECB"/>
    <w:rsid w:val="00E80139"/>
    <w:rsid w:val="00E909F2"/>
    <w:rsid w:val="00E941A7"/>
    <w:rsid w:val="00EA0978"/>
    <w:rsid w:val="00EA5BEB"/>
    <w:rsid w:val="00EA7F6E"/>
    <w:rsid w:val="00EC2575"/>
    <w:rsid w:val="00EC6F76"/>
    <w:rsid w:val="00ED2AD5"/>
    <w:rsid w:val="00EF15FA"/>
    <w:rsid w:val="00F00836"/>
    <w:rsid w:val="00F02DB5"/>
    <w:rsid w:val="00F130CC"/>
    <w:rsid w:val="00F33ADF"/>
    <w:rsid w:val="00F41494"/>
    <w:rsid w:val="00F4520B"/>
    <w:rsid w:val="00F66BAF"/>
    <w:rsid w:val="00F76CF0"/>
    <w:rsid w:val="00F93315"/>
    <w:rsid w:val="00FA31FB"/>
    <w:rsid w:val="00FA3468"/>
    <w:rsid w:val="00FD427D"/>
    <w:rsid w:val="00FF1B7E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66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662369"/>
    <w:pPr>
      <w:numPr>
        <w:numId w:val="22"/>
      </w:numPr>
    </w:pPr>
  </w:style>
  <w:style w:type="paragraph" w:styleId="Nagwek">
    <w:name w:val="header"/>
    <w:basedOn w:val="Normalny"/>
    <w:link w:val="NagwekZnak"/>
    <w:unhideWhenUsed/>
    <w:rsid w:val="00AD1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847BB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qFormat/>
    <w:rsid w:val="00F33ADF"/>
    <w:rPr>
      <w:i/>
      <w:i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Podtytu">
    <w:name w:val="Subtitle"/>
    <w:basedOn w:val="Normalny"/>
    <w:next w:val="Tekstpodstawowy"/>
    <w:link w:val="PodtytuZnak"/>
    <w:qFormat/>
    <w:rsid w:val="00401F09"/>
    <w:pPr>
      <w:keepNext/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1F09"/>
    <w:rPr>
      <w:rFonts w:ascii="Arial" w:eastAsia="Lucida Sans Unicode" w:hAnsi="Arial" w:cs="Courier New"/>
      <w:i/>
      <w:iCs/>
      <w:sz w:val="28"/>
      <w:szCs w:val="28"/>
    </w:rPr>
  </w:style>
  <w:style w:type="character" w:styleId="Pogrubienie">
    <w:name w:val="Strong"/>
    <w:rsid w:val="00232C34"/>
    <w:rPr>
      <w:rFonts w:cs="Times New Roman"/>
      <w:b/>
    </w:rPr>
  </w:style>
  <w:style w:type="paragraph" w:customStyle="1" w:styleId="Standard">
    <w:name w:val="Standard"/>
    <w:rsid w:val="00244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C6F7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66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662369"/>
    <w:pPr>
      <w:numPr>
        <w:numId w:val="22"/>
      </w:numPr>
    </w:pPr>
  </w:style>
  <w:style w:type="paragraph" w:styleId="Nagwek">
    <w:name w:val="header"/>
    <w:basedOn w:val="Normalny"/>
    <w:link w:val="NagwekZnak"/>
    <w:unhideWhenUsed/>
    <w:rsid w:val="00AD1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847BB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7A53-FEA3-4124-AEE3-175BA357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2020-09-23T09:30:00Z</cp:lastPrinted>
  <dcterms:created xsi:type="dcterms:W3CDTF">2020-09-24T06:38:00Z</dcterms:created>
  <dcterms:modified xsi:type="dcterms:W3CDTF">2020-09-24T09:42:00Z</dcterms:modified>
</cp:coreProperties>
</file>