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C6934" w14:textId="77777777" w:rsidR="00F64562" w:rsidRDefault="00F64562" w:rsidP="003A7B31">
      <w:pPr>
        <w:spacing w:after="0" w:line="240" w:lineRule="auto"/>
        <w:jc w:val="center"/>
        <w:rPr>
          <w:rFonts w:ascii="Calibri" w:eastAsia="Times New Roman" w:hAnsi="Calibri" w:cs="Times New Roman"/>
          <w:b/>
          <w:bCs/>
          <w:smallCaps/>
          <w:color w:val="000000" w:themeColor="text1"/>
          <w:sz w:val="28"/>
          <w:szCs w:val="28"/>
        </w:rPr>
      </w:pPr>
    </w:p>
    <w:p w14:paraId="1402AE6E" w14:textId="77777777" w:rsidR="00F64562" w:rsidRPr="00F64562" w:rsidRDefault="00F64562" w:rsidP="00F64562">
      <w:pPr>
        <w:spacing w:after="0" w:line="240" w:lineRule="auto"/>
        <w:rPr>
          <w:rFonts w:ascii="Cambria" w:eastAsia="Times New Roman" w:hAnsi="Cambria" w:cs="Arial"/>
          <w:b/>
          <w:sz w:val="24"/>
          <w:szCs w:val="24"/>
          <w:lang w:eastAsia="en-US"/>
        </w:rPr>
      </w:pPr>
      <w:r w:rsidRPr="00F64562">
        <w:rPr>
          <w:rFonts w:ascii="Cambria" w:eastAsia="Times New Roman" w:hAnsi="Cambria" w:cs="Arial"/>
          <w:b/>
          <w:sz w:val="24"/>
          <w:szCs w:val="24"/>
          <w:lang w:eastAsia="en-US"/>
        </w:rPr>
        <w:t>ZAMAWIAJĄCY:</w:t>
      </w:r>
    </w:p>
    <w:p w14:paraId="45EA8009" w14:textId="77777777" w:rsidR="00F64562" w:rsidRPr="00F64562" w:rsidRDefault="00F64562" w:rsidP="00F64562">
      <w:pPr>
        <w:tabs>
          <w:tab w:val="left" w:pos="993"/>
        </w:tabs>
        <w:spacing w:after="0" w:line="240" w:lineRule="auto"/>
        <w:jc w:val="both"/>
        <w:rPr>
          <w:rFonts w:ascii="Cambria" w:eastAsia="Times New Roman" w:hAnsi="Cambria" w:cs="Arial"/>
          <w:b/>
          <w:bCs/>
          <w:sz w:val="24"/>
          <w:szCs w:val="24"/>
        </w:rPr>
      </w:pPr>
      <w:r w:rsidRPr="00F64562">
        <w:rPr>
          <w:rFonts w:ascii="Cambria" w:eastAsia="Times New Roman" w:hAnsi="Cambria" w:cs="Arial"/>
          <w:b/>
          <w:bCs/>
          <w:sz w:val="24"/>
          <w:szCs w:val="24"/>
        </w:rPr>
        <w:t>Gmina Kalisz Pomorski</w:t>
      </w:r>
    </w:p>
    <w:p w14:paraId="503EBD73" w14:textId="77777777" w:rsidR="00F64562" w:rsidRPr="00F64562" w:rsidRDefault="00F64562" w:rsidP="00F64562">
      <w:pPr>
        <w:tabs>
          <w:tab w:val="left" w:pos="993"/>
        </w:tabs>
        <w:spacing w:after="0" w:line="240" w:lineRule="auto"/>
        <w:jc w:val="both"/>
        <w:rPr>
          <w:rFonts w:ascii="Cambria" w:eastAsia="Times New Roman" w:hAnsi="Cambria" w:cs="Arial"/>
          <w:sz w:val="24"/>
          <w:szCs w:val="24"/>
        </w:rPr>
      </w:pPr>
      <w:r w:rsidRPr="00F64562">
        <w:rPr>
          <w:rFonts w:ascii="Cambria" w:eastAsia="Times New Roman" w:hAnsi="Cambria" w:cs="Arial"/>
          <w:sz w:val="24"/>
          <w:szCs w:val="24"/>
        </w:rPr>
        <w:t xml:space="preserve">ul. Wolności 25, 78-540 Kalisz Pomorski, </w:t>
      </w:r>
    </w:p>
    <w:p w14:paraId="11F6B900" w14:textId="3D307E6B" w:rsidR="00F64562" w:rsidRPr="00F64562" w:rsidRDefault="00F64562" w:rsidP="00F64562">
      <w:pPr>
        <w:tabs>
          <w:tab w:val="left" w:pos="993"/>
        </w:tabs>
        <w:spacing w:after="120" w:line="312" w:lineRule="auto"/>
        <w:jc w:val="right"/>
        <w:rPr>
          <w:rFonts w:ascii="Cambria" w:eastAsia="Times New Roman" w:hAnsi="Cambria" w:cs="Arial"/>
          <w:sz w:val="24"/>
          <w:szCs w:val="24"/>
        </w:rPr>
      </w:pPr>
      <w:r w:rsidRPr="00F64562">
        <w:rPr>
          <w:rFonts w:ascii="Cambria" w:eastAsia="Times New Roman" w:hAnsi="Cambria" w:cs="Arial"/>
          <w:sz w:val="24"/>
          <w:szCs w:val="24"/>
        </w:rPr>
        <w:t xml:space="preserve">Kalisz Pomorski, </w:t>
      </w:r>
      <w:r>
        <w:rPr>
          <w:rFonts w:ascii="Cambria" w:eastAsia="Times New Roman" w:hAnsi="Cambria" w:cs="Arial"/>
          <w:sz w:val="24"/>
          <w:szCs w:val="24"/>
        </w:rPr>
        <w:t>13</w:t>
      </w:r>
      <w:r w:rsidRPr="00F64562">
        <w:rPr>
          <w:rFonts w:ascii="Cambria" w:eastAsia="Times New Roman" w:hAnsi="Cambria" w:cs="Arial"/>
          <w:sz w:val="24"/>
          <w:szCs w:val="24"/>
        </w:rPr>
        <w:t>.04.2023 r.</w:t>
      </w:r>
    </w:p>
    <w:p w14:paraId="4123EEC5" w14:textId="77777777" w:rsidR="00F64562" w:rsidRPr="00F64562" w:rsidRDefault="00F64562" w:rsidP="00F64562">
      <w:pPr>
        <w:tabs>
          <w:tab w:val="left" w:pos="993"/>
        </w:tabs>
        <w:spacing w:after="120" w:line="312" w:lineRule="auto"/>
        <w:rPr>
          <w:rFonts w:ascii="Cambria" w:eastAsia="Times New Roman" w:hAnsi="Cambria" w:cs="Arial"/>
          <w:b/>
          <w:sz w:val="24"/>
          <w:szCs w:val="24"/>
        </w:rPr>
      </w:pPr>
      <w:r w:rsidRPr="00F64562">
        <w:rPr>
          <w:rFonts w:ascii="Cambria" w:eastAsia="Times New Roman" w:hAnsi="Cambria" w:cs="Arial"/>
          <w:b/>
          <w:sz w:val="24"/>
          <w:szCs w:val="24"/>
        </w:rPr>
        <w:t>Znak sprawy: SP.271.1.2023</w:t>
      </w:r>
    </w:p>
    <w:p w14:paraId="1A8BD722" w14:textId="77777777" w:rsidR="00F64562" w:rsidRPr="00F64562" w:rsidRDefault="00F64562" w:rsidP="00F64562">
      <w:pPr>
        <w:tabs>
          <w:tab w:val="left" w:pos="993"/>
        </w:tabs>
        <w:spacing w:after="120" w:line="312" w:lineRule="auto"/>
        <w:rPr>
          <w:rFonts w:ascii="Cambria" w:eastAsia="Times New Roman" w:hAnsi="Cambria" w:cs="Arial"/>
          <w:b/>
          <w:sz w:val="24"/>
          <w:szCs w:val="24"/>
        </w:rPr>
      </w:pPr>
    </w:p>
    <w:p w14:paraId="01C8E57C" w14:textId="17FAA36A" w:rsidR="00F64562" w:rsidRPr="00F64562" w:rsidRDefault="00F64562" w:rsidP="00F64562">
      <w:pPr>
        <w:tabs>
          <w:tab w:val="left" w:pos="993"/>
        </w:tabs>
        <w:spacing w:after="120" w:line="312" w:lineRule="auto"/>
        <w:jc w:val="center"/>
        <w:rPr>
          <w:rFonts w:ascii="Cambria" w:eastAsia="Times New Roman" w:hAnsi="Cambria" w:cs="Arial"/>
          <w:b/>
          <w:sz w:val="24"/>
          <w:szCs w:val="24"/>
        </w:rPr>
      </w:pPr>
      <w:r w:rsidRPr="00F64562">
        <w:rPr>
          <w:rFonts w:ascii="Cambria" w:eastAsia="Times New Roman" w:hAnsi="Cambria" w:cs="Arial"/>
          <w:b/>
          <w:sz w:val="24"/>
          <w:szCs w:val="24"/>
        </w:rPr>
        <w:t xml:space="preserve">Wyjaśnienie nr </w:t>
      </w:r>
      <w:r>
        <w:rPr>
          <w:rFonts w:ascii="Cambria" w:eastAsia="Times New Roman" w:hAnsi="Cambria" w:cs="Arial"/>
          <w:b/>
          <w:sz w:val="24"/>
          <w:szCs w:val="24"/>
        </w:rPr>
        <w:t>3</w:t>
      </w:r>
      <w:r w:rsidRPr="00F64562">
        <w:rPr>
          <w:rFonts w:ascii="Cambria" w:eastAsia="Times New Roman" w:hAnsi="Cambria" w:cs="Arial"/>
          <w:b/>
          <w:sz w:val="24"/>
          <w:szCs w:val="24"/>
        </w:rPr>
        <w:t xml:space="preserve"> treści SWZ</w:t>
      </w:r>
    </w:p>
    <w:p w14:paraId="13186705" w14:textId="77777777" w:rsidR="00F64562" w:rsidRPr="00F64562" w:rsidRDefault="00F64562" w:rsidP="00F64562">
      <w:pPr>
        <w:autoSpaceDE w:val="0"/>
        <w:spacing w:after="0" w:line="240" w:lineRule="auto"/>
        <w:jc w:val="center"/>
        <w:rPr>
          <w:rFonts w:ascii="Cambria" w:eastAsia="Times New Roman" w:hAnsi="Cambria" w:cs="Tahoma"/>
          <w:b/>
          <w:bCs/>
          <w:lang w:eastAsia="zh-CN"/>
        </w:rPr>
      </w:pPr>
      <w:proofErr w:type="spellStart"/>
      <w:r w:rsidRPr="00F64562">
        <w:rPr>
          <w:rFonts w:ascii="Cambria" w:eastAsia="Times New Roman" w:hAnsi="Cambria" w:cs="Arial"/>
          <w:b/>
          <w:sz w:val="24"/>
          <w:szCs w:val="24"/>
        </w:rPr>
        <w:t>Dot</w:t>
      </w:r>
      <w:proofErr w:type="spellEnd"/>
      <w:r w:rsidRPr="00F64562">
        <w:rPr>
          <w:rFonts w:ascii="Cambria" w:eastAsia="Times New Roman" w:hAnsi="Cambria" w:cs="Arial"/>
          <w:b/>
          <w:sz w:val="24"/>
          <w:szCs w:val="24"/>
        </w:rPr>
        <w:t xml:space="preserve">: postępowania o udzielenie zamówienia publicznego pn.: </w:t>
      </w:r>
      <w:r w:rsidRPr="00F64562">
        <w:rPr>
          <w:rFonts w:ascii="Cambria" w:eastAsia="Times New Roman" w:hAnsi="Cambria" w:cs="Tahoma"/>
          <w:b/>
          <w:bCs/>
          <w:lang w:eastAsia="zh-CN"/>
        </w:rPr>
        <w:t>„Udzielenie i obsługa długoterminowego kredytu bankowego do kwoty nieprzekraczającej 5.000.000,00 zł, przeznaczonego na sfinansowanie planowanego deficytu budżetu Gminy Kalisz Pomorski”</w:t>
      </w:r>
    </w:p>
    <w:p w14:paraId="2A34DB4D" w14:textId="77777777" w:rsidR="00F64562" w:rsidRPr="00F64562" w:rsidRDefault="00F64562" w:rsidP="00F64562">
      <w:pPr>
        <w:tabs>
          <w:tab w:val="left" w:pos="993"/>
        </w:tabs>
        <w:spacing w:after="120" w:line="312" w:lineRule="auto"/>
        <w:jc w:val="center"/>
        <w:rPr>
          <w:rFonts w:ascii="Cambria" w:eastAsia="Times New Roman" w:hAnsi="Cambria" w:cs="Arial"/>
          <w:b/>
          <w:sz w:val="24"/>
          <w:szCs w:val="24"/>
        </w:rPr>
      </w:pPr>
    </w:p>
    <w:p w14:paraId="48CDD118" w14:textId="77777777" w:rsidR="00F64562" w:rsidRPr="00F64562" w:rsidRDefault="00F64562" w:rsidP="00F64562">
      <w:pPr>
        <w:tabs>
          <w:tab w:val="left" w:pos="993"/>
        </w:tabs>
        <w:spacing w:after="120" w:line="312" w:lineRule="auto"/>
        <w:rPr>
          <w:rFonts w:ascii="Cambria" w:eastAsia="Times New Roman" w:hAnsi="Cambria" w:cs="Arial"/>
          <w:sz w:val="24"/>
          <w:szCs w:val="24"/>
        </w:rPr>
      </w:pPr>
      <w:r w:rsidRPr="00F64562">
        <w:rPr>
          <w:rFonts w:ascii="Cambria" w:eastAsia="Times New Roman" w:hAnsi="Cambria" w:cs="Arial"/>
          <w:sz w:val="24"/>
          <w:szCs w:val="24"/>
        </w:rPr>
        <w:t xml:space="preserve">Działając na podstawie art. 135 ust. 2 ustawy z dnia 11 września 2019r. Prawo zamówień publicznych (Dz. U. 2022 r., poz. 1710) zamawiający udziela wyjaśnienia treści SWZ: </w:t>
      </w:r>
    </w:p>
    <w:p w14:paraId="08DCCAB5" w14:textId="77777777" w:rsidR="00F64562" w:rsidRDefault="00F64562" w:rsidP="003A7B31">
      <w:pPr>
        <w:spacing w:after="0" w:line="240" w:lineRule="auto"/>
        <w:jc w:val="center"/>
        <w:rPr>
          <w:rFonts w:ascii="Calibri" w:eastAsia="Times New Roman" w:hAnsi="Calibri" w:cs="Times New Roman"/>
          <w:b/>
          <w:bCs/>
          <w:smallCaps/>
          <w:color w:val="000000" w:themeColor="text1"/>
          <w:sz w:val="28"/>
          <w:szCs w:val="28"/>
        </w:rPr>
      </w:pPr>
    </w:p>
    <w:p w14:paraId="305BF2E1" w14:textId="77777777" w:rsidR="003A7B31" w:rsidRPr="00B407A3" w:rsidRDefault="003A7B31" w:rsidP="003A7B31">
      <w:pPr>
        <w:spacing w:after="0" w:line="240" w:lineRule="auto"/>
        <w:jc w:val="center"/>
        <w:rPr>
          <w:rFonts w:eastAsia="Times New Roman" w:cs="Times New Roman"/>
          <w:b/>
          <w:bCs/>
          <w:smallCaps/>
          <w:color w:val="000000" w:themeColor="text1"/>
        </w:rPr>
      </w:pPr>
      <w:r w:rsidRPr="00B407A3">
        <w:rPr>
          <w:rFonts w:eastAsia="Times New Roman" w:cs="Times New Roman"/>
          <w:b/>
          <w:bCs/>
          <w:smallCaps/>
          <w:color w:val="000000" w:themeColor="text1"/>
        </w:rPr>
        <w:t>Pytania dotyczące Finansowania i zabezpieczeń</w:t>
      </w:r>
    </w:p>
    <w:p w14:paraId="528173DC" w14:textId="77777777" w:rsidR="003A7B31" w:rsidRPr="0090599B" w:rsidRDefault="003A7B31" w:rsidP="003A7B31">
      <w:pPr>
        <w:spacing w:after="0" w:line="240" w:lineRule="auto"/>
        <w:jc w:val="center"/>
        <w:rPr>
          <w:rFonts w:ascii="Calibri" w:eastAsia="Times New Roman" w:hAnsi="Calibri" w:cs="Times New Roman"/>
          <w:b/>
          <w:bCs/>
          <w:color w:val="000000" w:themeColor="text1"/>
          <w:sz w:val="18"/>
          <w:szCs w:val="18"/>
        </w:rPr>
      </w:pPr>
    </w:p>
    <w:p w14:paraId="4B469BC2" w14:textId="77777777" w:rsidR="003A7B31" w:rsidRPr="00D1513C" w:rsidRDefault="003A7B31" w:rsidP="003A7B31">
      <w:pPr>
        <w:pStyle w:val="Akapitzlist"/>
        <w:numPr>
          <w:ilvl w:val="0"/>
          <w:numId w:val="1"/>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rPr>
          <w:rFonts w:ascii="Calibri" w:eastAsia="Times New Roman" w:hAnsi="Calibri" w:cs="Times New Roman"/>
          <w:color w:val="000000" w:themeColor="text1"/>
          <w:sz w:val="18"/>
          <w:szCs w:val="18"/>
        </w:rPr>
      </w:pPr>
      <w:r w:rsidRPr="00D1513C">
        <w:rPr>
          <w:rFonts w:ascii="Calibri" w:eastAsia="Times New Roman" w:hAnsi="Calibri" w:cs="Times New Roman"/>
          <w:color w:val="000000" w:themeColor="text1"/>
          <w:sz w:val="18"/>
          <w:szCs w:val="18"/>
        </w:rPr>
        <w:t>W związku z zawartym w SWZ zastrzeżeniem możliwości zmiany terminów i kwot</w:t>
      </w:r>
      <w:r w:rsidRPr="00D1513C" w:rsidDel="00D41832">
        <w:rPr>
          <w:rFonts w:ascii="Calibri" w:eastAsia="Times New Roman" w:hAnsi="Calibri" w:cs="Times New Roman"/>
          <w:color w:val="000000" w:themeColor="text1"/>
          <w:sz w:val="18"/>
          <w:szCs w:val="18"/>
        </w:rPr>
        <w:t xml:space="preserve"> </w:t>
      </w:r>
      <w:r w:rsidRPr="00D1513C">
        <w:rPr>
          <w:rFonts w:ascii="Calibri" w:eastAsia="Times New Roman" w:hAnsi="Calibri" w:cs="Times New Roman"/>
          <w:b/>
          <w:color w:val="000000" w:themeColor="text1"/>
          <w:sz w:val="18"/>
          <w:szCs w:val="18"/>
        </w:rPr>
        <w:t>spłat</w:t>
      </w:r>
      <w:r w:rsidRPr="00D1513C">
        <w:rPr>
          <w:rFonts w:ascii="Calibri" w:eastAsia="Times New Roman" w:hAnsi="Calibri" w:cs="Times New Roman"/>
          <w:color w:val="000000" w:themeColor="text1"/>
          <w:sz w:val="18"/>
          <w:szCs w:val="18"/>
        </w:rPr>
        <w:t xml:space="preserve"> (Rozdział II, </w:t>
      </w:r>
      <w:r w:rsidRPr="00471EDB">
        <w:rPr>
          <w:rFonts w:ascii="Calibri" w:eastAsia="Times New Roman" w:hAnsi="Calibri" w:cs="Times New Roman"/>
          <w:color w:val="000000" w:themeColor="text1"/>
          <w:sz w:val="18"/>
          <w:szCs w:val="18"/>
        </w:rPr>
        <w:t xml:space="preserve">ust.1 </w:t>
      </w:r>
      <w:r>
        <w:rPr>
          <w:rFonts w:ascii="Calibri" w:eastAsia="Times New Roman" w:hAnsi="Calibri" w:cs="Times New Roman"/>
          <w:color w:val="000000" w:themeColor="text1"/>
          <w:sz w:val="18"/>
          <w:szCs w:val="18"/>
        </w:rPr>
        <w:t>opis przedmiotu, pkt.2., ppkt.</w:t>
      </w:r>
      <w:r w:rsidRPr="00D1513C">
        <w:rPr>
          <w:rFonts w:ascii="Calibri" w:eastAsia="Times New Roman" w:hAnsi="Calibri" w:cs="Times New Roman"/>
          <w:color w:val="000000" w:themeColor="text1"/>
          <w:sz w:val="18"/>
          <w:szCs w:val="18"/>
        </w:rPr>
        <w:t>8</w:t>
      </w:r>
      <w:r>
        <w:rPr>
          <w:rFonts w:ascii="Calibri" w:eastAsia="Times New Roman" w:hAnsi="Calibri" w:cs="Times New Roman"/>
          <w:color w:val="000000" w:themeColor="text1"/>
          <w:sz w:val="18"/>
          <w:szCs w:val="18"/>
        </w:rPr>
        <w:t>) oraz 14)</w:t>
      </w:r>
      <w:r w:rsidRPr="00D1513C">
        <w:rPr>
          <w:rFonts w:ascii="Calibri" w:eastAsia="Times New Roman" w:hAnsi="Calibri" w:cs="Times New Roman"/>
          <w:color w:val="000000" w:themeColor="text1"/>
          <w:sz w:val="18"/>
          <w:szCs w:val="18"/>
        </w:rPr>
        <w:t xml:space="preserve">) (nie dotyczy wcześniejszej </w:t>
      </w:r>
      <w:r w:rsidRPr="00D1513C">
        <w:rPr>
          <w:rFonts w:ascii="Calibri" w:eastAsia="Times New Roman" w:hAnsi="Calibri" w:cs="Times New Roman"/>
          <w:b/>
          <w:color w:val="000000" w:themeColor="text1"/>
          <w:sz w:val="18"/>
          <w:szCs w:val="18"/>
        </w:rPr>
        <w:t>całkowitej</w:t>
      </w:r>
      <w:r>
        <w:rPr>
          <w:rFonts w:ascii="Calibri" w:eastAsia="Times New Roman" w:hAnsi="Calibri" w:cs="Times New Roman"/>
          <w:color w:val="000000" w:themeColor="text1"/>
          <w:sz w:val="18"/>
          <w:szCs w:val="18"/>
        </w:rPr>
        <w:t xml:space="preserve"> </w:t>
      </w:r>
      <w:r w:rsidRPr="00D1513C">
        <w:rPr>
          <w:rFonts w:ascii="Calibri" w:eastAsia="Times New Roman" w:hAnsi="Calibri" w:cs="Times New Roman"/>
          <w:color w:val="000000" w:themeColor="text1"/>
          <w:sz w:val="18"/>
          <w:szCs w:val="18"/>
        </w:rPr>
        <w:t xml:space="preserve">spłaty) – prosimy o informację czy dopuszczają Państwo następujące postanowienie w umowie kredytu: </w:t>
      </w:r>
    </w:p>
    <w:p w14:paraId="6ED23D56" w14:textId="77777777" w:rsidR="003A7B31" w:rsidRPr="0020747B" w:rsidRDefault="003A7B31" w:rsidP="003A7B31">
      <w:pPr>
        <w:spacing w:after="0"/>
        <w:ind w:left="1134"/>
        <w:jc w:val="both"/>
        <w:rPr>
          <w:rFonts w:ascii="Calibri" w:eastAsia="Times New Roman" w:hAnsi="Calibri" w:cs="Times New Roman"/>
          <w:i/>
          <w:sz w:val="18"/>
          <w:szCs w:val="18"/>
        </w:rPr>
      </w:pPr>
      <w:r w:rsidRPr="0020747B">
        <w:rPr>
          <w:rFonts w:ascii="Calibri" w:hAnsi="Calibri"/>
          <w:i/>
          <w:sz w:val="18"/>
          <w:szCs w:val="18"/>
        </w:rPr>
        <w:t>Wysokość i termin spłaty kredytu/raty kredytu, mogą być zmienione na wniosek Kredytobiorcy złożony wraz z odpowiednim uzasadnieniem, najpóźniej na 15 dni roboczych przed terminem spłaty kredytu/raty kredytu, zaakceptowany</w:t>
      </w:r>
      <w:r>
        <w:rPr>
          <w:rFonts w:ascii="Calibri" w:hAnsi="Calibri"/>
          <w:i/>
          <w:sz w:val="18"/>
          <w:szCs w:val="18"/>
        </w:rPr>
        <w:t>m</w:t>
      </w:r>
      <w:r w:rsidRPr="0020747B">
        <w:rPr>
          <w:rFonts w:ascii="Calibri" w:hAnsi="Calibri"/>
          <w:i/>
          <w:sz w:val="18"/>
          <w:szCs w:val="18"/>
        </w:rPr>
        <w:t xml:space="preserve"> przez </w:t>
      </w:r>
      <w:r>
        <w:rPr>
          <w:rFonts w:ascii="Calibri" w:hAnsi="Calibri"/>
          <w:i/>
          <w:sz w:val="18"/>
          <w:szCs w:val="18"/>
        </w:rPr>
        <w:t>Wykonawcę</w:t>
      </w:r>
      <w:r w:rsidRPr="0020747B">
        <w:rPr>
          <w:rFonts w:ascii="Calibri" w:hAnsi="Calibri"/>
          <w:i/>
          <w:sz w:val="18"/>
          <w:szCs w:val="18"/>
        </w:rPr>
        <w:t>. Zmiany w powyższym zakresie są dokonywane w formie aneksu do umowy.</w:t>
      </w:r>
    </w:p>
    <w:p w14:paraId="1288009C"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r w:rsidRPr="00471EDB">
        <w:rPr>
          <w:rFonts w:ascii="Calibri" w:eastAsia="Times New Roman" w:hAnsi="Calibri" w:cs="Times New Roman"/>
          <w:color w:val="000000" w:themeColor="text1"/>
          <w:sz w:val="18"/>
          <w:szCs w:val="18"/>
        </w:rPr>
        <w:t>Jeżeli nie dopuszczają Państwo powyższego postanowienia, to prosimy o złożenie propozycji analogicznego postanowienia.</w:t>
      </w:r>
    </w:p>
    <w:p w14:paraId="496BB39F" w14:textId="77777777" w:rsidR="00AE50CA" w:rsidRPr="00471EDB" w:rsidRDefault="00AE50CA" w:rsidP="002C50F3">
      <w:pPr>
        <w:pStyle w:val="Akapitzlist"/>
        <w:spacing w:before="40" w:after="40" w:line="240" w:lineRule="auto"/>
        <w:jc w:val="both"/>
        <w:rPr>
          <w:rFonts w:ascii="Calibri" w:eastAsia="Times New Roman" w:hAnsi="Calibri" w:cs="Times New Roman"/>
          <w:color w:val="000000" w:themeColor="text1"/>
          <w:sz w:val="18"/>
          <w:szCs w:val="18"/>
        </w:rPr>
      </w:pPr>
    </w:p>
    <w:p w14:paraId="068C1799" w14:textId="43D6B533" w:rsidR="003A7B31" w:rsidRDefault="00AE50CA" w:rsidP="002C50F3">
      <w:pPr>
        <w:pStyle w:val="Akapitzlist"/>
        <w:spacing w:after="120"/>
        <w:ind w:left="992"/>
        <w:rPr>
          <w:rFonts w:ascii="Calibri" w:eastAsia="Times New Roman" w:hAnsi="Calibri" w:cs="Times New Roman"/>
          <w:b/>
          <w:bCs/>
          <w:color w:val="000000" w:themeColor="text1"/>
          <w:sz w:val="18"/>
          <w:szCs w:val="18"/>
        </w:rPr>
      </w:pPr>
      <w:bookmarkStart w:id="0" w:name="_Hlk132112725"/>
      <w:r w:rsidRPr="00AE50CA">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ab/>
        <w:t>Zamawiający nie wyraża zgody na powyższy zapis.</w:t>
      </w:r>
    </w:p>
    <w:bookmarkEnd w:id="0"/>
    <w:p w14:paraId="6AF74B40" w14:textId="3F1DD58E" w:rsidR="00AE50CA" w:rsidRDefault="00AE50CA" w:rsidP="003A7B31">
      <w:pPr>
        <w:pStyle w:val="Akapitzlist"/>
        <w:ind w:left="993"/>
        <w:rPr>
          <w:rFonts w:ascii="Calibri" w:eastAsia="Times New Roman" w:hAnsi="Calibri" w:cs="Times New Roman"/>
          <w:b/>
          <w:bCs/>
          <w:color w:val="000000" w:themeColor="text1"/>
          <w:sz w:val="18"/>
          <w:szCs w:val="18"/>
        </w:rPr>
      </w:pPr>
      <w:r>
        <w:rPr>
          <w:rFonts w:ascii="Calibri" w:eastAsia="Times New Roman" w:hAnsi="Calibri" w:cs="Times New Roman"/>
          <w:b/>
          <w:bCs/>
          <w:color w:val="000000" w:themeColor="text1"/>
          <w:sz w:val="18"/>
          <w:szCs w:val="18"/>
        </w:rPr>
        <w:tab/>
      </w:r>
      <w:r>
        <w:rPr>
          <w:rFonts w:ascii="Calibri" w:eastAsia="Times New Roman" w:hAnsi="Calibri" w:cs="Times New Roman"/>
          <w:b/>
          <w:bCs/>
          <w:color w:val="000000" w:themeColor="text1"/>
          <w:sz w:val="18"/>
          <w:szCs w:val="18"/>
        </w:rPr>
        <w:tab/>
      </w:r>
      <w:r w:rsidR="00F46FEB">
        <w:rPr>
          <w:rFonts w:ascii="Calibri" w:eastAsia="Times New Roman" w:hAnsi="Calibri" w:cs="Times New Roman"/>
          <w:b/>
          <w:bCs/>
          <w:color w:val="000000" w:themeColor="text1"/>
          <w:sz w:val="18"/>
          <w:szCs w:val="18"/>
        </w:rPr>
        <w:t>Zamawiający zastrzegł w SWZ możliwość wcześniejszej</w:t>
      </w:r>
      <w:r w:rsidR="007A1A56">
        <w:rPr>
          <w:rFonts w:ascii="Calibri" w:eastAsia="Times New Roman" w:hAnsi="Calibri" w:cs="Times New Roman"/>
          <w:b/>
          <w:bCs/>
          <w:color w:val="000000" w:themeColor="text1"/>
          <w:sz w:val="18"/>
          <w:szCs w:val="18"/>
        </w:rPr>
        <w:t xml:space="preserve"> (przedterminowej)</w:t>
      </w:r>
      <w:r w:rsidR="00F46FEB">
        <w:rPr>
          <w:rFonts w:ascii="Calibri" w:eastAsia="Times New Roman" w:hAnsi="Calibri" w:cs="Times New Roman"/>
          <w:b/>
          <w:bCs/>
          <w:color w:val="000000" w:themeColor="text1"/>
          <w:sz w:val="18"/>
          <w:szCs w:val="18"/>
        </w:rPr>
        <w:t xml:space="preserve"> spłaty </w:t>
      </w:r>
      <w:r w:rsidR="007A1A56">
        <w:rPr>
          <w:rFonts w:ascii="Calibri" w:eastAsia="Times New Roman" w:hAnsi="Calibri" w:cs="Times New Roman"/>
          <w:b/>
          <w:bCs/>
          <w:color w:val="000000" w:themeColor="text1"/>
          <w:sz w:val="18"/>
          <w:szCs w:val="18"/>
        </w:rPr>
        <w:t xml:space="preserve">części lub całości </w:t>
      </w:r>
      <w:r w:rsidR="00F46FEB">
        <w:rPr>
          <w:rFonts w:ascii="Calibri" w:eastAsia="Times New Roman" w:hAnsi="Calibri" w:cs="Times New Roman"/>
          <w:b/>
          <w:bCs/>
          <w:color w:val="000000" w:themeColor="text1"/>
          <w:sz w:val="18"/>
          <w:szCs w:val="18"/>
        </w:rPr>
        <w:t xml:space="preserve">kredytu. </w:t>
      </w:r>
    </w:p>
    <w:p w14:paraId="3592772C" w14:textId="77777777" w:rsidR="00F46FEB" w:rsidRPr="00AE50CA" w:rsidRDefault="00F46FEB" w:rsidP="002C50F3">
      <w:pPr>
        <w:pStyle w:val="Akapitzlist"/>
        <w:spacing w:after="0" w:line="240" w:lineRule="auto"/>
        <w:ind w:left="992"/>
        <w:rPr>
          <w:rFonts w:ascii="Calibri" w:eastAsia="Times New Roman" w:hAnsi="Calibri" w:cs="Times New Roman"/>
          <w:b/>
          <w:bCs/>
          <w:color w:val="000000" w:themeColor="text1"/>
          <w:sz w:val="18"/>
          <w:szCs w:val="18"/>
        </w:rPr>
      </w:pPr>
    </w:p>
    <w:p w14:paraId="47720187" w14:textId="77777777" w:rsidR="003A7B31" w:rsidRPr="00AA761C" w:rsidRDefault="003A7B31" w:rsidP="003A7B31">
      <w:pPr>
        <w:pStyle w:val="Akapitzlist"/>
        <w:numPr>
          <w:ilvl w:val="0"/>
          <w:numId w:val="1"/>
        </w:numPr>
        <w:spacing w:before="40" w:after="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W przypadku inwestycji przewidzianej/-</w:t>
      </w:r>
      <w:proofErr w:type="spellStart"/>
      <w:r w:rsidRPr="00AA761C">
        <w:rPr>
          <w:rFonts w:ascii="Calibri" w:eastAsia="Times New Roman" w:hAnsi="Calibri" w:cs="Times New Roman"/>
          <w:color w:val="000000" w:themeColor="text1"/>
          <w:sz w:val="18"/>
          <w:szCs w:val="18"/>
        </w:rPr>
        <w:t>ych</w:t>
      </w:r>
      <w:proofErr w:type="spellEnd"/>
      <w:r w:rsidRPr="00AA761C">
        <w:rPr>
          <w:rFonts w:ascii="Calibri" w:eastAsia="Times New Roman" w:hAnsi="Calibri" w:cs="Times New Roman"/>
          <w:color w:val="000000" w:themeColor="text1"/>
          <w:sz w:val="18"/>
          <w:szCs w:val="18"/>
        </w:rPr>
        <w:t xml:space="preserve"> do finan</w:t>
      </w:r>
      <w:r>
        <w:rPr>
          <w:rFonts w:ascii="Calibri" w:eastAsia="Times New Roman" w:hAnsi="Calibri" w:cs="Times New Roman"/>
          <w:color w:val="000000" w:themeColor="text1"/>
          <w:sz w:val="18"/>
          <w:szCs w:val="18"/>
        </w:rPr>
        <w:t xml:space="preserve">sowania wnioskowanym kredytem </w:t>
      </w:r>
      <w:r w:rsidRPr="00AA761C">
        <w:rPr>
          <w:rFonts w:ascii="Calibri" w:hAnsi="Calibri"/>
          <w:bCs/>
          <w:color w:val="000000" w:themeColor="text1"/>
          <w:sz w:val="18"/>
          <w:szCs w:val="18"/>
        </w:rPr>
        <w:t>oraz f</w:t>
      </w:r>
      <w:r>
        <w:rPr>
          <w:rFonts w:ascii="Calibri" w:hAnsi="Calibri"/>
          <w:bCs/>
          <w:color w:val="000000" w:themeColor="text1"/>
          <w:sz w:val="18"/>
          <w:szCs w:val="18"/>
        </w:rPr>
        <w:t>inansowanej / -</w:t>
      </w:r>
      <w:proofErr w:type="spellStart"/>
      <w:r>
        <w:rPr>
          <w:rFonts w:ascii="Calibri" w:hAnsi="Calibri"/>
          <w:bCs/>
          <w:color w:val="000000" w:themeColor="text1"/>
          <w:sz w:val="18"/>
          <w:szCs w:val="18"/>
        </w:rPr>
        <w:t>ych</w:t>
      </w:r>
      <w:proofErr w:type="spellEnd"/>
      <w:r>
        <w:rPr>
          <w:rFonts w:ascii="Calibri" w:hAnsi="Calibri"/>
          <w:bCs/>
          <w:color w:val="000000" w:themeColor="text1"/>
          <w:sz w:val="18"/>
          <w:szCs w:val="18"/>
        </w:rPr>
        <w:t xml:space="preserve"> dotacją</w:t>
      </w:r>
      <w:r w:rsidRPr="00AA761C">
        <w:rPr>
          <w:rFonts w:ascii="Calibri" w:hAnsi="Calibri"/>
          <w:bCs/>
          <w:color w:val="000000" w:themeColor="text1"/>
          <w:sz w:val="18"/>
          <w:szCs w:val="18"/>
        </w:rPr>
        <w:t xml:space="preserve"> z UE,</w:t>
      </w:r>
      <w:r w:rsidRPr="00AA761C">
        <w:rPr>
          <w:rFonts w:ascii="Calibri" w:eastAsia="Times New Roman" w:hAnsi="Calibri" w:cs="Times New Roman"/>
          <w:color w:val="000000" w:themeColor="text1"/>
          <w:sz w:val="18"/>
          <w:szCs w:val="18"/>
        </w:rPr>
        <w:t xml:space="preserve"> prosimy o informację, czy założone dofinansowanie z UE wynika z zawartej umowy.</w:t>
      </w:r>
    </w:p>
    <w:p w14:paraId="7BB173AD" w14:textId="77777777" w:rsidR="003A7B31" w:rsidRPr="00AA761C" w:rsidRDefault="003A7B31" w:rsidP="003A7B31">
      <w:pPr>
        <w:pStyle w:val="Akapitzlist"/>
        <w:numPr>
          <w:ilvl w:val="0"/>
          <w:numId w:val="4"/>
        </w:numPr>
        <w:spacing w:before="40" w:after="40"/>
        <w:ind w:left="156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jeżeli tak - prosimy o podanie łącznej kwoty, na jaką zostały zawarte umowy o dofinansowanie inwestycji będących przedmiotem </w:t>
      </w:r>
      <w:proofErr w:type="spellStart"/>
      <w:r w:rsidRPr="00AA761C">
        <w:rPr>
          <w:rFonts w:ascii="Calibri" w:eastAsia="Times New Roman" w:hAnsi="Calibri" w:cs="Times New Roman"/>
          <w:color w:val="000000" w:themeColor="text1"/>
          <w:sz w:val="18"/>
          <w:szCs w:val="18"/>
        </w:rPr>
        <w:t>SWZu</w:t>
      </w:r>
      <w:proofErr w:type="spellEnd"/>
      <w:r w:rsidRPr="00AA761C">
        <w:rPr>
          <w:rFonts w:ascii="Calibri" w:eastAsia="Times New Roman" w:hAnsi="Calibri" w:cs="Times New Roman"/>
          <w:color w:val="000000" w:themeColor="text1"/>
          <w:sz w:val="18"/>
          <w:szCs w:val="18"/>
        </w:rPr>
        <w:t>;</w:t>
      </w:r>
    </w:p>
    <w:p w14:paraId="61AFB9AB" w14:textId="77777777" w:rsidR="003A7B31" w:rsidRPr="002D17D0" w:rsidRDefault="003A7B31" w:rsidP="003A7B31">
      <w:pPr>
        <w:pStyle w:val="Akapitzlist"/>
        <w:numPr>
          <w:ilvl w:val="0"/>
          <w:numId w:val="4"/>
        </w:numPr>
        <w:spacing w:before="40" w:after="40"/>
        <w:ind w:left="156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jeżeli nie - prosimy o informację, czy w przypadku braku dotacji inwestycja będzie realizowana </w:t>
      </w:r>
      <w:r w:rsidRPr="00AA761C">
        <w:rPr>
          <w:rFonts w:ascii="Calibri" w:hAnsi="Calibri"/>
          <w:color w:val="000000" w:themeColor="text1"/>
          <w:sz w:val="18"/>
          <w:szCs w:val="18"/>
        </w:rPr>
        <w:t>i z jakich źródeł.</w:t>
      </w:r>
    </w:p>
    <w:p w14:paraId="2D72BED9" w14:textId="77777777" w:rsidR="003A7B31" w:rsidRDefault="003A7B31" w:rsidP="002C50F3">
      <w:pPr>
        <w:pStyle w:val="Akapitzlist"/>
        <w:spacing w:line="240" w:lineRule="auto"/>
        <w:ind w:left="993"/>
        <w:rPr>
          <w:rFonts w:ascii="Calibri" w:eastAsia="Times New Roman" w:hAnsi="Calibri" w:cs="Times New Roman"/>
          <w:color w:val="000000" w:themeColor="text1"/>
          <w:sz w:val="18"/>
          <w:szCs w:val="18"/>
        </w:rPr>
      </w:pPr>
    </w:p>
    <w:p w14:paraId="32D7076A" w14:textId="15F228AA" w:rsidR="00F46FEB" w:rsidRPr="00F46FEB" w:rsidRDefault="00F46FEB" w:rsidP="00F46FEB">
      <w:pPr>
        <w:pStyle w:val="Akapitzlist"/>
        <w:ind w:left="993"/>
        <w:rPr>
          <w:rFonts w:ascii="Calibri" w:eastAsia="Times New Roman" w:hAnsi="Calibri" w:cs="Times New Roman"/>
          <w:b/>
          <w:bCs/>
          <w:color w:val="000000" w:themeColor="text1"/>
          <w:sz w:val="18"/>
          <w:szCs w:val="18"/>
        </w:rPr>
      </w:pPr>
      <w:r w:rsidRPr="00F46FEB">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Nie dotyczy.</w:t>
      </w:r>
    </w:p>
    <w:p w14:paraId="18DCFC43" w14:textId="77777777" w:rsidR="00F46FEB" w:rsidRDefault="00F46FEB" w:rsidP="002C50F3">
      <w:pPr>
        <w:pStyle w:val="Akapitzlist"/>
        <w:spacing w:line="240" w:lineRule="auto"/>
        <w:ind w:left="993"/>
        <w:rPr>
          <w:rFonts w:ascii="Calibri" w:eastAsia="Times New Roman" w:hAnsi="Calibri" w:cs="Times New Roman"/>
          <w:color w:val="000000" w:themeColor="text1"/>
          <w:sz w:val="18"/>
          <w:szCs w:val="18"/>
        </w:rPr>
      </w:pPr>
    </w:p>
    <w:p w14:paraId="261049A0" w14:textId="77777777" w:rsidR="003A7B31" w:rsidRPr="00AE373B" w:rsidRDefault="003A7B31" w:rsidP="003A7B31">
      <w:pPr>
        <w:pStyle w:val="Akapitzlist"/>
        <w:numPr>
          <w:ilvl w:val="0"/>
          <w:numId w:val="1"/>
        </w:numPr>
        <w:spacing w:before="40" w:after="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 xml:space="preserve">W SWZ, Rozdział II, ust.1 opis przedmiotu. pkt.2., </w:t>
      </w:r>
      <w:proofErr w:type="spellStart"/>
      <w:r>
        <w:rPr>
          <w:rFonts w:ascii="Calibri" w:eastAsia="Times New Roman" w:hAnsi="Calibri" w:cs="Times New Roman"/>
          <w:color w:val="000000" w:themeColor="text1"/>
          <w:sz w:val="18"/>
          <w:szCs w:val="18"/>
        </w:rPr>
        <w:t>ppkt</w:t>
      </w:r>
      <w:proofErr w:type="spellEnd"/>
      <w:r>
        <w:rPr>
          <w:rFonts w:ascii="Calibri" w:eastAsia="Times New Roman" w:hAnsi="Calibri" w:cs="Times New Roman"/>
          <w:color w:val="000000" w:themeColor="text1"/>
          <w:sz w:val="18"/>
          <w:szCs w:val="18"/>
        </w:rPr>
        <w:t xml:space="preserve"> 9) </w:t>
      </w:r>
      <w:r w:rsidRPr="00063E7A">
        <w:rPr>
          <w:rFonts w:ascii="Calibri" w:eastAsia="Times New Roman" w:hAnsi="Calibri" w:cs="Times New Roman"/>
          <w:color w:val="000000" w:themeColor="text1"/>
          <w:sz w:val="18"/>
          <w:szCs w:val="18"/>
        </w:rPr>
        <w:t xml:space="preserve">oraz powtórzony w Rozdział III ust. 5 pkt 10 </w:t>
      </w:r>
      <w:proofErr w:type="spellStart"/>
      <w:r w:rsidRPr="00063E7A">
        <w:rPr>
          <w:rFonts w:ascii="Calibri" w:eastAsia="Times New Roman" w:hAnsi="Calibri" w:cs="Times New Roman"/>
          <w:color w:val="000000" w:themeColor="text1"/>
          <w:sz w:val="18"/>
          <w:szCs w:val="18"/>
        </w:rPr>
        <w:t>ppkt</w:t>
      </w:r>
      <w:proofErr w:type="spellEnd"/>
      <w:r w:rsidRPr="00063E7A">
        <w:rPr>
          <w:rFonts w:ascii="Calibri" w:eastAsia="Times New Roman" w:hAnsi="Calibri" w:cs="Times New Roman"/>
          <w:color w:val="000000" w:themeColor="text1"/>
          <w:sz w:val="18"/>
          <w:szCs w:val="18"/>
        </w:rPr>
        <w:t xml:space="preserve"> 10., </w:t>
      </w:r>
      <w:r w:rsidRPr="00AE373B">
        <w:rPr>
          <w:rFonts w:ascii="Calibri" w:eastAsia="Times New Roman" w:hAnsi="Calibri" w:cs="Times New Roman"/>
          <w:color w:val="000000" w:themeColor="text1"/>
          <w:sz w:val="18"/>
          <w:szCs w:val="18"/>
        </w:rPr>
        <w:t xml:space="preserve"> jest zapis: </w:t>
      </w:r>
    </w:p>
    <w:p w14:paraId="59E53AD7" w14:textId="77777777" w:rsidR="003A7B31" w:rsidRPr="008E4B83" w:rsidRDefault="003A7B31" w:rsidP="003A7B31">
      <w:pPr>
        <w:pStyle w:val="Akapitzlist"/>
        <w:spacing w:before="40" w:after="40"/>
        <w:jc w:val="both"/>
        <w:rPr>
          <w:rFonts w:ascii="Calibri" w:eastAsia="Times New Roman" w:hAnsi="Calibri" w:cs="Times New Roman"/>
          <w:i/>
          <w:color w:val="000000" w:themeColor="text1"/>
          <w:sz w:val="18"/>
          <w:szCs w:val="18"/>
        </w:rPr>
      </w:pPr>
      <w:r>
        <w:rPr>
          <w:rFonts w:ascii="Calibri" w:eastAsia="Times New Roman" w:hAnsi="Calibri" w:cs="Times New Roman"/>
          <w:i/>
          <w:color w:val="000000" w:themeColor="text1"/>
          <w:sz w:val="18"/>
          <w:szCs w:val="18"/>
        </w:rPr>
        <w:t xml:space="preserve">9) </w:t>
      </w:r>
      <w:r w:rsidRPr="008E4B83">
        <w:rPr>
          <w:rFonts w:ascii="Calibri" w:eastAsia="Times New Roman" w:hAnsi="Calibri" w:cs="Times New Roman"/>
          <w:i/>
          <w:color w:val="000000" w:themeColor="text1"/>
          <w:sz w:val="18"/>
          <w:szCs w:val="18"/>
        </w:rPr>
        <w:t>Spłata rat odsetkowych będzie następować w okresach miesięcznych, ostatniego dnia każdego miesiąca, na podstawie zawiadomienia przesłanego przez Bank. Dopuszcza się wstępne informowanie przez Bank drogą elektroniczną, przy czym:</w:t>
      </w:r>
    </w:p>
    <w:p w14:paraId="4A0F4164" w14:textId="77777777" w:rsidR="003A7B31" w:rsidRPr="008E4B83" w:rsidRDefault="003A7B31" w:rsidP="003A7B31">
      <w:pPr>
        <w:pStyle w:val="Akapitzlist"/>
        <w:spacing w:before="40" w:after="40"/>
        <w:jc w:val="both"/>
        <w:rPr>
          <w:rFonts w:ascii="Calibri" w:eastAsia="Times New Roman" w:hAnsi="Calibri" w:cs="Times New Roman"/>
          <w:i/>
          <w:color w:val="000000" w:themeColor="text1"/>
          <w:sz w:val="18"/>
          <w:szCs w:val="18"/>
        </w:rPr>
      </w:pPr>
      <w:r w:rsidRPr="008E4B83">
        <w:rPr>
          <w:rFonts w:ascii="Calibri" w:eastAsia="Times New Roman" w:hAnsi="Calibri" w:cs="Times New Roman"/>
          <w:i/>
          <w:color w:val="000000" w:themeColor="text1"/>
          <w:sz w:val="18"/>
          <w:szCs w:val="18"/>
        </w:rPr>
        <w:t xml:space="preserve">- pierwszy okres obrachunkowy liczony jest </w:t>
      </w:r>
      <w:r w:rsidRPr="008E4B83">
        <w:rPr>
          <w:rFonts w:ascii="Calibri" w:eastAsia="Times New Roman" w:hAnsi="Calibri" w:cs="Times New Roman"/>
          <w:b/>
          <w:i/>
          <w:color w:val="000000" w:themeColor="text1"/>
          <w:sz w:val="18"/>
          <w:szCs w:val="18"/>
        </w:rPr>
        <w:t>od następnego dnia po wypłacie</w:t>
      </w:r>
      <w:r w:rsidRPr="008E4B83">
        <w:rPr>
          <w:rFonts w:ascii="Calibri" w:eastAsia="Times New Roman" w:hAnsi="Calibri" w:cs="Times New Roman"/>
          <w:i/>
          <w:color w:val="000000" w:themeColor="text1"/>
          <w:sz w:val="18"/>
          <w:szCs w:val="18"/>
        </w:rPr>
        <w:t xml:space="preserve"> kredytu/pierwszej transzy kredytu i kończy ostatniego dnia miesiąca kalendarzowego, </w:t>
      </w:r>
    </w:p>
    <w:p w14:paraId="464C79C3" w14:textId="77777777" w:rsidR="003A7B31" w:rsidRPr="008E4B83" w:rsidRDefault="003A7B31" w:rsidP="003A7B31">
      <w:pPr>
        <w:pStyle w:val="Akapitzlist"/>
        <w:spacing w:before="40" w:after="40"/>
        <w:jc w:val="both"/>
        <w:rPr>
          <w:rFonts w:ascii="Calibri" w:eastAsia="Times New Roman" w:hAnsi="Calibri" w:cs="Times New Roman"/>
          <w:i/>
          <w:color w:val="000000" w:themeColor="text1"/>
          <w:sz w:val="18"/>
          <w:szCs w:val="18"/>
        </w:rPr>
      </w:pPr>
      <w:r w:rsidRPr="008E4B83">
        <w:rPr>
          <w:rFonts w:ascii="Calibri" w:eastAsia="Times New Roman" w:hAnsi="Calibri" w:cs="Times New Roman"/>
          <w:i/>
          <w:color w:val="000000" w:themeColor="text1"/>
          <w:sz w:val="18"/>
          <w:szCs w:val="18"/>
        </w:rPr>
        <w:t xml:space="preserve">w którym wystąpiła wypłata tej transzy; </w:t>
      </w:r>
    </w:p>
    <w:p w14:paraId="7EE7FEE9" w14:textId="77777777" w:rsidR="003A7B31" w:rsidRPr="008E4B83" w:rsidRDefault="003A7B31" w:rsidP="003A7B31">
      <w:pPr>
        <w:pStyle w:val="Akapitzlist"/>
        <w:spacing w:before="40" w:after="40"/>
        <w:jc w:val="both"/>
        <w:rPr>
          <w:rFonts w:ascii="Calibri" w:eastAsia="Times New Roman" w:hAnsi="Calibri" w:cs="Times New Roman"/>
          <w:i/>
          <w:color w:val="000000" w:themeColor="text1"/>
          <w:sz w:val="18"/>
          <w:szCs w:val="18"/>
        </w:rPr>
      </w:pPr>
      <w:r w:rsidRPr="008E4B83">
        <w:rPr>
          <w:rFonts w:ascii="Calibri" w:eastAsia="Times New Roman" w:hAnsi="Calibri" w:cs="Times New Roman"/>
          <w:i/>
          <w:color w:val="000000" w:themeColor="text1"/>
          <w:sz w:val="18"/>
          <w:szCs w:val="18"/>
        </w:rPr>
        <w:t>- kolejne okresy obrachunkowe rozpoczynają się w następnym dniu po zakończeniu poprzedniego okresu obrachunkowego;</w:t>
      </w:r>
    </w:p>
    <w:p w14:paraId="252B1F04" w14:textId="77777777" w:rsidR="003A7B31" w:rsidRPr="00AE373B" w:rsidRDefault="003A7B31" w:rsidP="003A7B31">
      <w:pPr>
        <w:pStyle w:val="Akapitzlist"/>
        <w:spacing w:before="40" w:after="40"/>
        <w:jc w:val="both"/>
        <w:rPr>
          <w:rFonts w:ascii="Calibri" w:eastAsia="Times New Roman" w:hAnsi="Calibri" w:cs="Times New Roman"/>
          <w:i/>
          <w:color w:val="000000" w:themeColor="text1"/>
          <w:sz w:val="18"/>
          <w:szCs w:val="18"/>
        </w:rPr>
      </w:pPr>
      <w:r w:rsidRPr="008E4B83">
        <w:rPr>
          <w:rFonts w:ascii="Calibri" w:eastAsia="Times New Roman" w:hAnsi="Calibri" w:cs="Times New Roman"/>
          <w:i/>
          <w:color w:val="000000" w:themeColor="text1"/>
          <w:sz w:val="18"/>
          <w:szCs w:val="18"/>
        </w:rPr>
        <w:t>- ostatni okres obrachunkowy kończy się w dniu całkowitej spłaty kredytu.</w:t>
      </w:r>
      <w:r w:rsidRPr="002A0124">
        <w:rPr>
          <w:rFonts w:ascii="Calibri" w:eastAsia="Times New Roman" w:hAnsi="Calibri" w:cs="Times New Roman"/>
          <w:i/>
          <w:color w:val="000000" w:themeColor="text1"/>
          <w:sz w:val="18"/>
          <w:szCs w:val="18"/>
        </w:rPr>
        <w:t>;</w:t>
      </w:r>
    </w:p>
    <w:p w14:paraId="0251A55D"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Zapis „</w:t>
      </w:r>
      <w:r w:rsidRPr="00484CD3">
        <w:rPr>
          <w:rFonts w:ascii="Calibri" w:eastAsia="Times New Roman" w:hAnsi="Calibri" w:cs="Times New Roman"/>
          <w:color w:val="000000" w:themeColor="text1"/>
          <w:sz w:val="18"/>
          <w:szCs w:val="18"/>
        </w:rPr>
        <w:t>począwszy od dnia następnego po dniu wypłaty kredytu/transzy kredytu</w:t>
      </w:r>
      <w:r>
        <w:rPr>
          <w:rFonts w:ascii="Calibri" w:eastAsia="Times New Roman" w:hAnsi="Calibri" w:cs="Times New Roman"/>
          <w:color w:val="000000" w:themeColor="text1"/>
          <w:sz w:val="18"/>
          <w:szCs w:val="18"/>
        </w:rPr>
        <w:t xml:space="preserve">” jest </w:t>
      </w:r>
      <w:r w:rsidRPr="00484CD3">
        <w:rPr>
          <w:rFonts w:ascii="Calibri" w:eastAsia="Times New Roman" w:hAnsi="Calibri" w:cs="Times New Roman"/>
          <w:color w:val="000000" w:themeColor="text1"/>
          <w:sz w:val="18"/>
          <w:szCs w:val="18"/>
        </w:rPr>
        <w:t xml:space="preserve">powtórzony w Rozdział III ust. 5 pkt 10 </w:t>
      </w:r>
      <w:proofErr w:type="spellStart"/>
      <w:r w:rsidRPr="00484CD3">
        <w:rPr>
          <w:rFonts w:ascii="Calibri" w:eastAsia="Times New Roman" w:hAnsi="Calibri" w:cs="Times New Roman"/>
          <w:color w:val="000000" w:themeColor="text1"/>
          <w:sz w:val="18"/>
          <w:szCs w:val="18"/>
        </w:rPr>
        <w:t>ppkt</w:t>
      </w:r>
      <w:proofErr w:type="spellEnd"/>
      <w:r w:rsidRPr="00484CD3">
        <w:rPr>
          <w:rFonts w:ascii="Calibri" w:eastAsia="Times New Roman" w:hAnsi="Calibri" w:cs="Times New Roman"/>
          <w:color w:val="000000" w:themeColor="text1"/>
          <w:sz w:val="18"/>
          <w:szCs w:val="18"/>
        </w:rPr>
        <w:t xml:space="preserve"> 8.</w:t>
      </w:r>
    </w:p>
    <w:p w14:paraId="11418A26" w14:textId="77777777" w:rsidR="003A7B31" w:rsidRPr="008E4B83" w:rsidRDefault="003A7B31" w:rsidP="003A7B31">
      <w:pPr>
        <w:pStyle w:val="Akapitzlist"/>
        <w:spacing w:before="40" w:after="40"/>
        <w:jc w:val="both"/>
        <w:rPr>
          <w:rFonts w:ascii="Calibri" w:eastAsia="Times New Roman" w:hAnsi="Calibri" w:cs="Times New Roman"/>
          <w:i/>
          <w:color w:val="000000" w:themeColor="text1"/>
          <w:sz w:val="18"/>
          <w:szCs w:val="18"/>
        </w:rPr>
      </w:pPr>
      <w:r>
        <w:rPr>
          <w:rFonts w:ascii="Calibri" w:eastAsia="Times New Roman" w:hAnsi="Calibri" w:cs="Times New Roman"/>
          <w:color w:val="000000" w:themeColor="text1"/>
          <w:sz w:val="18"/>
          <w:szCs w:val="18"/>
        </w:rPr>
        <w:t>Wymienione zapisy są sprzeczne</w:t>
      </w:r>
      <w:r w:rsidRPr="002A0124">
        <w:rPr>
          <w:rFonts w:ascii="Calibri" w:eastAsia="Times New Roman" w:hAnsi="Calibri" w:cs="Times New Roman"/>
          <w:color w:val="000000" w:themeColor="text1"/>
          <w:sz w:val="18"/>
          <w:szCs w:val="18"/>
        </w:rPr>
        <w:t xml:space="preserve"> z zapisem </w:t>
      </w:r>
      <w:r>
        <w:rPr>
          <w:rFonts w:ascii="Calibri" w:eastAsia="Times New Roman" w:hAnsi="Calibri" w:cs="Times New Roman"/>
          <w:color w:val="000000" w:themeColor="text1"/>
          <w:sz w:val="18"/>
          <w:szCs w:val="18"/>
        </w:rPr>
        <w:t xml:space="preserve">w </w:t>
      </w:r>
      <w:r w:rsidRPr="002A0124">
        <w:rPr>
          <w:rFonts w:ascii="Calibri" w:eastAsia="Times New Roman" w:hAnsi="Calibri" w:cs="Times New Roman"/>
          <w:color w:val="000000" w:themeColor="text1"/>
          <w:sz w:val="18"/>
          <w:szCs w:val="18"/>
        </w:rPr>
        <w:t>Ro</w:t>
      </w:r>
      <w:r>
        <w:rPr>
          <w:rFonts w:ascii="Calibri" w:eastAsia="Times New Roman" w:hAnsi="Calibri" w:cs="Times New Roman"/>
          <w:color w:val="000000" w:themeColor="text1"/>
          <w:sz w:val="18"/>
          <w:szCs w:val="18"/>
        </w:rPr>
        <w:t xml:space="preserve">zdział III ust. 5 pkt 10 </w:t>
      </w:r>
      <w:proofErr w:type="spellStart"/>
      <w:r>
        <w:rPr>
          <w:rFonts w:ascii="Calibri" w:eastAsia="Times New Roman" w:hAnsi="Calibri" w:cs="Times New Roman"/>
          <w:color w:val="000000" w:themeColor="text1"/>
          <w:sz w:val="18"/>
          <w:szCs w:val="18"/>
        </w:rPr>
        <w:t>ppkt</w:t>
      </w:r>
      <w:proofErr w:type="spellEnd"/>
      <w:r>
        <w:rPr>
          <w:rFonts w:ascii="Calibri" w:eastAsia="Times New Roman" w:hAnsi="Calibri" w:cs="Times New Roman"/>
          <w:color w:val="000000" w:themeColor="text1"/>
          <w:sz w:val="18"/>
          <w:szCs w:val="18"/>
        </w:rPr>
        <w:t xml:space="preserve"> 13</w:t>
      </w:r>
      <w:r w:rsidRPr="002A0124">
        <w:rPr>
          <w:rFonts w:ascii="Calibri" w:eastAsia="Times New Roman" w:hAnsi="Calibri" w:cs="Times New Roman"/>
          <w:color w:val="000000" w:themeColor="text1"/>
          <w:sz w:val="18"/>
          <w:szCs w:val="18"/>
        </w:rPr>
        <w:t>.,</w:t>
      </w:r>
      <w:r>
        <w:rPr>
          <w:rFonts w:ascii="Calibri" w:eastAsia="Times New Roman" w:hAnsi="Calibri" w:cs="Times New Roman"/>
          <w:color w:val="000000" w:themeColor="text1"/>
          <w:sz w:val="18"/>
          <w:szCs w:val="18"/>
        </w:rPr>
        <w:t xml:space="preserve"> który mówi: </w:t>
      </w:r>
      <w:r>
        <w:rPr>
          <w:rFonts w:ascii="Calibri" w:eastAsia="Times New Roman" w:hAnsi="Calibri" w:cs="Times New Roman"/>
          <w:i/>
          <w:color w:val="000000" w:themeColor="text1"/>
          <w:sz w:val="18"/>
          <w:szCs w:val="18"/>
        </w:rPr>
        <w:t>(...)</w:t>
      </w:r>
      <w:r w:rsidRPr="008E4B83">
        <w:rPr>
          <w:rFonts w:ascii="Calibri" w:eastAsia="Times New Roman" w:hAnsi="Calibri" w:cs="Times New Roman"/>
          <w:i/>
          <w:color w:val="000000" w:themeColor="text1"/>
          <w:sz w:val="18"/>
          <w:szCs w:val="18"/>
        </w:rPr>
        <w:t xml:space="preserve"> spłacie podlegają odsetki od wykorzystanej kwoty kredytu naliczane </w:t>
      </w:r>
      <w:r w:rsidRPr="008E4B83">
        <w:rPr>
          <w:rFonts w:ascii="Calibri" w:eastAsia="Times New Roman" w:hAnsi="Calibri" w:cs="Times New Roman"/>
          <w:b/>
          <w:i/>
          <w:color w:val="000000" w:themeColor="text1"/>
          <w:sz w:val="18"/>
          <w:szCs w:val="18"/>
        </w:rPr>
        <w:t>od dnia uruchomienia</w:t>
      </w:r>
      <w:r w:rsidRPr="008E4B83">
        <w:rPr>
          <w:rFonts w:ascii="Calibri" w:eastAsia="Times New Roman" w:hAnsi="Calibri" w:cs="Times New Roman"/>
          <w:i/>
          <w:color w:val="000000" w:themeColor="text1"/>
          <w:sz w:val="18"/>
          <w:szCs w:val="18"/>
        </w:rPr>
        <w:t xml:space="preserve"> kredytu</w:t>
      </w:r>
      <w:r>
        <w:rPr>
          <w:rFonts w:ascii="Calibri" w:eastAsia="Times New Roman" w:hAnsi="Calibri" w:cs="Times New Roman"/>
          <w:i/>
          <w:color w:val="000000" w:themeColor="text1"/>
          <w:sz w:val="18"/>
          <w:szCs w:val="18"/>
        </w:rPr>
        <w:t xml:space="preserve">. </w:t>
      </w:r>
      <w:r w:rsidRPr="00484CD3">
        <w:rPr>
          <w:rFonts w:ascii="Calibri" w:eastAsia="Times New Roman" w:hAnsi="Calibri" w:cs="Times New Roman"/>
          <w:color w:val="000000" w:themeColor="text1"/>
          <w:sz w:val="18"/>
          <w:szCs w:val="18"/>
        </w:rPr>
        <w:t>S</w:t>
      </w:r>
      <w:r>
        <w:rPr>
          <w:rFonts w:ascii="Calibri" w:eastAsia="Times New Roman" w:hAnsi="Calibri" w:cs="Times New Roman"/>
          <w:color w:val="000000" w:themeColor="text1"/>
          <w:sz w:val="18"/>
          <w:szCs w:val="18"/>
        </w:rPr>
        <w:t>ą</w:t>
      </w:r>
      <w:r w:rsidRPr="00484CD3">
        <w:rPr>
          <w:rFonts w:ascii="Calibri" w:eastAsia="Times New Roman" w:hAnsi="Calibri" w:cs="Times New Roman"/>
          <w:color w:val="000000" w:themeColor="text1"/>
          <w:sz w:val="18"/>
          <w:szCs w:val="18"/>
        </w:rPr>
        <w:t xml:space="preserve"> także sprzeczne z regułami bankowymi.</w:t>
      </w:r>
    </w:p>
    <w:p w14:paraId="1A5D917A"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p>
    <w:p w14:paraId="12A2AC3F" w14:textId="77777777" w:rsidR="003A7B31" w:rsidRPr="002C3C72" w:rsidRDefault="003A7B31" w:rsidP="003A7B31">
      <w:pPr>
        <w:pStyle w:val="Akapitzlist"/>
        <w:spacing w:before="40" w:after="40"/>
        <w:jc w:val="both"/>
        <w:rPr>
          <w:rFonts w:ascii="Calibri" w:eastAsia="Times New Roman" w:hAnsi="Calibri" w:cs="Times New Roman"/>
          <w:color w:val="000000" w:themeColor="text1"/>
          <w:sz w:val="18"/>
          <w:szCs w:val="18"/>
          <w:u w:val="single"/>
        </w:rPr>
      </w:pPr>
      <w:r w:rsidRPr="002C3C72">
        <w:rPr>
          <w:rFonts w:ascii="Calibri" w:eastAsia="Times New Roman" w:hAnsi="Calibri" w:cs="Times New Roman"/>
          <w:color w:val="000000" w:themeColor="text1"/>
          <w:sz w:val="18"/>
          <w:szCs w:val="18"/>
          <w:u w:val="single"/>
        </w:rPr>
        <w:t xml:space="preserve">Czy Zamawiający dopuszcza zmianę obu zapisów SWZ na: </w:t>
      </w:r>
    </w:p>
    <w:p w14:paraId="05B6A5D6" w14:textId="77777777" w:rsidR="003A7B31" w:rsidRDefault="003A7B31" w:rsidP="003A7B31">
      <w:pPr>
        <w:pStyle w:val="Akapitzlist"/>
        <w:spacing w:before="40" w:after="40"/>
        <w:jc w:val="both"/>
        <w:rPr>
          <w:rFonts w:ascii="Calibri" w:eastAsia="Times New Roman" w:hAnsi="Calibri" w:cs="Times New Roman"/>
          <w:i/>
          <w:color w:val="000000" w:themeColor="text1"/>
          <w:sz w:val="18"/>
          <w:szCs w:val="18"/>
        </w:rPr>
      </w:pPr>
      <w:r>
        <w:rPr>
          <w:rFonts w:ascii="Calibri" w:eastAsia="Times New Roman" w:hAnsi="Calibri" w:cs="Times New Roman"/>
          <w:i/>
          <w:color w:val="000000" w:themeColor="text1"/>
          <w:sz w:val="18"/>
          <w:szCs w:val="18"/>
        </w:rPr>
        <w:t>O</w:t>
      </w:r>
      <w:r w:rsidRPr="008E4B83">
        <w:rPr>
          <w:rFonts w:ascii="Calibri" w:eastAsia="Times New Roman" w:hAnsi="Calibri" w:cs="Times New Roman"/>
          <w:i/>
          <w:color w:val="000000" w:themeColor="text1"/>
          <w:sz w:val="18"/>
          <w:szCs w:val="18"/>
        </w:rPr>
        <w:t xml:space="preserve">dsetki od kredytu nalicza od dnia </w:t>
      </w:r>
      <w:r>
        <w:rPr>
          <w:rFonts w:ascii="Calibri" w:eastAsia="Times New Roman" w:hAnsi="Calibri" w:cs="Times New Roman"/>
          <w:i/>
          <w:color w:val="000000" w:themeColor="text1"/>
          <w:sz w:val="18"/>
          <w:szCs w:val="18"/>
        </w:rPr>
        <w:t xml:space="preserve">pierwszej </w:t>
      </w:r>
      <w:r w:rsidRPr="008E4B83">
        <w:rPr>
          <w:rFonts w:ascii="Calibri" w:eastAsia="Times New Roman" w:hAnsi="Calibri" w:cs="Times New Roman"/>
          <w:i/>
          <w:color w:val="000000" w:themeColor="text1"/>
          <w:sz w:val="18"/>
          <w:szCs w:val="18"/>
        </w:rPr>
        <w:t>wypłaty kredytu do dnia poprzedzającego ich termin spłaty</w:t>
      </w:r>
      <w:r>
        <w:rPr>
          <w:rFonts w:ascii="Calibri" w:eastAsia="Times New Roman" w:hAnsi="Calibri" w:cs="Times New Roman"/>
          <w:i/>
          <w:color w:val="000000" w:themeColor="text1"/>
          <w:sz w:val="18"/>
          <w:szCs w:val="18"/>
        </w:rPr>
        <w:t>.</w:t>
      </w:r>
    </w:p>
    <w:p w14:paraId="4B04B804" w14:textId="77777777" w:rsidR="003A7B31" w:rsidRDefault="003A7B31" w:rsidP="003A7B31">
      <w:pPr>
        <w:pStyle w:val="Akapitzlist"/>
        <w:spacing w:before="40" w:after="40"/>
        <w:jc w:val="both"/>
        <w:rPr>
          <w:rFonts w:ascii="Calibri" w:eastAsia="Times New Roman" w:hAnsi="Calibri" w:cs="Times New Roman"/>
          <w:i/>
          <w:color w:val="000000" w:themeColor="text1"/>
          <w:sz w:val="18"/>
          <w:szCs w:val="18"/>
        </w:rPr>
      </w:pPr>
      <w:r w:rsidRPr="008E4B83">
        <w:rPr>
          <w:rFonts w:ascii="Calibri" w:eastAsia="Times New Roman" w:hAnsi="Calibri" w:cs="Times New Roman"/>
          <w:i/>
          <w:color w:val="000000" w:themeColor="text1"/>
          <w:sz w:val="18"/>
          <w:szCs w:val="18"/>
        </w:rPr>
        <w:t>Spłata rat odsetkowych będzie następować w okresach miesięcznych, ostatniego dnia każdego miesiąca, na podstawie zawiadomienia przesłanego przez Bank.</w:t>
      </w:r>
      <w:r>
        <w:rPr>
          <w:rFonts w:ascii="Calibri" w:eastAsia="Times New Roman" w:hAnsi="Calibri" w:cs="Times New Roman"/>
          <w:i/>
          <w:color w:val="000000" w:themeColor="text1"/>
          <w:sz w:val="18"/>
          <w:szCs w:val="18"/>
        </w:rPr>
        <w:t xml:space="preserve"> </w:t>
      </w:r>
    </w:p>
    <w:p w14:paraId="0F1450EA"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r w:rsidRPr="008E4B83">
        <w:rPr>
          <w:rFonts w:ascii="Calibri" w:eastAsia="Times New Roman" w:hAnsi="Calibri" w:cs="Times New Roman"/>
          <w:i/>
          <w:color w:val="000000" w:themeColor="text1"/>
          <w:sz w:val="18"/>
          <w:szCs w:val="18"/>
        </w:rPr>
        <w:t>Dopuszcza się wstępne informowanie przez Bank drogą elektroniczną</w:t>
      </w:r>
      <w:r w:rsidRPr="00AE373B">
        <w:rPr>
          <w:rFonts w:ascii="Calibri" w:eastAsia="Times New Roman" w:hAnsi="Calibri" w:cs="Times New Roman"/>
          <w:i/>
          <w:color w:val="000000" w:themeColor="text1"/>
          <w:sz w:val="18"/>
          <w:szCs w:val="18"/>
        </w:rPr>
        <w:t>"</w:t>
      </w:r>
      <w:r>
        <w:rPr>
          <w:rFonts w:ascii="Calibri" w:eastAsia="Times New Roman" w:hAnsi="Calibri" w:cs="Times New Roman"/>
          <w:i/>
          <w:color w:val="000000" w:themeColor="text1"/>
          <w:sz w:val="18"/>
          <w:szCs w:val="18"/>
        </w:rPr>
        <w:t>?</w:t>
      </w:r>
    </w:p>
    <w:p w14:paraId="1970E439"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lastRenderedPageBreak/>
        <w:t>Oraz</w:t>
      </w:r>
      <w:r w:rsidRPr="00484CD3">
        <w:rPr>
          <w:rFonts w:ascii="Calibri" w:eastAsia="Times New Roman" w:hAnsi="Calibri" w:cs="Times New Roman"/>
          <w:color w:val="000000" w:themeColor="text1"/>
          <w:sz w:val="18"/>
          <w:szCs w:val="18"/>
        </w:rPr>
        <w:t xml:space="preserve"> zmianę </w:t>
      </w:r>
      <w:r>
        <w:rPr>
          <w:rFonts w:ascii="Calibri" w:eastAsia="Times New Roman" w:hAnsi="Calibri" w:cs="Times New Roman"/>
          <w:color w:val="000000" w:themeColor="text1"/>
          <w:sz w:val="18"/>
          <w:szCs w:val="18"/>
        </w:rPr>
        <w:t xml:space="preserve">innych </w:t>
      </w:r>
      <w:r w:rsidRPr="00484CD3">
        <w:rPr>
          <w:rFonts w:ascii="Calibri" w:eastAsia="Times New Roman" w:hAnsi="Calibri" w:cs="Times New Roman"/>
          <w:color w:val="000000" w:themeColor="text1"/>
          <w:sz w:val="18"/>
          <w:szCs w:val="18"/>
        </w:rPr>
        <w:t>zapisów SWZ, tak aby dzień uruchomienia był objęty okresem odsetkowym</w:t>
      </w:r>
      <w:r>
        <w:rPr>
          <w:rFonts w:ascii="Calibri" w:eastAsia="Times New Roman" w:hAnsi="Calibri" w:cs="Times New Roman"/>
          <w:color w:val="000000" w:themeColor="text1"/>
          <w:sz w:val="18"/>
          <w:szCs w:val="18"/>
        </w:rPr>
        <w:t>.</w:t>
      </w:r>
    </w:p>
    <w:p w14:paraId="1AF00F90" w14:textId="77777777" w:rsidR="003A7B31" w:rsidRDefault="003A7B31" w:rsidP="002C50F3">
      <w:pPr>
        <w:pStyle w:val="Akapitzlist"/>
        <w:spacing w:before="40" w:after="40" w:line="240" w:lineRule="auto"/>
        <w:jc w:val="both"/>
        <w:rPr>
          <w:rFonts w:ascii="Calibri" w:eastAsia="Times New Roman" w:hAnsi="Calibri" w:cs="Times New Roman"/>
          <w:color w:val="000000" w:themeColor="text1"/>
          <w:sz w:val="18"/>
          <w:szCs w:val="18"/>
        </w:rPr>
      </w:pPr>
    </w:p>
    <w:p w14:paraId="7D5FAF8F" w14:textId="11CE088C" w:rsidR="00F46FEB" w:rsidRDefault="00F46FEB" w:rsidP="007467D0">
      <w:pPr>
        <w:pStyle w:val="Akapitzlist"/>
        <w:ind w:left="1985" w:hanging="992"/>
        <w:rPr>
          <w:rFonts w:ascii="Calibri" w:eastAsia="Times New Roman" w:hAnsi="Calibri" w:cs="Times New Roman"/>
          <w:b/>
          <w:bCs/>
          <w:color w:val="000000" w:themeColor="text1"/>
          <w:sz w:val="18"/>
          <w:szCs w:val="18"/>
        </w:rPr>
      </w:pPr>
      <w:r w:rsidRPr="00F46FEB">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Zamawiający nie wyraża zgody na powyższy zapis</w:t>
      </w:r>
      <w:r w:rsidR="007467D0">
        <w:rPr>
          <w:rFonts w:ascii="Calibri" w:eastAsia="Times New Roman" w:hAnsi="Calibri" w:cs="Times New Roman"/>
          <w:b/>
          <w:bCs/>
          <w:color w:val="000000" w:themeColor="text1"/>
          <w:sz w:val="18"/>
          <w:szCs w:val="18"/>
        </w:rPr>
        <w:t>.</w:t>
      </w:r>
    </w:p>
    <w:p w14:paraId="076E350B" w14:textId="77777777" w:rsidR="007467D0" w:rsidRDefault="007467D0" w:rsidP="007467D0">
      <w:pPr>
        <w:pStyle w:val="Akapitzlist"/>
        <w:ind w:left="1985" w:hanging="992"/>
        <w:rPr>
          <w:rFonts w:ascii="Calibri" w:eastAsia="Times New Roman" w:hAnsi="Calibri" w:cs="Times New Roman"/>
          <w:color w:val="000000" w:themeColor="text1"/>
          <w:sz w:val="18"/>
          <w:szCs w:val="18"/>
        </w:rPr>
      </w:pPr>
    </w:p>
    <w:p w14:paraId="0691CB47" w14:textId="77777777" w:rsidR="003A7B31" w:rsidRPr="00471EDB" w:rsidRDefault="003A7B31" w:rsidP="003A7B31">
      <w:pPr>
        <w:pStyle w:val="Akapitzlist"/>
        <w:numPr>
          <w:ilvl w:val="0"/>
          <w:numId w:val="1"/>
        </w:numPr>
        <w:spacing w:before="40" w:after="40"/>
        <w:jc w:val="both"/>
        <w:rPr>
          <w:rFonts w:ascii="Calibri" w:eastAsia="Times New Roman" w:hAnsi="Calibri" w:cs="Times New Roman"/>
          <w:color w:val="000000" w:themeColor="text1"/>
          <w:sz w:val="18"/>
          <w:szCs w:val="18"/>
        </w:rPr>
      </w:pPr>
      <w:r w:rsidRPr="00471EDB">
        <w:rPr>
          <w:rFonts w:ascii="Calibri" w:eastAsia="Times New Roman" w:hAnsi="Calibri" w:cs="Times New Roman"/>
          <w:color w:val="000000" w:themeColor="text1"/>
          <w:sz w:val="18"/>
          <w:szCs w:val="18"/>
        </w:rPr>
        <w:t xml:space="preserve">W SWZ, Rozdział II, ust.1 opis przedmiotu, pkt.2., ppkt.20) </w:t>
      </w:r>
      <w:r>
        <w:rPr>
          <w:rFonts w:ascii="Calibri" w:eastAsia="Times New Roman" w:hAnsi="Calibri" w:cs="Times New Roman"/>
          <w:color w:val="000000" w:themeColor="text1"/>
          <w:sz w:val="18"/>
          <w:szCs w:val="18"/>
        </w:rPr>
        <w:t xml:space="preserve">– </w:t>
      </w:r>
      <w:r w:rsidRPr="00471EDB">
        <w:rPr>
          <w:rFonts w:ascii="Calibri" w:eastAsia="Times New Roman" w:hAnsi="Calibri" w:cs="Times New Roman"/>
          <w:i/>
          <w:color w:val="000000" w:themeColor="text1"/>
          <w:sz w:val="18"/>
          <w:szCs w:val="18"/>
        </w:rPr>
        <w:t>(...) Strony ustalą nowy harmonogram spłaty kredytu, a dokonane ustalenia zapiszą w formie aneksu do umowy;</w:t>
      </w:r>
      <w:r w:rsidRPr="00471EDB">
        <w:rPr>
          <w:rFonts w:ascii="Calibri" w:eastAsia="Times New Roman" w:hAnsi="Calibri" w:cs="Times New Roman"/>
          <w:color w:val="000000" w:themeColor="text1"/>
          <w:sz w:val="18"/>
          <w:szCs w:val="18"/>
        </w:rPr>
        <w:t xml:space="preserve"> </w:t>
      </w:r>
    </w:p>
    <w:p w14:paraId="22300C9B" w14:textId="77777777" w:rsidR="003A7B31" w:rsidRDefault="003A7B31" w:rsidP="003A7B31">
      <w:pPr>
        <w:pStyle w:val="Akapitzlist"/>
        <w:spacing w:before="40" w:after="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Czy Zamawiający dopuszcza przesłanie nowego harmonogramu przez Bank (bez konieczności podpisywania aneksu)? Dzięki czemu obie strony oszczędzają czas na sporządzenie i podpisanie aneksu.</w:t>
      </w:r>
    </w:p>
    <w:p w14:paraId="2860576C" w14:textId="77777777" w:rsidR="003A7B31" w:rsidRDefault="003A7B31" w:rsidP="002C50F3">
      <w:pPr>
        <w:pStyle w:val="Akapitzlist"/>
        <w:spacing w:before="40" w:after="40" w:line="240" w:lineRule="auto"/>
        <w:jc w:val="both"/>
        <w:rPr>
          <w:rFonts w:ascii="Calibri" w:eastAsia="Times New Roman" w:hAnsi="Calibri" w:cs="Times New Roman"/>
          <w:color w:val="000000" w:themeColor="text1"/>
          <w:sz w:val="18"/>
          <w:szCs w:val="18"/>
        </w:rPr>
      </w:pPr>
    </w:p>
    <w:p w14:paraId="1FF933E7" w14:textId="0184703D" w:rsidR="00B443E6" w:rsidRDefault="00B443E6" w:rsidP="00B443E6">
      <w:pPr>
        <w:pStyle w:val="Akapitzlist"/>
        <w:ind w:left="1985" w:hanging="992"/>
        <w:rPr>
          <w:rFonts w:ascii="Calibri" w:eastAsia="Times New Roman" w:hAnsi="Calibri" w:cs="Times New Roman"/>
          <w:color w:val="000000" w:themeColor="text1"/>
          <w:sz w:val="18"/>
          <w:szCs w:val="18"/>
        </w:rPr>
      </w:pPr>
      <w:r w:rsidRPr="00F46FEB">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Zamawiający nie wyraża zgody na powyższ</w:t>
      </w:r>
      <w:r w:rsidR="009377FE">
        <w:rPr>
          <w:rFonts w:ascii="Calibri" w:eastAsia="Times New Roman" w:hAnsi="Calibri" w:cs="Times New Roman"/>
          <w:b/>
          <w:bCs/>
          <w:color w:val="000000" w:themeColor="text1"/>
          <w:sz w:val="18"/>
          <w:szCs w:val="18"/>
        </w:rPr>
        <w:t>ą propozycję.</w:t>
      </w:r>
    </w:p>
    <w:p w14:paraId="28C42844" w14:textId="77777777" w:rsidR="00B443E6" w:rsidRDefault="00B443E6" w:rsidP="002C50F3">
      <w:pPr>
        <w:pStyle w:val="Akapitzlist"/>
        <w:spacing w:before="40" w:after="40" w:line="240" w:lineRule="auto"/>
        <w:jc w:val="both"/>
        <w:rPr>
          <w:rFonts w:ascii="Calibri" w:eastAsia="Times New Roman" w:hAnsi="Calibri" w:cs="Times New Roman"/>
          <w:color w:val="000000" w:themeColor="text1"/>
          <w:sz w:val="18"/>
          <w:szCs w:val="18"/>
        </w:rPr>
      </w:pPr>
    </w:p>
    <w:p w14:paraId="13069E28" w14:textId="77777777" w:rsidR="003A7B31" w:rsidRDefault="003A7B31" w:rsidP="003A7B31">
      <w:pPr>
        <w:pStyle w:val="Akapitzlist"/>
        <w:numPr>
          <w:ilvl w:val="0"/>
          <w:numId w:val="1"/>
        </w:numPr>
        <w:rPr>
          <w:rFonts w:ascii="Calibri" w:eastAsia="Times New Roman" w:hAnsi="Calibri" w:cs="Times New Roman"/>
          <w:color w:val="000000" w:themeColor="text1"/>
          <w:sz w:val="18"/>
          <w:szCs w:val="18"/>
        </w:rPr>
      </w:pPr>
      <w:r w:rsidRPr="00063E7A">
        <w:rPr>
          <w:rFonts w:ascii="Calibri" w:eastAsia="Times New Roman" w:hAnsi="Calibri" w:cs="Times New Roman"/>
          <w:color w:val="000000" w:themeColor="text1"/>
          <w:sz w:val="18"/>
          <w:szCs w:val="18"/>
        </w:rPr>
        <w:t>W SWZ, Rozdział I</w:t>
      </w:r>
      <w:r>
        <w:rPr>
          <w:rFonts w:ascii="Calibri" w:eastAsia="Times New Roman" w:hAnsi="Calibri" w:cs="Times New Roman"/>
          <w:color w:val="000000" w:themeColor="text1"/>
          <w:sz w:val="18"/>
          <w:szCs w:val="18"/>
        </w:rPr>
        <w:t xml:space="preserve">II, ust.5 </w:t>
      </w:r>
      <w:r w:rsidRPr="00063E7A">
        <w:rPr>
          <w:rFonts w:ascii="Calibri" w:eastAsia="Times New Roman" w:hAnsi="Calibri" w:cs="Times New Roman"/>
          <w:color w:val="000000" w:themeColor="text1"/>
          <w:sz w:val="18"/>
          <w:szCs w:val="18"/>
        </w:rPr>
        <w:t>Projektowane postanowienia umowy</w:t>
      </w:r>
      <w:r>
        <w:rPr>
          <w:rFonts w:ascii="Calibri" w:eastAsia="Times New Roman" w:hAnsi="Calibri" w:cs="Times New Roman"/>
          <w:color w:val="000000" w:themeColor="text1"/>
          <w:sz w:val="18"/>
          <w:szCs w:val="18"/>
        </w:rPr>
        <w:t>, pkt.10., ppkt.4 – czy Zamawiający dopuszcza zmianę na:</w:t>
      </w:r>
    </w:p>
    <w:p w14:paraId="7FEE28CA" w14:textId="77777777" w:rsidR="003A7B31" w:rsidRDefault="003A7B31" w:rsidP="003A7B31">
      <w:pPr>
        <w:pStyle w:val="Akapitzlist"/>
        <w:rPr>
          <w:rFonts w:ascii="Calibri" w:eastAsia="Times New Roman" w:hAnsi="Calibri" w:cs="Times New Roman"/>
          <w:b/>
          <w:i/>
          <w:color w:val="000000" w:themeColor="text1"/>
          <w:sz w:val="18"/>
          <w:szCs w:val="18"/>
        </w:rPr>
      </w:pPr>
      <w:r w:rsidRPr="00063E7A">
        <w:rPr>
          <w:rFonts w:ascii="Calibri" w:eastAsia="Times New Roman" w:hAnsi="Calibri" w:cs="Times New Roman"/>
          <w:i/>
          <w:color w:val="000000" w:themeColor="text1"/>
          <w:sz w:val="18"/>
          <w:szCs w:val="18"/>
        </w:rPr>
        <w:t xml:space="preserve">Całkowite uruchomienie kredytu nastąpi do 31.12.2023 r., z tym, że kredyt będzie dostępny w terminie ……… dni od dnia </w:t>
      </w:r>
      <w:r w:rsidRPr="00063E7A">
        <w:rPr>
          <w:rFonts w:ascii="Calibri" w:eastAsia="Times New Roman" w:hAnsi="Calibri" w:cs="Times New Roman"/>
          <w:b/>
          <w:i/>
          <w:color w:val="000000" w:themeColor="text1"/>
          <w:sz w:val="18"/>
          <w:szCs w:val="18"/>
        </w:rPr>
        <w:t>dostarczenia</w:t>
      </w:r>
      <w:r w:rsidRPr="00063E7A">
        <w:rPr>
          <w:rFonts w:ascii="Calibri" w:eastAsia="Times New Roman" w:hAnsi="Calibri" w:cs="Times New Roman"/>
          <w:i/>
          <w:color w:val="000000" w:themeColor="text1"/>
          <w:sz w:val="18"/>
          <w:szCs w:val="18"/>
        </w:rPr>
        <w:t xml:space="preserve"> przez Zamawiającego dyspozycji uruchomienia transzy</w:t>
      </w:r>
      <w:r>
        <w:rPr>
          <w:rFonts w:ascii="Calibri" w:eastAsia="Times New Roman" w:hAnsi="Calibri" w:cs="Times New Roman"/>
          <w:i/>
          <w:color w:val="000000" w:themeColor="text1"/>
          <w:sz w:val="18"/>
          <w:szCs w:val="18"/>
        </w:rPr>
        <w:t xml:space="preserve"> </w:t>
      </w:r>
      <w:r w:rsidRPr="00063E7A">
        <w:rPr>
          <w:rFonts w:ascii="Calibri" w:eastAsia="Times New Roman" w:hAnsi="Calibri" w:cs="Times New Roman"/>
          <w:b/>
          <w:i/>
          <w:color w:val="000000" w:themeColor="text1"/>
          <w:sz w:val="18"/>
          <w:szCs w:val="18"/>
        </w:rPr>
        <w:t>do Banku.</w:t>
      </w:r>
    </w:p>
    <w:p w14:paraId="368E638F" w14:textId="77777777" w:rsidR="009377FE" w:rsidRPr="00063E7A" w:rsidRDefault="009377FE" w:rsidP="002C50F3">
      <w:pPr>
        <w:pStyle w:val="Akapitzlist"/>
        <w:spacing w:line="240" w:lineRule="auto"/>
        <w:rPr>
          <w:rFonts w:ascii="Calibri" w:eastAsia="Times New Roman" w:hAnsi="Calibri" w:cs="Times New Roman"/>
          <w:i/>
          <w:color w:val="000000" w:themeColor="text1"/>
          <w:sz w:val="18"/>
          <w:szCs w:val="18"/>
        </w:rPr>
      </w:pPr>
    </w:p>
    <w:p w14:paraId="3C05C5DF" w14:textId="77777777" w:rsidR="009377FE" w:rsidRDefault="009377FE" w:rsidP="009377FE">
      <w:pPr>
        <w:pStyle w:val="Akapitzlist"/>
        <w:ind w:left="993"/>
        <w:rPr>
          <w:rFonts w:ascii="Calibri" w:eastAsia="Times New Roman" w:hAnsi="Calibri" w:cs="Times New Roman"/>
          <w:b/>
          <w:bCs/>
          <w:color w:val="000000" w:themeColor="text1"/>
          <w:sz w:val="18"/>
          <w:szCs w:val="18"/>
        </w:rPr>
      </w:pPr>
      <w:r w:rsidRPr="00AE50CA">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ab/>
        <w:t>Zamawiający nie wyraża zgody na powyższy zapis.</w:t>
      </w:r>
    </w:p>
    <w:p w14:paraId="350F67E4" w14:textId="77777777" w:rsidR="009377FE" w:rsidRDefault="009377FE" w:rsidP="002C50F3">
      <w:pPr>
        <w:pStyle w:val="Akapitzlist"/>
        <w:spacing w:before="40" w:after="40" w:line="240" w:lineRule="auto"/>
        <w:jc w:val="both"/>
        <w:rPr>
          <w:rFonts w:ascii="Calibri" w:eastAsia="Times New Roman" w:hAnsi="Calibri" w:cs="Times New Roman"/>
          <w:color w:val="000000" w:themeColor="text1"/>
          <w:sz w:val="18"/>
          <w:szCs w:val="18"/>
        </w:rPr>
      </w:pPr>
    </w:p>
    <w:p w14:paraId="0099881B" w14:textId="77777777" w:rsidR="003A7B31" w:rsidRDefault="003A7B31" w:rsidP="003A7B31">
      <w:pPr>
        <w:pStyle w:val="Akapitzlist"/>
        <w:numPr>
          <w:ilvl w:val="0"/>
          <w:numId w:val="1"/>
        </w:numPr>
        <w:spacing w:before="40" w:after="40"/>
        <w:jc w:val="both"/>
        <w:rPr>
          <w:rFonts w:ascii="Calibri" w:eastAsia="Times New Roman" w:hAnsi="Calibri" w:cs="Times New Roman"/>
          <w:color w:val="000000" w:themeColor="text1"/>
          <w:sz w:val="18"/>
          <w:szCs w:val="18"/>
        </w:rPr>
      </w:pPr>
      <w:r w:rsidRPr="00B7094D">
        <w:rPr>
          <w:rFonts w:ascii="Calibri" w:eastAsia="Times New Roman" w:hAnsi="Calibri" w:cs="Times New Roman"/>
          <w:color w:val="000000" w:themeColor="text1"/>
          <w:sz w:val="18"/>
          <w:szCs w:val="18"/>
        </w:rPr>
        <w:t>Czy Zamawiający wyraża zgodę na podpisanie Umowy kredytu, której częścią będzie klauzula awaryjna (w załączeniu)</w:t>
      </w:r>
      <w:r>
        <w:rPr>
          <w:rFonts w:ascii="Calibri" w:eastAsia="Times New Roman" w:hAnsi="Calibri" w:cs="Times New Roman"/>
          <w:color w:val="000000" w:themeColor="text1"/>
          <w:sz w:val="18"/>
          <w:szCs w:val="18"/>
        </w:rPr>
        <w:t>.</w:t>
      </w:r>
    </w:p>
    <w:p w14:paraId="473D61DB" w14:textId="77777777" w:rsidR="002C50F3" w:rsidRPr="002C50F3" w:rsidRDefault="002C50F3" w:rsidP="002C50F3">
      <w:pPr>
        <w:spacing w:before="40" w:after="40"/>
        <w:ind w:left="360"/>
        <w:jc w:val="both"/>
        <w:rPr>
          <w:rFonts w:ascii="Calibri" w:eastAsia="Times New Roman" w:hAnsi="Calibri" w:cs="Times New Roman"/>
          <w:color w:val="000000" w:themeColor="text1"/>
          <w:sz w:val="18"/>
          <w:szCs w:val="18"/>
        </w:rPr>
      </w:pPr>
    </w:p>
    <w:p w14:paraId="19AA15B6" w14:textId="4F33BA1E" w:rsidR="009377FE" w:rsidRDefault="009377FE" w:rsidP="009377FE">
      <w:pPr>
        <w:pStyle w:val="Akapitzlist"/>
        <w:ind w:left="993"/>
        <w:rPr>
          <w:rFonts w:ascii="Calibri" w:eastAsia="Times New Roman" w:hAnsi="Calibri" w:cs="Times New Roman"/>
          <w:b/>
          <w:bCs/>
          <w:color w:val="000000" w:themeColor="text1"/>
          <w:sz w:val="18"/>
          <w:szCs w:val="18"/>
        </w:rPr>
      </w:pPr>
      <w:r w:rsidRPr="00AE50CA">
        <w:rPr>
          <w:rFonts w:ascii="Calibri" w:eastAsia="Times New Roman" w:hAnsi="Calibri" w:cs="Times New Roman"/>
          <w:b/>
          <w:bCs/>
          <w:color w:val="000000" w:themeColor="text1"/>
          <w:sz w:val="18"/>
          <w:szCs w:val="18"/>
        </w:rPr>
        <w:t xml:space="preserve">Odpowiedź: </w:t>
      </w:r>
      <w:r>
        <w:rPr>
          <w:rFonts w:ascii="Calibri" w:eastAsia="Times New Roman" w:hAnsi="Calibri" w:cs="Times New Roman"/>
          <w:b/>
          <w:bCs/>
          <w:color w:val="000000" w:themeColor="text1"/>
          <w:sz w:val="18"/>
          <w:szCs w:val="18"/>
        </w:rPr>
        <w:tab/>
        <w:t xml:space="preserve">Zamawiający nie wyraża zgody </w:t>
      </w:r>
      <w:r w:rsidR="007467D0">
        <w:rPr>
          <w:rFonts w:ascii="Calibri" w:eastAsia="Times New Roman" w:hAnsi="Calibri" w:cs="Times New Roman"/>
          <w:b/>
          <w:bCs/>
          <w:color w:val="000000" w:themeColor="text1"/>
          <w:sz w:val="18"/>
          <w:szCs w:val="18"/>
        </w:rPr>
        <w:t>.</w:t>
      </w:r>
    </w:p>
    <w:p w14:paraId="37EADCA4" w14:textId="77777777" w:rsidR="003A7B31" w:rsidRPr="0093495B" w:rsidRDefault="003A7B31" w:rsidP="003A7B31">
      <w:pPr>
        <w:spacing w:after="0" w:line="240" w:lineRule="auto"/>
        <w:jc w:val="center"/>
        <w:rPr>
          <w:rFonts w:ascii="Calibri" w:eastAsia="Times New Roman" w:hAnsi="Calibri" w:cs="Times New Roman"/>
          <w:b/>
          <w:bCs/>
          <w:color w:val="000000" w:themeColor="text1"/>
        </w:rPr>
      </w:pPr>
      <w:r w:rsidRPr="0093495B">
        <w:rPr>
          <w:rFonts w:ascii="Calibri" w:eastAsia="Times New Roman" w:hAnsi="Calibri" w:cs="Times New Roman"/>
          <w:b/>
          <w:bCs/>
          <w:smallCaps/>
          <w:color w:val="000000" w:themeColor="text1"/>
        </w:rPr>
        <w:t xml:space="preserve">Pytania dotyczące sytuacji ekonomiczno-finansowej </w:t>
      </w:r>
    </w:p>
    <w:p w14:paraId="481F47B2" w14:textId="77777777" w:rsidR="003A7B31" w:rsidRDefault="003A7B31" w:rsidP="003A7B31">
      <w:pPr>
        <w:spacing w:after="0" w:line="240" w:lineRule="auto"/>
        <w:jc w:val="center"/>
        <w:rPr>
          <w:rFonts w:ascii="Calibri" w:eastAsia="Times New Roman" w:hAnsi="Calibri" w:cs="Times New Roman"/>
          <w:b/>
          <w:bCs/>
          <w:color w:val="000000" w:themeColor="text1"/>
          <w:sz w:val="18"/>
          <w:szCs w:val="18"/>
        </w:rPr>
      </w:pPr>
      <w:r w:rsidRPr="00AA761C">
        <w:rPr>
          <w:rFonts w:ascii="Calibri" w:eastAsia="Times New Roman" w:hAnsi="Calibri" w:cs="Times New Roman"/>
          <w:b/>
          <w:bCs/>
          <w:color w:val="000000" w:themeColor="text1"/>
          <w:sz w:val="18"/>
          <w:szCs w:val="18"/>
        </w:rPr>
        <w:t>(zgodnie ze stanem na dzień sporządzania odpowiedzi)</w:t>
      </w:r>
    </w:p>
    <w:p w14:paraId="730E5E2A" w14:textId="77777777" w:rsidR="003A7B31" w:rsidRPr="0093495B" w:rsidRDefault="003A7B31" w:rsidP="003A7B31">
      <w:pPr>
        <w:pStyle w:val="Bezodstpw"/>
        <w:numPr>
          <w:ilvl w:val="0"/>
          <w:numId w:val="2"/>
        </w:numPr>
        <w:rPr>
          <w:rFonts w:ascii="Calibri" w:eastAsia="Times New Roman" w:hAnsi="Calibri" w:cs="Times New Roman"/>
          <w:bCs/>
          <w:color w:val="000000" w:themeColor="text1"/>
          <w:sz w:val="18"/>
          <w:szCs w:val="18"/>
        </w:rPr>
      </w:pPr>
      <w:r w:rsidRPr="0093495B">
        <w:rPr>
          <w:rFonts w:eastAsia="Times New Roman"/>
          <w:sz w:val="18"/>
          <w:szCs w:val="18"/>
        </w:rPr>
        <w:t xml:space="preserve">Prosimy o </w:t>
      </w:r>
      <w:r>
        <w:rPr>
          <w:rFonts w:eastAsia="Times New Roman"/>
          <w:sz w:val="18"/>
          <w:szCs w:val="18"/>
        </w:rPr>
        <w:t xml:space="preserve">wskazanie </w:t>
      </w:r>
      <w:r w:rsidRPr="0093495B">
        <w:rPr>
          <w:rFonts w:eastAsia="Times New Roman"/>
          <w:sz w:val="18"/>
          <w:szCs w:val="18"/>
        </w:rPr>
        <w:t>czy:</w:t>
      </w:r>
    </w:p>
    <w:p w14:paraId="093F5DAF" w14:textId="77777777" w:rsidR="003A7B31" w:rsidRDefault="003A7B31" w:rsidP="003A7B31">
      <w:pPr>
        <w:pStyle w:val="Akapitzlist"/>
        <w:numPr>
          <w:ilvl w:val="0"/>
          <w:numId w:val="5"/>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p</w:t>
      </w:r>
      <w:r w:rsidRPr="00AA761C">
        <w:rPr>
          <w:rFonts w:ascii="Calibri" w:eastAsia="Times New Roman" w:hAnsi="Calibri" w:cs="Times New Roman"/>
          <w:color w:val="000000" w:themeColor="text1"/>
          <w:sz w:val="18"/>
          <w:szCs w:val="18"/>
        </w:rPr>
        <w:t>osiadają Państwo zaległe zobowiązania finansowe w bankach</w:t>
      </w:r>
      <w:r>
        <w:rPr>
          <w:rFonts w:ascii="Calibri" w:eastAsia="Times New Roman" w:hAnsi="Calibri" w:cs="Times New Roman"/>
          <w:color w:val="000000" w:themeColor="text1"/>
          <w:sz w:val="18"/>
          <w:szCs w:val="18"/>
        </w:rPr>
        <w:t>?</w:t>
      </w:r>
      <w:r>
        <w:rPr>
          <w:rFonts w:ascii="Calibri" w:eastAsia="Times New Roman" w:hAnsi="Calibri" w:cs="Times New Roman"/>
          <w:color w:val="000000" w:themeColor="text1"/>
          <w:sz w:val="18"/>
          <w:szCs w:val="18"/>
        </w:rPr>
        <w:tab/>
      </w:r>
      <w:r w:rsidRPr="000B5ED5">
        <w:rPr>
          <w:rFonts w:ascii="Calibri" w:eastAsia="Times New Roman" w:hAnsi="Calibri" w:cs="Times New Roman"/>
          <w:b/>
          <w:color w:val="000000" w:themeColor="text1"/>
          <w:sz w:val="18"/>
          <w:szCs w:val="18"/>
        </w:rPr>
        <w:t xml:space="preserve">TAK   /  </w:t>
      </w:r>
      <w:r w:rsidRPr="009377FE">
        <w:rPr>
          <w:rFonts w:ascii="Calibri" w:eastAsia="Times New Roman" w:hAnsi="Calibri" w:cs="Times New Roman"/>
          <w:b/>
          <w:color w:val="000000" w:themeColor="text1"/>
          <w:sz w:val="18"/>
          <w:szCs w:val="18"/>
          <w:u w:val="single"/>
        </w:rPr>
        <w:t>NIE</w:t>
      </w:r>
    </w:p>
    <w:p w14:paraId="5EF9AFC1" w14:textId="77777777" w:rsidR="003A7B31" w:rsidRPr="00AA761C" w:rsidRDefault="003A7B31" w:rsidP="003A7B31">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Jeżeli</w:t>
      </w:r>
      <w:r w:rsidRPr="00AA761C">
        <w:rPr>
          <w:rFonts w:ascii="Calibri" w:eastAsia="Times New Roman" w:hAnsi="Calibri" w:cs="Times New Roman"/>
          <w:color w:val="000000" w:themeColor="text1"/>
          <w:sz w:val="18"/>
          <w:szCs w:val="18"/>
        </w:rPr>
        <w:t xml:space="preserve"> tak, to prosimy o podanie kwoty zaległych zobowiązań w bankach (w tys. PLN)</w:t>
      </w:r>
      <w:r>
        <w:rPr>
          <w:rFonts w:ascii="Calibri" w:eastAsia="Times New Roman" w:hAnsi="Calibri" w:cs="Times New Roman"/>
          <w:color w:val="000000" w:themeColor="text1"/>
          <w:sz w:val="18"/>
          <w:szCs w:val="18"/>
        </w:rPr>
        <w:t>.</w:t>
      </w:r>
    </w:p>
    <w:p w14:paraId="2BD86D42" w14:textId="77777777" w:rsidR="003A7B31" w:rsidRDefault="003A7B31" w:rsidP="003A7B31">
      <w:pPr>
        <w:pStyle w:val="Akapitzlist"/>
        <w:numPr>
          <w:ilvl w:val="0"/>
          <w:numId w:val="5"/>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Pr>
          <w:rFonts w:ascii="Calibri" w:eastAsia="Times New Roman" w:hAnsi="Calibri" w:cs="Times New Roman"/>
          <w:color w:val="000000" w:themeColor="text1"/>
          <w:sz w:val="18"/>
          <w:szCs w:val="18"/>
        </w:rPr>
        <w:t>w</w:t>
      </w:r>
      <w:r w:rsidRPr="00AA761C">
        <w:rPr>
          <w:rFonts w:ascii="Calibri" w:eastAsia="Times New Roman" w:hAnsi="Calibri" w:cs="Times New Roman"/>
          <w:color w:val="000000" w:themeColor="text1"/>
          <w:sz w:val="18"/>
          <w:szCs w:val="18"/>
        </w:rPr>
        <w:t xml:space="preserve"> ciągu ostatnich 18 miesięcy był prowadzony u Państwa program postępowania naprawczego </w:t>
      </w:r>
    </w:p>
    <w:p w14:paraId="28E45744" w14:textId="77777777" w:rsidR="003A7B31" w:rsidRPr="00AA761C" w:rsidRDefault="003A7B31" w:rsidP="003A7B31">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r w:rsidRPr="00AA761C">
        <w:rPr>
          <w:rFonts w:ascii="Calibri" w:eastAsia="Times New Roman" w:hAnsi="Calibri" w:cs="Times New Roman"/>
          <w:color w:val="000000" w:themeColor="text1"/>
          <w:sz w:val="18"/>
          <w:szCs w:val="18"/>
        </w:rPr>
        <w:t xml:space="preserve">w rozumieniu ustawy z dnia 27 sierpnia </w:t>
      </w:r>
      <w:r>
        <w:rPr>
          <w:rFonts w:ascii="Calibri" w:eastAsia="Times New Roman" w:hAnsi="Calibri" w:cs="Times New Roman"/>
          <w:color w:val="000000" w:themeColor="text1"/>
          <w:sz w:val="18"/>
          <w:szCs w:val="18"/>
        </w:rPr>
        <w:t>2009 r. o finansach publicznych?</w:t>
      </w:r>
      <w:r w:rsidRPr="00AA761C">
        <w:rPr>
          <w:rFonts w:ascii="Calibri" w:eastAsia="Times New Roman" w:hAnsi="Calibri" w:cs="Times New Roman"/>
          <w:color w:val="000000" w:themeColor="text1"/>
          <w:sz w:val="18"/>
          <w:szCs w:val="18"/>
        </w:rPr>
        <w:tab/>
      </w:r>
      <w:r w:rsidRPr="000B5ED5">
        <w:rPr>
          <w:rFonts w:ascii="Calibri" w:eastAsia="Times New Roman" w:hAnsi="Calibri" w:cs="Times New Roman"/>
          <w:b/>
          <w:color w:val="000000" w:themeColor="text1"/>
          <w:sz w:val="18"/>
          <w:szCs w:val="18"/>
        </w:rPr>
        <w:t xml:space="preserve">TAK   /  </w:t>
      </w:r>
      <w:r w:rsidRPr="009377FE">
        <w:rPr>
          <w:rFonts w:ascii="Calibri" w:eastAsia="Times New Roman" w:hAnsi="Calibri" w:cs="Times New Roman"/>
          <w:b/>
          <w:color w:val="000000" w:themeColor="text1"/>
          <w:sz w:val="18"/>
          <w:szCs w:val="18"/>
          <w:u w:val="single"/>
        </w:rPr>
        <w:t>NIE</w:t>
      </w:r>
    </w:p>
    <w:p w14:paraId="5AF4A0D2" w14:textId="77777777" w:rsidR="003A7B31" w:rsidRPr="00AA761C" w:rsidRDefault="003A7B31" w:rsidP="003A7B31">
      <w:pPr>
        <w:pStyle w:val="Akapitzlist"/>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ind w:left="1440"/>
        <w:jc w:val="both"/>
        <w:rPr>
          <w:rFonts w:ascii="Calibri" w:eastAsia="Times New Roman" w:hAnsi="Calibri" w:cs="Times New Roman"/>
          <w:color w:val="000000" w:themeColor="text1"/>
          <w:sz w:val="18"/>
          <w:szCs w:val="18"/>
        </w:rPr>
      </w:pPr>
    </w:p>
    <w:p w14:paraId="75CA7F50" w14:textId="77777777" w:rsidR="003A7B31" w:rsidRPr="001D5511" w:rsidRDefault="003A7B31" w:rsidP="003A7B31">
      <w:pPr>
        <w:pStyle w:val="Akapitzlist"/>
        <w:numPr>
          <w:ilvl w:val="0"/>
          <w:numId w:val="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Prosimy o podanie:</w:t>
      </w:r>
    </w:p>
    <w:p w14:paraId="748316E5" w14:textId="7485A337" w:rsidR="003A7B31" w:rsidRPr="009377FE" w:rsidRDefault="003A7B31" w:rsidP="003A7B31">
      <w:pPr>
        <w:pStyle w:val="Akapitzlist"/>
        <w:numPr>
          <w:ilvl w:val="0"/>
          <w:numId w:val="8"/>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b/>
          <w:bCs/>
          <w:color w:val="000000" w:themeColor="text1"/>
          <w:sz w:val="18"/>
          <w:szCs w:val="18"/>
        </w:rPr>
      </w:pPr>
      <w:r w:rsidRPr="001D5511">
        <w:rPr>
          <w:rFonts w:ascii="Calibri" w:eastAsia="Times New Roman" w:hAnsi="Calibri" w:cs="Times New Roman"/>
          <w:color w:val="000000" w:themeColor="text1"/>
          <w:sz w:val="18"/>
          <w:szCs w:val="18"/>
        </w:rPr>
        <w:t xml:space="preserve">wartości łącznej udzielonych i planowanych do udzielenia poręczeń i gwarancji (w tys. PLN) według stanu na koniec </w:t>
      </w:r>
      <w:r>
        <w:rPr>
          <w:rFonts w:ascii="Calibri" w:eastAsia="Times New Roman" w:hAnsi="Calibri" w:cs="Times New Roman"/>
          <w:color w:val="000000" w:themeColor="text1"/>
          <w:sz w:val="18"/>
          <w:szCs w:val="18"/>
        </w:rPr>
        <w:t xml:space="preserve">2023 </w:t>
      </w:r>
      <w:r w:rsidRPr="001D5511">
        <w:rPr>
          <w:rFonts w:ascii="Calibri" w:eastAsia="Times New Roman" w:hAnsi="Calibri" w:cs="Times New Roman"/>
          <w:color w:val="000000" w:themeColor="text1"/>
          <w:sz w:val="18"/>
          <w:szCs w:val="18"/>
        </w:rPr>
        <w:t>roku,</w:t>
      </w:r>
    </w:p>
    <w:p w14:paraId="641252B0" w14:textId="77777777" w:rsidR="003A7B31" w:rsidRPr="001D5511" w:rsidRDefault="003A7B31" w:rsidP="003A7B31">
      <w:pPr>
        <w:pStyle w:val="Akapitzlist"/>
        <w:numPr>
          <w:ilvl w:val="0"/>
          <w:numId w:val="8"/>
        </w:numPr>
        <w:tabs>
          <w:tab w:val="left" w:pos="9638"/>
          <w:tab w:val="left" w:pos="11055"/>
          <w:tab w:val="left" w:pos="14501"/>
          <w:tab w:val="left" w:pos="16058"/>
          <w:tab w:val="left" w:pos="17613"/>
          <w:tab w:val="left" w:pos="19167"/>
          <w:tab w:val="left" w:pos="19327"/>
          <w:tab w:val="left" w:pos="19487"/>
          <w:tab w:val="left" w:pos="19647"/>
          <w:tab w:val="left" w:pos="19807"/>
        </w:tabs>
        <w:spacing w:after="0"/>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 xml:space="preserve">podmiotu któremu jednostka poręcza/udziela gwarancji wraz z informacjami: </w:t>
      </w:r>
    </w:p>
    <w:p w14:paraId="2DFB21C0" w14:textId="77777777" w:rsidR="003A7B31" w:rsidRPr="001D5511" w:rsidRDefault="003A7B31" w:rsidP="003A7B31">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jaki jest przedmiot umowy (czego dotyczy umowa objęta poręczeniem/gwarancją)?</w:t>
      </w:r>
    </w:p>
    <w:p w14:paraId="164A873D" w14:textId="77777777" w:rsidR="003A7B31" w:rsidRPr="001D5511" w:rsidRDefault="003A7B31" w:rsidP="003A7B31">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jaki zakres obejmuje poręczenie/gwarancja (kapitał/odsetki/inne)?</w:t>
      </w:r>
    </w:p>
    <w:p w14:paraId="4432E363" w14:textId="77777777" w:rsidR="003A7B31" w:rsidRPr="001D5511" w:rsidRDefault="003A7B31" w:rsidP="003A7B31">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jaka była pierwotna kwota poręczenia/gwarancji?</w:t>
      </w:r>
    </w:p>
    <w:p w14:paraId="6F4A1797" w14:textId="77777777" w:rsidR="003A7B31" w:rsidRPr="001D5511" w:rsidRDefault="003A7B31" w:rsidP="003A7B31">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jakie jest planowane saldo poręczenia/gwarancji na koniec każdego roku prognozy?</w:t>
      </w:r>
    </w:p>
    <w:p w14:paraId="0877F8C4" w14:textId="77777777" w:rsidR="003A7B31" w:rsidRPr="001D5511" w:rsidRDefault="003A7B31" w:rsidP="003A7B31">
      <w:pPr>
        <w:pStyle w:val="Akapitzlist"/>
        <w:numPr>
          <w:ilvl w:val="0"/>
          <w:numId w:val="9"/>
        </w:numPr>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701" w:hanging="143"/>
        <w:jc w:val="both"/>
        <w:rPr>
          <w:rFonts w:ascii="Calibri" w:eastAsia="Times New Roman" w:hAnsi="Calibri" w:cs="Times New Roman"/>
          <w:color w:val="000000" w:themeColor="text1"/>
          <w:sz w:val="18"/>
          <w:szCs w:val="18"/>
        </w:rPr>
      </w:pPr>
      <w:r w:rsidRPr="001D5511">
        <w:rPr>
          <w:rFonts w:ascii="Calibri" w:eastAsia="Times New Roman" w:hAnsi="Calibri" w:cs="Times New Roman"/>
          <w:color w:val="000000" w:themeColor="text1"/>
          <w:sz w:val="18"/>
          <w:szCs w:val="18"/>
        </w:rPr>
        <w:t>czy były realizowane jakiekolwiek wypłaty z udzielonego poręczenia / gwarancji w latach ubiegłych?</w:t>
      </w:r>
    </w:p>
    <w:p w14:paraId="7D8F22E2" w14:textId="77777777" w:rsidR="003A7B31" w:rsidRDefault="003A7B31"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82"/>
        <w:jc w:val="both"/>
        <w:rPr>
          <w:rFonts w:ascii="Calibri" w:eastAsia="Times New Roman" w:hAnsi="Calibri" w:cs="Times New Roman"/>
          <w:color w:val="000000" w:themeColor="text1"/>
          <w:sz w:val="18"/>
          <w:szCs w:val="18"/>
        </w:rPr>
      </w:pPr>
    </w:p>
    <w:p w14:paraId="14064FBB" w14:textId="5F7F27A1" w:rsidR="0069745F" w:rsidRDefault="0069745F" w:rsidP="003A7B31">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color w:val="000000" w:themeColor="text1"/>
          <w:sz w:val="18"/>
          <w:szCs w:val="18"/>
        </w:rPr>
      </w:pPr>
      <w:r w:rsidRPr="009377FE">
        <w:rPr>
          <w:rFonts w:ascii="Calibri" w:eastAsia="Times New Roman" w:hAnsi="Calibri" w:cs="Times New Roman"/>
          <w:b/>
          <w:bCs/>
          <w:color w:val="000000" w:themeColor="text1"/>
          <w:sz w:val="18"/>
          <w:szCs w:val="18"/>
        </w:rPr>
        <w:t>Odpowiedź: Nie dotyczy.</w:t>
      </w:r>
    </w:p>
    <w:p w14:paraId="59176D9F" w14:textId="77777777" w:rsidR="0069745F" w:rsidRPr="001D5511" w:rsidRDefault="0069745F"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82"/>
        <w:jc w:val="both"/>
        <w:rPr>
          <w:rFonts w:ascii="Calibri" w:eastAsia="Times New Roman" w:hAnsi="Calibri" w:cs="Times New Roman"/>
          <w:color w:val="000000" w:themeColor="text1"/>
          <w:sz w:val="18"/>
          <w:szCs w:val="18"/>
        </w:rPr>
      </w:pPr>
    </w:p>
    <w:p w14:paraId="773A3454" w14:textId="77777777" w:rsidR="003A7B31" w:rsidRPr="001D5511" w:rsidRDefault="003A7B31" w:rsidP="003A7B31">
      <w:pPr>
        <w:pStyle w:val="Akapitzlist"/>
        <w:numPr>
          <w:ilvl w:val="0"/>
          <w:numId w:val="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rPr>
          <w:rFonts w:eastAsia="Times New Roman" w:cstheme="minorHAnsi"/>
          <w:color w:val="000000" w:themeColor="text1"/>
          <w:sz w:val="18"/>
          <w:szCs w:val="18"/>
        </w:rPr>
      </w:pPr>
      <w:r w:rsidRPr="001D5511">
        <w:rPr>
          <w:rFonts w:eastAsia="Times New Roman" w:cstheme="minorHAnsi"/>
          <w:color w:val="000000" w:themeColor="text1"/>
          <w:sz w:val="18"/>
          <w:szCs w:val="18"/>
        </w:rPr>
        <w:t>Prosimy o informację:</w:t>
      </w:r>
    </w:p>
    <w:p w14:paraId="0EF68104" w14:textId="77777777" w:rsidR="003A7B31" w:rsidRDefault="003A7B31" w:rsidP="003A7B31">
      <w:pPr>
        <w:pStyle w:val="Bezodstpw"/>
        <w:numPr>
          <w:ilvl w:val="0"/>
          <w:numId w:val="6"/>
        </w:numPr>
        <w:spacing w:line="276" w:lineRule="auto"/>
        <w:jc w:val="both"/>
        <w:outlineLvl w:val="0"/>
        <w:rPr>
          <w:rFonts w:eastAsia="Times New Roman" w:cstheme="minorHAnsi"/>
          <w:color w:val="000000" w:themeColor="text1"/>
          <w:sz w:val="18"/>
          <w:szCs w:val="18"/>
        </w:rPr>
      </w:pPr>
      <w:r w:rsidRPr="001D5511">
        <w:rPr>
          <w:rFonts w:eastAsia="Times New Roman" w:cstheme="minorHAnsi"/>
          <w:color w:val="000000" w:themeColor="text1"/>
          <w:sz w:val="18"/>
          <w:szCs w:val="18"/>
        </w:rPr>
        <w:t>jak sytuacja związana z COVID-19 przełożyła się na sytuację finansową gminy w 2020 roku oraz w 2021 roku;</w:t>
      </w:r>
    </w:p>
    <w:p w14:paraId="118460A9" w14:textId="77777777" w:rsidR="0069745F" w:rsidRDefault="0069745F" w:rsidP="002C50F3">
      <w:pPr>
        <w:pStyle w:val="Bezodstpw"/>
        <w:ind w:left="1416"/>
        <w:jc w:val="both"/>
        <w:outlineLvl w:val="0"/>
        <w:rPr>
          <w:rFonts w:eastAsia="Times New Roman" w:cstheme="minorHAnsi"/>
          <w:color w:val="000000" w:themeColor="text1"/>
          <w:sz w:val="18"/>
          <w:szCs w:val="18"/>
        </w:rPr>
      </w:pPr>
    </w:p>
    <w:p w14:paraId="47365DB3" w14:textId="6FA02CF3" w:rsidR="0069745F" w:rsidRDefault="0069745F" w:rsidP="0069745F">
      <w:pPr>
        <w:pStyle w:val="Bezodstpw"/>
        <w:spacing w:line="276" w:lineRule="auto"/>
        <w:ind w:left="2410" w:hanging="994"/>
        <w:jc w:val="both"/>
        <w:outlineLvl w:val="0"/>
        <w:rPr>
          <w:rFonts w:eastAsia="Times New Roman" w:cstheme="minorHAnsi"/>
          <w:b/>
          <w:bCs/>
          <w:color w:val="000000" w:themeColor="text1"/>
          <w:sz w:val="18"/>
          <w:szCs w:val="18"/>
        </w:rPr>
      </w:pPr>
      <w:r w:rsidRPr="0069745F">
        <w:rPr>
          <w:rFonts w:eastAsia="Times New Roman" w:cstheme="minorHAnsi"/>
          <w:b/>
          <w:bCs/>
          <w:color w:val="000000" w:themeColor="text1"/>
          <w:sz w:val="18"/>
          <w:szCs w:val="18"/>
        </w:rPr>
        <w:t xml:space="preserve">Odpowiedź: </w:t>
      </w:r>
      <w:r>
        <w:rPr>
          <w:rFonts w:eastAsia="Times New Roman" w:cstheme="minorHAnsi"/>
          <w:b/>
          <w:bCs/>
          <w:color w:val="000000" w:themeColor="text1"/>
          <w:sz w:val="18"/>
          <w:szCs w:val="18"/>
        </w:rPr>
        <w:t xml:space="preserve">Gmina Kalisz Pomorski dobrze poradziła sobie z pandemią COVID-19 zarówno w roku 2020 jak i w roku 2021. </w:t>
      </w:r>
      <w:r w:rsidR="00FF0FA6">
        <w:rPr>
          <w:rFonts w:eastAsia="Times New Roman" w:cstheme="minorHAnsi"/>
          <w:b/>
          <w:bCs/>
          <w:color w:val="000000" w:themeColor="text1"/>
          <w:sz w:val="18"/>
          <w:szCs w:val="18"/>
        </w:rPr>
        <w:t>Sytuacja związana z COVID-19 nie wpłynęła na sytuację finansową gminy</w:t>
      </w:r>
      <w:r>
        <w:rPr>
          <w:rFonts w:eastAsia="Times New Roman" w:cstheme="minorHAnsi"/>
          <w:b/>
          <w:bCs/>
          <w:color w:val="000000" w:themeColor="text1"/>
          <w:sz w:val="18"/>
          <w:szCs w:val="18"/>
        </w:rPr>
        <w:t>, co odzwierciedlają sprawozdania roczne Rb-27</w:t>
      </w:r>
      <w:r w:rsidR="002D25F0">
        <w:rPr>
          <w:rFonts w:eastAsia="Times New Roman" w:cstheme="minorHAnsi"/>
          <w:b/>
          <w:bCs/>
          <w:color w:val="000000" w:themeColor="text1"/>
          <w:sz w:val="18"/>
          <w:szCs w:val="18"/>
        </w:rPr>
        <w:t>s</w:t>
      </w:r>
      <w:r>
        <w:rPr>
          <w:rFonts w:eastAsia="Times New Roman" w:cstheme="minorHAnsi"/>
          <w:b/>
          <w:bCs/>
          <w:color w:val="000000" w:themeColor="text1"/>
          <w:sz w:val="18"/>
          <w:szCs w:val="18"/>
        </w:rPr>
        <w:t xml:space="preserve"> za 2020 rok i 2021 rok, które są umieszczone na stronie BIP. Pandemia nie spowodowała utraty płynności </w:t>
      </w:r>
      <w:r w:rsidR="0044567E">
        <w:rPr>
          <w:rFonts w:eastAsia="Times New Roman" w:cstheme="minorHAnsi"/>
          <w:b/>
          <w:bCs/>
          <w:color w:val="000000" w:themeColor="text1"/>
          <w:sz w:val="18"/>
          <w:szCs w:val="18"/>
        </w:rPr>
        <w:t xml:space="preserve">finansowej </w:t>
      </w:r>
      <w:r w:rsidR="00FF0FA6">
        <w:rPr>
          <w:rFonts w:eastAsia="Times New Roman" w:cstheme="minorHAnsi"/>
          <w:b/>
          <w:bCs/>
          <w:color w:val="000000" w:themeColor="text1"/>
          <w:sz w:val="18"/>
          <w:szCs w:val="18"/>
        </w:rPr>
        <w:t>g</w:t>
      </w:r>
      <w:r>
        <w:rPr>
          <w:rFonts w:eastAsia="Times New Roman" w:cstheme="minorHAnsi"/>
          <w:b/>
          <w:bCs/>
          <w:color w:val="000000" w:themeColor="text1"/>
          <w:sz w:val="18"/>
          <w:szCs w:val="18"/>
        </w:rPr>
        <w:t>miny.</w:t>
      </w:r>
    </w:p>
    <w:p w14:paraId="56129B17" w14:textId="77777777" w:rsidR="0069745F" w:rsidRPr="0069745F" w:rsidRDefault="0069745F" w:rsidP="002C50F3">
      <w:pPr>
        <w:pStyle w:val="Bezodstpw"/>
        <w:ind w:left="2410" w:hanging="994"/>
        <w:jc w:val="both"/>
        <w:outlineLvl w:val="0"/>
        <w:rPr>
          <w:rFonts w:eastAsia="Times New Roman" w:cstheme="minorHAnsi"/>
          <w:b/>
          <w:bCs/>
          <w:color w:val="000000" w:themeColor="text1"/>
          <w:sz w:val="18"/>
          <w:szCs w:val="18"/>
        </w:rPr>
      </w:pPr>
    </w:p>
    <w:p w14:paraId="21C02BBB" w14:textId="77777777" w:rsidR="003A7B31" w:rsidRPr="0069745F" w:rsidRDefault="003A7B31" w:rsidP="003A7B31">
      <w:pPr>
        <w:pStyle w:val="Akapitzlist"/>
        <w:numPr>
          <w:ilvl w:val="0"/>
          <w:numId w:val="6"/>
        </w:numPr>
        <w:autoSpaceDE w:val="0"/>
        <w:autoSpaceDN w:val="0"/>
        <w:adjustRightInd w:val="0"/>
        <w:spacing w:after="0"/>
        <w:jc w:val="both"/>
        <w:rPr>
          <w:rFonts w:eastAsia="Times New Roman" w:cstheme="minorHAnsi"/>
          <w:color w:val="000000" w:themeColor="text1"/>
          <w:sz w:val="18"/>
          <w:szCs w:val="18"/>
        </w:rPr>
      </w:pPr>
      <w:r w:rsidRPr="001D5511">
        <w:rPr>
          <w:rFonts w:eastAsia="Times New Roman" w:cstheme="minorHAnsi"/>
          <w:color w:val="000000" w:themeColor="text1"/>
          <w:sz w:val="18"/>
          <w:szCs w:val="18"/>
        </w:rPr>
        <w:t xml:space="preserve">jaka była wysokość wydatków bieżących </w:t>
      </w:r>
      <w:r w:rsidRPr="001D5511">
        <w:rPr>
          <w:rFonts w:cstheme="minorHAnsi"/>
          <w:color w:val="000000" w:themeColor="text1"/>
          <w:sz w:val="18"/>
          <w:szCs w:val="18"/>
        </w:rPr>
        <w:t xml:space="preserve">poniesionych w 2020 roku oraz </w:t>
      </w:r>
      <w:r w:rsidRPr="001D5511">
        <w:rPr>
          <w:rFonts w:cstheme="minorHAnsi"/>
          <w:b/>
          <w:color w:val="000000" w:themeColor="text1"/>
          <w:sz w:val="18"/>
          <w:szCs w:val="18"/>
        </w:rPr>
        <w:t>w 2021 roku (prośba o podanie wartości odrębnie dla ww. lat)</w:t>
      </w:r>
      <w:r w:rsidRPr="001D5511">
        <w:rPr>
          <w:rFonts w:cstheme="minorHAnsi"/>
          <w:color w:val="000000" w:themeColor="text1"/>
          <w:sz w:val="18"/>
          <w:szCs w:val="18"/>
        </w:rPr>
        <w:t xml:space="preserve"> w celu realizacji zadań związanych z przeciwdziałaniem COVID-19 i nie objętych finansowaniem </w:t>
      </w:r>
      <w:r w:rsidRPr="001D5511">
        <w:rPr>
          <w:rFonts w:cstheme="minorHAnsi"/>
          <w:bCs/>
          <w:color w:val="000000" w:themeColor="text1"/>
          <w:sz w:val="18"/>
          <w:szCs w:val="18"/>
        </w:rPr>
        <w:t>otrzymanymi na ten cel dotacjami i środkami bieżącymi</w:t>
      </w:r>
      <w:r w:rsidRPr="001D5511">
        <w:rPr>
          <w:rFonts w:cstheme="minorHAnsi"/>
          <w:color w:val="000000" w:themeColor="text1"/>
          <w:sz w:val="18"/>
          <w:szCs w:val="18"/>
        </w:rPr>
        <w:t xml:space="preserve"> (pozycja wykazywana w WPF w kolumnie 10.11);</w:t>
      </w:r>
    </w:p>
    <w:p w14:paraId="53F90050" w14:textId="77777777" w:rsidR="0069745F" w:rsidRDefault="0069745F" w:rsidP="002C50F3">
      <w:pPr>
        <w:pStyle w:val="Bezodstpw"/>
        <w:ind w:left="1416"/>
        <w:jc w:val="both"/>
        <w:outlineLvl w:val="0"/>
        <w:rPr>
          <w:rFonts w:eastAsia="Times New Roman" w:cstheme="minorHAnsi"/>
          <w:color w:val="000000" w:themeColor="text1"/>
          <w:sz w:val="18"/>
          <w:szCs w:val="18"/>
        </w:rPr>
      </w:pPr>
    </w:p>
    <w:p w14:paraId="30B86729" w14:textId="474618CA" w:rsidR="0069745F" w:rsidRDefault="0069745F" w:rsidP="0069745F">
      <w:pPr>
        <w:autoSpaceDE w:val="0"/>
        <w:autoSpaceDN w:val="0"/>
        <w:adjustRightInd w:val="0"/>
        <w:spacing w:after="0"/>
        <w:ind w:left="1416"/>
        <w:jc w:val="both"/>
        <w:rPr>
          <w:rFonts w:eastAsia="Times New Roman" w:cstheme="minorHAnsi"/>
          <w:b/>
          <w:bCs/>
          <w:color w:val="000000" w:themeColor="text1"/>
          <w:sz w:val="18"/>
          <w:szCs w:val="18"/>
        </w:rPr>
      </w:pPr>
      <w:r w:rsidRPr="001F2D5E">
        <w:rPr>
          <w:rFonts w:eastAsia="Times New Roman" w:cstheme="minorHAnsi"/>
          <w:b/>
          <w:bCs/>
          <w:color w:val="000000" w:themeColor="text1"/>
          <w:sz w:val="18"/>
          <w:szCs w:val="18"/>
        </w:rPr>
        <w:t xml:space="preserve">Odpowiedź: </w:t>
      </w:r>
      <w:r w:rsidR="001F2D5E">
        <w:rPr>
          <w:rFonts w:eastAsia="Times New Roman" w:cstheme="minorHAnsi"/>
          <w:b/>
          <w:bCs/>
          <w:color w:val="000000" w:themeColor="text1"/>
          <w:sz w:val="18"/>
          <w:szCs w:val="18"/>
        </w:rPr>
        <w:t>Kolumna 10.11 w WPF: rok 2020 – 186.639,73 zł; rok 2021: 994,66 zł;</w:t>
      </w:r>
    </w:p>
    <w:p w14:paraId="75EDA67F" w14:textId="44BB08DF" w:rsidR="001F2D5E" w:rsidRPr="001F2D5E" w:rsidRDefault="001F2D5E" w:rsidP="002C50F3">
      <w:pPr>
        <w:autoSpaceDE w:val="0"/>
        <w:autoSpaceDN w:val="0"/>
        <w:adjustRightInd w:val="0"/>
        <w:spacing w:after="0" w:line="240" w:lineRule="auto"/>
        <w:ind w:left="1416"/>
        <w:jc w:val="both"/>
        <w:rPr>
          <w:rFonts w:eastAsia="Times New Roman" w:cstheme="minorHAnsi"/>
          <w:b/>
          <w:bCs/>
          <w:color w:val="000000" w:themeColor="text1"/>
          <w:sz w:val="18"/>
          <w:szCs w:val="18"/>
        </w:rPr>
      </w:pPr>
    </w:p>
    <w:p w14:paraId="645A5E07" w14:textId="77777777" w:rsidR="003A7B31" w:rsidRPr="0069745F" w:rsidRDefault="003A7B31" w:rsidP="003A7B31">
      <w:pPr>
        <w:pStyle w:val="Akapitzlist"/>
        <w:numPr>
          <w:ilvl w:val="0"/>
          <w:numId w:val="6"/>
        </w:numPr>
        <w:autoSpaceDE w:val="0"/>
        <w:autoSpaceDN w:val="0"/>
        <w:adjustRightInd w:val="0"/>
        <w:spacing w:after="0"/>
        <w:jc w:val="both"/>
        <w:rPr>
          <w:rFonts w:eastAsia="Times New Roman" w:cstheme="minorHAnsi"/>
          <w:color w:val="000000" w:themeColor="text1"/>
          <w:sz w:val="18"/>
          <w:szCs w:val="18"/>
        </w:rPr>
      </w:pPr>
      <w:r w:rsidRPr="001D5511">
        <w:rPr>
          <w:rFonts w:cstheme="minorHAnsi"/>
          <w:color w:val="000000" w:themeColor="text1"/>
          <w:sz w:val="18"/>
          <w:szCs w:val="18"/>
        </w:rPr>
        <w:t xml:space="preserve">czy przy wyliczeniu wskaźnika zdefiniowanego w art. 243 </w:t>
      </w:r>
      <w:proofErr w:type="spellStart"/>
      <w:r w:rsidRPr="001D5511">
        <w:rPr>
          <w:rFonts w:cstheme="minorHAnsi"/>
          <w:color w:val="000000" w:themeColor="text1"/>
          <w:sz w:val="18"/>
          <w:szCs w:val="18"/>
        </w:rPr>
        <w:t>Uofp</w:t>
      </w:r>
      <w:proofErr w:type="spellEnd"/>
      <w:r w:rsidRPr="001D5511">
        <w:rPr>
          <w:rFonts w:cstheme="minorHAnsi"/>
          <w:color w:val="000000" w:themeColor="text1"/>
          <w:sz w:val="18"/>
          <w:szCs w:val="18"/>
        </w:rPr>
        <w:t xml:space="preserve"> zastosowano inne wyłączenia, nie wykazane w WPF, które wynikałyby z dodatkowych przepisów dopuszczających ww. wyłączenie? Jeżeli tak prosimy o wskazanie powodu wyłączenia oraz podanie kwot przypadających na poszczególne lata. </w:t>
      </w:r>
    </w:p>
    <w:p w14:paraId="5A71B2C5" w14:textId="77777777" w:rsidR="0069745F" w:rsidRDefault="0069745F" w:rsidP="00461AC9">
      <w:pPr>
        <w:autoSpaceDE w:val="0"/>
        <w:autoSpaceDN w:val="0"/>
        <w:adjustRightInd w:val="0"/>
        <w:spacing w:after="0" w:line="240" w:lineRule="auto"/>
        <w:jc w:val="both"/>
        <w:rPr>
          <w:rFonts w:eastAsia="Times New Roman" w:cstheme="minorHAnsi"/>
          <w:color w:val="000000" w:themeColor="text1"/>
          <w:sz w:val="18"/>
          <w:szCs w:val="18"/>
        </w:rPr>
      </w:pPr>
    </w:p>
    <w:p w14:paraId="183DFBB4" w14:textId="5D4DEB48" w:rsidR="001F2D5E" w:rsidRDefault="001F2D5E" w:rsidP="001F2D5E">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color w:val="000000" w:themeColor="text1"/>
          <w:sz w:val="18"/>
          <w:szCs w:val="18"/>
        </w:rPr>
      </w:pPr>
      <w:r w:rsidRPr="009377FE">
        <w:rPr>
          <w:rFonts w:ascii="Calibri" w:eastAsia="Times New Roman" w:hAnsi="Calibri" w:cs="Times New Roman"/>
          <w:b/>
          <w:bCs/>
          <w:color w:val="000000" w:themeColor="text1"/>
          <w:sz w:val="18"/>
          <w:szCs w:val="18"/>
        </w:rPr>
        <w:t xml:space="preserve">Odpowiedź: Nie </w:t>
      </w:r>
      <w:r w:rsidR="00FF0FA6">
        <w:rPr>
          <w:rFonts w:ascii="Calibri" w:eastAsia="Times New Roman" w:hAnsi="Calibri" w:cs="Times New Roman"/>
          <w:b/>
          <w:bCs/>
          <w:color w:val="000000" w:themeColor="text1"/>
          <w:sz w:val="18"/>
          <w:szCs w:val="18"/>
        </w:rPr>
        <w:t>zastosowano innych wyłączeń</w:t>
      </w:r>
      <w:r w:rsidRPr="009377FE">
        <w:rPr>
          <w:rFonts w:ascii="Calibri" w:eastAsia="Times New Roman" w:hAnsi="Calibri" w:cs="Times New Roman"/>
          <w:b/>
          <w:bCs/>
          <w:color w:val="000000" w:themeColor="text1"/>
          <w:sz w:val="18"/>
          <w:szCs w:val="18"/>
        </w:rPr>
        <w:t>.</w:t>
      </w:r>
    </w:p>
    <w:p w14:paraId="3BC98008" w14:textId="77777777" w:rsidR="001F2D5E" w:rsidRPr="0069745F" w:rsidRDefault="001F2D5E" w:rsidP="00461AC9">
      <w:pPr>
        <w:autoSpaceDE w:val="0"/>
        <w:autoSpaceDN w:val="0"/>
        <w:adjustRightInd w:val="0"/>
        <w:spacing w:after="0" w:line="240" w:lineRule="auto"/>
        <w:jc w:val="both"/>
        <w:rPr>
          <w:rFonts w:eastAsia="Times New Roman" w:cstheme="minorHAnsi"/>
          <w:color w:val="000000" w:themeColor="text1"/>
          <w:sz w:val="18"/>
          <w:szCs w:val="18"/>
        </w:rPr>
      </w:pPr>
    </w:p>
    <w:p w14:paraId="79D61C1D" w14:textId="77777777" w:rsidR="003A7B31" w:rsidRDefault="003A7B31" w:rsidP="003A7B31">
      <w:pPr>
        <w:pStyle w:val="Akapitzlist"/>
        <w:numPr>
          <w:ilvl w:val="0"/>
          <w:numId w:val="2"/>
        </w:num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r w:rsidRPr="004E7D9D">
        <w:rPr>
          <w:rFonts w:eastAsia="Times New Roman" w:cstheme="minorHAnsi"/>
          <w:color w:val="000000" w:themeColor="text1"/>
          <w:sz w:val="18"/>
          <w:szCs w:val="18"/>
        </w:rPr>
        <w:t>Prosimy o wskazanie kwoty środków na uzupełnienie subwencji ogólnej (z tytułu uszczuplenia dochodów podatkowych) otrzymanych w ostatnim wykonanym roku i w planie na koniec roku bieżącego, z podaniem sposobu jej ujęcia w sprawozdaniach</w:t>
      </w:r>
      <w:r w:rsidRPr="001C421E">
        <w:rPr>
          <w:rFonts w:eastAsia="Times New Roman" w:cstheme="minorHAnsi"/>
          <w:color w:val="000000" w:themeColor="text1"/>
          <w:sz w:val="18"/>
          <w:szCs w:val="18"/>
        </w:rPr>
        <w:t>.</w:t>
      </w:r>
    </w:p>
    <w:p w14:paraId="2601821E" w14:textId="77777777" w:rsidR="003A7B31" w:rsidRDefault="003A7B31" w:rsidP="00461AC9">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p>
    <w:p w14:paraId="64A19C57" w14:textId="77777777" w:rsidR="001F2D5E" w:rsidRDefault="001F2D5E" w:rsidP="001F2D5E">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color w:val="000000" w:themeColor="text1"/>
          <w:sz w:val="18"/>
          <w:szCs w:val="18"/>
        </w:rPr>
      </w:pPr>
      <w:r w:rsidRPr="009377FE">
        <w:rPr>
          <w:rFonts w:ascii="Calibri" w:eastAsia="Times New Roman" w:hAnsi="Calibri" w:cs="Times New Roman"/>
          <w:b/>
          <w:bCs/>
          <w:color w:val="000000" w:themeColor="text1"/>
          <w:sz w:val="18"/>
          <w:szCs w:val="18"/>
        </w:rPr>
        <w:t>Odpowiedź: Nie dotyczy.</w:t>
      </w:r>
    </w:p>
    <w:p w14:paraId="22E97CDC" w14:textId="77777777" w:rsidR="003A7B31" w:rsidRDefault="003A7B31" w:rsidP="00461AC9">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rPr>
          <w:rFonts w:eastAsia="Times New Roman" w:cstheme="minorHAnsi"/>
          <w:color w:val="000000" w:themeColor="text1"/>
          <w:sz w:val="18"/>
          <w:szCs w:val="18"/>
        </w:rPr>
      </w:pPr>
    </w:p>
    <w:p w14:paraId="14408433" w14:textId="77777777" w:rsidR="003A7B31" w:rsidRDefault="003A7B31" w:rsidP="003A7B31">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ascii="Calibri" w:eastAsia="Times New Roman" w:hAnsi="Calibri" w:cs="Times New Roman"/>
          <w:b/>
          <w:bCs/>
          <w:sz w:val="18"/>
          <w:szCs w:val="18"/>
        </w:rPr>
      </w:pPr>
      <w:r w:rsidRPr="0093495B">
        <w:rPr>
          <w:rFonts w:ascii="Calibri" w:eastAsia="Times New Roman" w:hAnsi="Calibri" w:cs="Times New Roman"/>
          <w:b/>
          <w:bCs/>
          <w:smallCaps/>
        </w:rPr>
        <w:t xml:space="preserve">Pytania dotyczące podmiotów powiązanych </w:t>
      </w:r>
    </w:p>
    <w:p w14:paraId="0A1C462A" w14:textId="77777777" w:rsidR="003A7B31" w:rsidRDefault="003A7B31" w:rsidP="003A7B31">
      <w:pPr>
        <w:tabs>
          <w:tab w:val="left" w:pos="282"/>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jc w:val="center"/>
        <w:rPr>
          <w:rFonts w:ascii="Calibri" w:eastAsia="Times New Roman" w:hAnsi="Calibri" w:cs="Times New Roman"/>
          <w:b/>
          <w:bCs/>
          <w:color w:val="00B050"/>
          <w:sz w:val="18"/>
          <w:szCs w:val="18"/>
        </w:rPr>
      </w:pPr>
    </w:p>
    <w:p w14:paraId="79BC5E1F" w14:textId="77777777" w:rsidR="003A7B31" w:rsidRDefault="003A7B31" w:rsidP="003A7B31">
      <w:pPr>
        <w:pStyle w:val="Akapitzlist"/>
        <w:numPr>
          <w:ilvl w:val="0"/>
          <w:numId w:val="3"/>
        </w:numPr>
        <w:autoSpaceDE w:val="0"/>
        <w:autoSpaceDN w:val="0"/>
        <w:adjustRightInd w:val="0"/>
        <w:spacing w:after="0"/>
        <w:ind w:left="709" w:right="34"/>
        <w:jc w:val="both"/>
        <w:textAlignment w:val="center"/>
        <w:outlineLvl w:val="0"/>
        <w:rPr>
          <w:rFonts w:eastAsia="Times New Roman" w:cs="Times New Roman"/>
          <w:spacing w:val="-2"/>
          <w:sz w:val="18"/>
          <w:szCs w:val="18"/>
        </w:rPr>
      </w:pPr>
      <w:r w:rsidRPr="0093495B">
        <w:rPr>
          <w:rFonts w:eastAsia="Times New Roman" w:cs="Times New Roman"/>
          <w:spacing w:val="-2"/>
          <w:sz w:val="18"/>
          <w:szCs w:val="18"/>
        </w:rPr>
        <w:t>Prosimy o</w:t>
      </w:r>
      <w:r>
        <w:rPr>
          <w:rFonts w:eastAsia="Times New Roman" w:cs="Times New Roman"/>
          <w:spacing w:val="-2"/>
          <w:sz w:val="18"/>
          <w:szCs w:val="18"/>
        </w:rPr>
        <w:t>:</w:t>
      </w:r>
    </w:p>
    <w:p w14:paraId="4A73B330" w14:textId="77777777" w:rsidR="003A7B31" w:rsidRDefault="003A7B31" w:rsidP="003A7B31">
      <w:pPr>
        <w:pStyle w:val="Akapitzlist"/>
        <w:numPr>
          <w:ilvl w:val="0"/>
          <w:numId w:val="7"/>
        </w:numPr>
        <w:autoSpaceDE w:val="0"/>
        <w:autoSpaceDN w:val="0"/>
        <w:adjustRightInd w:val="0"/>
        <w:spacing w:after="0"/>
        <w:ind w:right="34"/>
        <w:jc w:val="both"/>
        <w:textAlignment w:val="center"/>
        <w:outlineLvl w:val="0"/>
        <w:rPr>
          <w:rFonts w:eastAsia="Times New Roman" w:cs="Times New Roman"/>
          <w:spacing w:val="-2"/>
          <w:sz w:val="18"/>
          <w:szCs w:val="18"/>
        </w:rPr>
      </w:pPr>
      <w:r w:rsidRPr="0093495B">
        <w:rPr>
          <w:rFonts w:eastAsia="Times New Roman" w:cs="Times New Roman"/>
          <w:spacing w:val="-2"/>
          <w:sz w:val="18"/>
          <w:szCs w:val="18"/>
        </w:rPr>
        <w:t xml:space="preserve">podanie aktualnego wykazu podmiotów powiązanych kapitałowo z </w:t>
      </w:r>
      <w:r>
        <w:rPr>
          <w:rFonts w:eastAsia="Times New Roman" w:cs="Times New Roman"/>
          <w:spacing w:val="-2"/>
          <w:sz w:val="18"/>
          <w:szCs w:val="18"/>
        </w:rPr>
        <w:t>gminą wraz z podaniem nr regon i % w kapitałach;</w:t>
      </w:r>
    </w:p>
    <w:p w14:paraId="1817F18D" w14:textId="77777777" w:rsidR="008F2003" w:rsidRDefault="008F2003" w:rsidP="00461AC9">
      <w:pPr>
        <w:autoSpaceDE w:val="0"/>
        <w:autoSpaceDN w:val="0"/>
        <w:adjustRightInd w:val="0"/>
        <w:spacing w:after="0" w:line="240" w:lineRule="auto"/>
        <w:ind w:right="34"/>
        <w:jc w:val="both"/>
        <w:textAlignment w:val="center"/>
        <w:outlineLvl w:val="0"/>
        <w:rPr>
          <w:rFonts w:eastAsia="Times New Roman" w:cs="Times New Roman"/>
          <w:spacing w:val="-2"/>
          <w:sz w:val="18"/>
          <w:szCs w:val="18"/>
        </w:rPr>
      </w:pPr>
    </w:p>
    <w:tbl>
      <w:tblPr>
        <w:tblW w:w="4966" w:type="pct"/>
        <w:tblInd w:w="70" w:type="dxa"/>
        <w:tblBorders>
          <w:top w:val="single" w:sz="4" w:space="0" w:color="CAD238"/>
          <w:left w:val="single" w:sz="4" w:space="0" w:color="CAD238"/>
          <w:bottom w:val="single" w:sz="4" w:space="0" w:color="CAD238"/>
          <w:right w:val="single" w:sz="4" w:space="0" w:color="CAD238"/>
          <w:insideH w:val="single" w:sz="4" w:space="0" w:color="CAD238"/>
          <w:insideV w:val="single" w:sz="4" w:space="0" w:color="CAD238"/>
        </w:tblBorders>
        <w:tblCellMar>
          <w:left w:w="70" w:type="dxa"/>
          <w:right w:w="70" w:type="dxa"/>
        </w:tblCellMar>
        <w:tblLook w:val="0000" w:firstRow="0" w:lastRow="0" w:firstColumn="0" w:lastColumn="0" w:noHBand="0" w:noVBand="0"/>
      </w:tblPr>
      <w:tblGrid>
        <w:gridCol w:w="3926"/>
        <w:gridCol w:w="1937"/>
        <w:gridCol w:w="2367"/>
        <w:gridCol w:w="2308"/>
      </w:tblGrid>
      <w:tr w:rsidR="002C50F3" w:rsidRPr="002C50F3" w14:paraId="0F0422AD" w14:textId="77777777" w:rsidTr="00D47E48">
        <w:trPr>
          <w:trHeight w:val="431"/>
        </w:trPr>
        <w:tc>
          <w:tcPr>
            <w:tcW w:w="1863" w:type="pct"/>
            <w:shd w:val="clear" w:color="auto" w:fill="BFBFBF"/>
            <w:vAlign w:val="center"/>
          </w:tcPr>
          <w:p w14:paraId="2988D931"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Nazwa podmiotu</w:t>
            </w:r>
          </w:p>
        </w:tc>
        <w:tc>
          <w:tcPr>
            <w:tcW w:w="919" w:type="pct"/>
            <w:shd w:val="clear" w:color="auto" w:fill="BFBFBF"/>
            <w:vAlign w:val="center"/>
          </w:tcPr>
          <w:p w14:paraId="02010632"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REGON</w:t>
            </w:r>
          </w:p>
        </w:tc>
        <w:tc>
          <w:tcPr>
            <w:tcW w:w="1123" w:type="pct"/>
            <w:shd w:val="clear" w:color="auto" w:fill="BFBFBF"/>
            <w:vAlign w:val="center"/>
          </w:tcPr>
          <w:p w14:paraId="7C575406"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 xml:space="preserve">Wartość udziałów </w:t>
            </w:r>
          </w:p>
          <w:p w14:paraId="3D3F5C4C"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[w tys. PLN]</w:t>
            </w:r>
          </w:p>
        </w:tc>
        <w:tc>
          <w:tcPr>
            <w:tcW w:w="1095" w:type="pct"/>
            <w:shd w:val="clear" w:color="auto" w:fill="BFBFBF"/>
            <w:vAlign w:val="center"/>
          </w:tcPr>
          <w:p w14:paraId="42C4B297"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 udziałów w kapitale podmiotu</w:t>
            </w:r>
          </w:p>
        </w:tc>
      </w:tr>
      <w:tr w:rsidR="002C50F3" w:rsidRPr="002C50F3" w14:paraId="4F579752" w14:textId="77777777" w:rsidTr="00D47E48">
        <w:trPr>
          <w:trHeight w:val="223"/>
        </w:trPr>
        <w:tc>
          <w:tcPr>
            <w:tcW w:w="1863" w:type="pct"/>
          </w:tcPr>
          <w:p w14:paraId="2CB2F5D4" w14:textId="77777777" w:rsidR="002C50F3" w:rsidRPr="002C50F3" w:rsidRDefault="002C50F3" w:rsidP="002C50F3">
            <w:pPr>
              <w:spacing w:after="0" w:line="240" w:lineRule="auto"/>
              <w:rPr>
                <w:rFonts w:ascii="Calibri" w:eastAsia="Times New Roman" w:hAnsi="Calibri" w:cs="Calibri"/>
                <w:sz w:val="20"/>
                <w:szCs w:val="20"/>
              </w:rPr>
            </w:pPr>
            <w:r w:rsidRPr="002C50F3">
              <w:rPr>
                <w:rFonts w:ascii="Calibri" w:eastAsia="Times New Roman" w:hAnsi="Calibri" w:cs="Calibri"/>
                <w:sz w:val="20"/>
                <w:szCs w:val="20"/>
              </w:rPr>
              <w:t>PRZEDSIĘBIORSTWO KOMUNIKACJI SAMOCHODOWEJ ZŁOCIENIEC SP.Z O.O.</w:t>
            </w:r>
          </w:p>
        </w:tc>
        <w:tc>
          <w:tcPr>
            <w:tcW w:w="919" w:type="pct"/>
          </w:tcPr>
          <w:p w14:paraId="688D9B95"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321458176</w:t>
            </w:r>
          </w:p>
        </w:tc>
        <w:tc>
          <w:tcPr>
            <w:tcW w:w="1123" w:type="pct"/>
          </w:tcPr>
          <w:p w14:paraId="1B968D9B"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333,7</w:t>
            </w:r>
          </w:p>
        </w:tc>
        <w:tc>
          <w:tcPr>
            <w:tcW w:w="1095" w:type="pct"/>
          </w:tcPr>
          <w:p w14:paraId="79C32B0D" w14:textId="77777777" w:rsidR="002C50F3" w:rsidRPr="002C50F3" w:rsidRDefault="002C50F3" w:rsidP="002C50F3">
            <w:pPr>
              <w:spacing w:after="0" w:line="240" w:lineRule="auto"/>
              <w:jc w:val="center"/>
              <w:rPr>
                <w:rFonts w:ascii="Calibri" w:eastAsia="Times New Roman" w:hAnsi="Calibri" w:cs="Calibri"/>
                <w:sz w:val="20"/>
                <w:szCs w:val="20"/>
              </w:rPr>
            </w:pPr>
            <w:r w:rsidRPr="002C50F3">
              <w:rPr>
                <w:rFonts w:ascii="Calibri" w:eastAsia="Times New Roman" w:hAnsi="Calibri" w:cs="Calibri"/>
                <w:sz w:val="20"/>
                <w:szCs w:val="20"/>
              </w:rPr>
              <w:t>10,12</w:t>
            </w:r>
          </w:p>
        </w:tc>
      </w:tr>
    </w:tbl>
    <w:p w14:paraId="2FB463F0" w14:textId="77777777" w:rsidR="008F2003" w:rsidRDefault="008F2003" w:rsidP="00461AC9">
      <w:pPr>
        <w:autoSpaceDE w:val="0"/>
        <w:autoSpaceDN w:val="0"/>
        <w:adjustRightInd w:val="0"/>
        <w:spacing w:after="0" w:line="240" w:lineRule="auto"/>
        <w:ind w:right="34"/>
        <w:jc w:val="both"/>
        <w:textAlignment w:val="center"/>
        <w:outlineLvl w:val="0"/>
        <w:rPr>
          <w:rFonts w:eastAsia="Times New Roman" w:cs="Times New Roman"/>
          <w:spacing w:val="-2"/>
          <w:sz w:val="18"/>
          <w:szCs w:val="18"/>
        </w:rPr>
      </w:pPr>
    </w:p>
    <w:p w14:paraId="53AE0FE1" w14:textId="77777777" w:rsidR="003A7B31" w:rsidRDefault="003A7B31" w:rsidP="003A7B31">
      <w:pPr>
        <w:pStyle w:val="Akapitzlist"/>
        <w:numPr>
          <w:ilvl w:val="0"/>
          <w:numId w:val="7"/>
        </w:numPr>
        <w:spacing w:before="40" w:after="0"/>
        <w:jc w:val="both"/>
        <w:rPr>
          <w:rFonts w:ascii="Calibri" w:eastAsia="Times New Roman" w:hAnsi="Calibri" w:cs="Times New Roman"/>
          <w:sz w:val="18"/>
          <w:szCs w:val="18"/>
        </w:rPr>
      </w:pPr>
      <w:r w:rsidRPr="002A7AED">
        <w:rPr>
          <w:rFonts w:ascii="Calibri" w:eastAsia="Times New Roman" w:hAnsi="Calibri" w:cs="Times New Roman"/>
          <w:sz w:val="18"/>
          <w:szCs w:val="18"/>
        </w:rPr>
        <w:t xml:space="preserve">informację, czy w przeszłości wystąpiły lub planowane są przejęcia z mocy prawa przez Państwo zadłużenia po podmiocie, dla którego Państwo </w:t>
      </w:r>
      <w:r>
        <w:rPr>
          <w:rFonts w:ascii="Calibri" w:eastAsia="Times New Roman" w:hAnsi="Calibri" w:cs="Times New Roman"/>
          <w:sz w:val="18"/>
          <w:szCs w:val="18"/>
        </w:rPr>
        <w:t>są/</w:t>
      </w:r>
      <w:r w:rsidRPr="002A7AED">
        <w:rPr>
          <w:rFonts w:ascii="Calibri" w:eastAsia="Times New Roman" w:hAnsi="Calibri" w:cs="Times New Roman"/>
          <w:sz w:val="18"/>
          <w:szCs w:val="18"/>
        </w:rPr>
        <w:t>byli podmiotem założycielskim/na podstawie umowy z wierzycielem spółki prawa</w:t>
      </w:r>
      <w:r>
        <w:rPr>
          <w:rFonts w:ascii="Calibri" w:eastAsia="Times New Roman" w:hAnsi="Calibri" w:cs="Times New Roman"/>
          <w:sz w:val="18"/>
          <w:szCs w:val="18"/>
        </w:rPr>
        <w:t xml:space="preserve"> </w:t>
      </w:r>
      <w:r w:rsidRPr="002A7AED">
        <w:rPr>
          <w:rFonts w:ascii="Calibri" w:eastAsia="Times New Roman" w:hAnsi="Calibri" w:cs="Times New Roman"/>
          <w:sz w:val="18"/>
          <w:szCs w:val="18"/>
        </w:rPr>
        <w:t>handlowego/</w:t>
      </w:r>
      <w:r>
        <w:rPr>
          <w:rFonts w:ascii="Calibri" w:eastAsia="Times New Roman" w:hAnsi="Calibri" w:cs="Times New Roman"/>
          <w:sz w:val="18"/>
          <w:szCs w:val="18"/>
        </w:rPr>
        <w:t xml:space="preserve"> </w:t>
      </w:r>
      <w:r w:rsidRPr="00E7229B">
        <w:rPr>
          <w:rFonts w:ascii="Calibri" w:eastAsia="Times New Roman" w:hAnsi="Calibri" w:cs="Times New Roman"/>
          <w:sz w:val="18"/>
          <w:szCs w:val="18"/>
        </w:rPr>
        <w:t>stowarzyszenia tj. czy Państwo wstąpili/wstąpią na miejsce dłużnika, który został/zostanie z długu zwolniony.</w:t>
      </w:r>
    </w:p>
    <w:p w14:paraId="6EF937D9" w14:textId="77777777" w:rsidR="002C50F3" w:rsidRPr="002C50F3" w:rsidRDefault="002C50F3" w:rsidP="00461AC9">
      <w:pPr>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107"/>
        <w:jc w:val="both"/>
        <w:rPr>
          <w:rFonts w:ascii="Calibri" w:eastAsia="Times New Roman" w:hAnsi="Calibri" w:cs="Times New Roman"/>
          <w:color w:val="000000" w:themeColor="text1"/>
          <w:sz w:val="18"/>
          <w:szCs w:val="18"/>
        </w:rPr>
      </w:pPr>
    </w:p>
    <w:p w14:paraId="563BE3E4" w14:textId="410B70F5" w:rsidR="002C50F3" w:rsidRDefault="002C50F3"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b/>
          <w:bCs/>
          <w:color w:val="000000" w:themeColor="text1"/>
          <w:sz w:val="18"/>
          <w:szCs w:val="18"/>
        </w:rPr>
      </w:pPr>
      <w:r w:rsidRPr="002C50F3">
        <w:rPr>
          <w:rFonts w:ascii="Calibri" w:eastAsia="Times New Roman" w:hAnsi="Calibri" w:cs="Times New Roman"/>
          <w:b/>
          <w:bCs/>
          <w:color w:val="000000" w:themeColor="text1"/>
          <w:sz w:val="18"/>
          <w:szCs w:val="18"/>
        </w:rPr>
        <w:t>Odpowiedź: Nie dotyczy.</w:t>
      </w:r>
    </w:p>
    <w:p w14:paraId="08B0CF99" w14:textId="77777777" w:rsidR="002D682F" w:rsidRDefault="002D682F"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b/>
          <w:bCs/>
          <w:color w:val="000000" w:themeColor="text1"/>
          <w:sz w:val="18"/>
          <w:szCs w:val="18"/>
        </w:rPr>
      </w:pPr>
    </w:p>
    <w:p w14:paraId="0218C4C7" w14:textId="77777777" w:rsidR="002D682F" w:rsidRDefault="002D682F"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b/>
          <w:bCs/>
          <w:color w:val="000000" w:themeColor="text1"/>
          <w:sz w:val="18"/>
          <w:szCs w:val="18"/>
        </w:rPr>
      </w:pPr>
    </w:p>
    <w:p w14:paraId="0B41AF82" w14:textId="77777777" w:rsidR="002D682F" w:rsidRDefault="002D682F" w:rsidP="002C50F3">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ind w:left="1482"/>
        <w:jc w:val="both"/>
        <w:rPr>
          <w:rFonts w:ascii="Calibri" w:eastAsia="Times New Roman" w:hAnsi="Calibri" w:cs="Times New Roman"/>
          <w:b/>
          <w:bCs/>
          <w:color w:val="000000" w:themeColor="text1"/>
          <w:sz w:val="18"/>
          <w:szCs w:val="18"/>
        </w:rPr>
      </w:pPr>
    </w:p>
    <w:p w14:paraId="302B9A99" w14:textId="5B28E598" w:rsidR="002D682F" w:rsidRPr="002D682F" w:rsidRDefault="002D682F" w:rsidP="002D682F">
      <w:pPr>
        <w:spacing w:after="0" w:line="240" w:lineRule="auto"/>
        <w:jc w:val="center"/>
        <w:rPr>
          <w:rFonts w:ascii="Calibri" w:eastAsia="Times New Roman" w:hAnsi="Calibri" w:cs="Calibri"/>
          <w:b/>
          <w:color w:val="A6A6A6"/>
          <w:sz w:val="24"/>
          <w:szCs w:val="24"/>
        </w:rPr>
      </w:pPr>
      <w:r>
        <w:rPr>
          <w:rFonts w:ascii="Calibri" w:eastAsia="Times New Roman" w:hAnsi="Calibri" w:cs="Calibri"/>
          <w:b/>
          <w:color w:val="A6A6A6"/>
          <w:sz w:val="24"/>
          <w:szCs w:val="24"/>
        </w:rPr>
        <w:t xml:space="preserve">                                                                                              </w:t>
      </w:r>
      <w:r w:rsidRPr="002D682F">
        <w:rPr>
          <w:rFonts w:ascii="Calibri" w:eastAsia="Times New Roman" w:hAnsi="Calibri" w:cs="Calibri"/>
          <w:b/>
          <w:color w:val="A6A6A6"/>
          <w:sz w:val="24"/>
          <w:szCs w:val="24"/>
        </w:rPr>
        <w:t>Bur</w:t>
      </w:r>
      <w:r>
        <w:rPr>
          <w:rFonts w:ascii="Calibri" w:eastAsia="Times New Roman" w:hAnsi="Calibri" w:cs="Calibri"/>
          <w:b/>
          <w:color w:val="A6A6A6"/>
          <w:sz w:val="24"/>
          <w:szCs w:val="24"/>
        </w:rPr>
        <w:t>mistrz Kalisza Pomorskiego</w:t>
      </w:r>
    </w:p>
    <w:p w14:paraId="4AFCD8F3" w14:textId="77777777" w:rsidR="002D682F" w:rsidRDefault="002D682F" w:rsidP="002D682F">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82"/>
        <w:jc w:val="right"/>
        <w:rPr>
          <w:rFonts w:ascii="Calibri" w:eastAsia="Times New Roman" w:hAnsi="Calibri" w:cs="Calibri"/>
          <w:b/>
          <w:color w:val="A6A6A6"/>
          <w:sz w:val="24"/>
          <w:szCs w:val="24"/>
        </w:rPr>
      </w:pPr>
      <w:r>
        <w:rPr>
          <w:rFonts w:ascii="Calibri" w:eastAsia="Times New Roman" w:hAnsi="Calibri" w:cs="Calibri"/>
          <w:b/>
          <w:color w:val="A6A6A6"/>
          <w:sz w:val="24"/>
          <w:szCs w:val="24"/>
        </w:rPr>
        <w:t xml:space="preserve">     </w:t>
      </w:r>
      <w:r w:rsidRPr="002D682F">
        <w:rPr>
          <w:rFonts w:ascii="Calibri" w:eastAsia="Times New Roman" w:hAnsi="Calibri" w:cs="Calibri"/>
          <w:b/>
          <w:color w:val="A6A6A6"/>
          <w:sz w:val="24"/>
          <w:szCs w:val="24"/>
        </w:rPr>
        <w:t xml:space="preserve"> </w:t>
      </w:r>
    </w:p>
    <w:p w14:paraId="71F6BDF5" w14:textId="47AFE9EF" w:rsidR="002D682F" w:rsidRPr="002C50F3" w:rsidRDefault="002D682F" w:rsidP="002D682F">
      <w:pPr>
        <w:pStyle w:val="Akapitzlist"/>
        <w:tabs>
          <w:tab w:val="left" w:pos="9638"/>
          <w:tab w:val="left" w:pos="11055"/>
          <w:tab w:val="left" w:pos="14501"/>
          <w:tab w:val="left" w:pos="16058"/>
          <w:tab w:val="left" w:pos="17613"/>
          <w:tab w:val="left" w:pos="19167"/>
          <w:tab w:val="left" w:pos="19327"/>
          <w:tab w:val="left" w:pos="19487"/>
          <w:tab w:val="left" w:pos="19647"/>
          <w:tab w:val="left" w:pos="19807"/>
        </w:tabs>
        <w:spacing w:after="0" w:line="240" w:lineRule="auto"/>
        <w:ind w:left="1482"/>
        <w:jc w:val="center"/>
        <w:rPr>
          <w:rFonts w:ascii="Calibri" w:eastAsia="Times New Roman" w:hAnsi="Calibri" w:cs="Times New Roman"/>
          <w:color w:val="000000" w:themeColor="text1"/>
          <w:sz w:val="18"/>
          <w:szCs w:val="18"/>
        </w:rPr>
      </w:pPr>
      <w:r>
        <w:rPr>
          <w:rFonts w:ascii="Calibri" w:eastAsia="Times New Roman" w:hAnsi="Calibri" w:cs="Calibri"/>
          <w:b/>
          <w:color w:val="A6A6A6"/>
          <w:sz w:val="24"/>
          <w:szCs w:val="24"/>
        </w:rPr>
        <w:t xml:space="preserve">                                                                   </w:t>
      </w:r>
      <w:r w:rsidRPr="002D682F">
        <w:rPr>
          <w:rFonts w:ascii="Calibri" w:eastAsia="Times New Roman" w:hAnsi="Calibri" w:cs="Calibri"/>
          <w:b/>
          <w:color w:val="A6A6A6"/>
          <w:sz w:val="24"/>
          <w:szCs w:val="24"/>
        </w:rPr>
        <w:t xml:space="preserve"> Janusz Garbacz</w:t>
      </w:r>
    </w:p>
    <w:p w14:paraId="1E18D08F" w14:textId="77777777" w:rsidR="001A2DB4" w:rsidRDefault="001A2DB4" w:rsidP="002D682F">
      <w:pPr>
        <w:pStyle w:val="Nagwek"/>
        <w:rPr>
          <w:rFonts w:cstheme="minorHAnsi"/>
          <w:sz w:val="18"/>
          <w:szCs w:val="18"/>
        </w:rPr>
      </w:pPr>
    </w:p>
    <w:p w14:paraId="3905AF67" w14:textId="77777777" w:rsidR="001A2DB4" w:rsidRDefault="001A2DB4" w:rsidP="003A7B31">
      <w:pPr>
        <w:pStyle w:val="Nagwek"/>
        <w:rPr>
          <w:rFonts w:cstheme="minorHAnsi"/>
          <w:sz w:val="18"/>
          <w:szCs w:val="18"/>
        </w:rPr>
      </w:pPr>
    </w:p>
    <w:p w14:paraId="2A26D7C3" w14:textId="77777777" w:rsidR="001A2DB4" w:rsidRDefault="001A2DB4" w:rsidP="003A7B31">
      <w:pPr>
        <w:pStyle w:val="Nagwek"/>
        <w:rPr>
          <w:rFonts w:cstheme="minorHAnsi"/>
          <w:sz w:val="18"/>
          <w:szCs w:val="18"/>
        </w:rPr>
      </w:pPr>
      <w:bookmarkStart w:id="1" w:name="_GoBack"/>
      <w:bookmarkEnd w:id="1"/>
    </w:p>
    <w:p w14:paraId="2F302969" w14:textId="77777777" w:rsidR="001A2DB4" w:rsidRDefault="001A2DB4" w:rsidP="003A7B31">
      <w:pPr>
        <w:pStyle w:val="Nagwek"/>
        <w:rPr>
          <w:rFonts w:cstheme="minorHAnsi"/>
          <w:sz w:val="18"/>
          <w:szCs w:val="18"/>
        </w:rPr>
      </w:pPr>
    </w:p>
    <w:p w14:paraId="7DB84CFD" w14:textId="77777777" w:rsidR="003A7B31" w:rsidRPr="00D738F6" w:rsidRDefault="003A7B31" w:rsidP="003A7B31">
      <w:pPr>
        <w:pStyle w:val="Nagwek"/>
        <w:rPr>
          <w:rFonts w:cstheme="minorHAnsi"/>
          <w:sz w:val="18"/>
          <w:szCs w:val="18"/>
        </w:rPr>
      </w:pPr>
      <w:r w:rsidRPr="00D738F6">
        <w:rPr>
          <w:rFonts w:cstheme="minorHAnsi"/>
          <w:sz w:val="18"/>
          <w:szCs w:val="18"/>
        </w:rPr>
        <w:t>Załącznik nr 1 do Umowy ………………………. nr……………………… z dnia ………………………………</w:t>
      </w:r>
    </w:p>
    <w:p w14:paraId="226E794D" w14:textId="77777777" w:rsidR="003A7B31" w:rsidRPr="00D738F6" w:rsidRDefault="003A7B31" w:rsidP="003A7B31">
      <w:pPr>
        <w:spacing w:after="0" w:line="360" w:lineRule="auto"/>
        <w:rPr>
          <w:rFonts w:ascii="Arial" w:hAnsi="Arial" w:cs="Arial"/>
          <w:bCs/>
          <w:sz w:val="16"/>
          <w:szCs w:val="16"/>
        </w:rPr>
      </w:pPr>
    </w:p>
    <w:p w14:paraId="03304E53" w14:textId="77777777" w:rsidR="003A7B31" w:rsidRPr="00D738F6" w:rsidRDefault="003A7B31" w:rsidP="003A7B31">
      <w:pPr>
        <w:spacing w:line="360" w:lineRule="auto"/>
        <w:rPr>
          <w:rFonts w:ascii="Arial" w:hAnsi="Arial" w:cs="Arial"/>
          <w:bCs/>
          <w:sz w:val="16"/>
          <w:szCs w:val="16"/>
        </w:rPr>
      </w:pPr>
    </w:p>
    <w:p w14:paraId="6F398756" w14:textId="77777777" w:rsidR="003A7B31" w:rsidRPr="00D738F6" w:rsidRDefault="003A7B31" w:rsidP="003A7B31">
      <w:pPr>
        <w:spacing w:line="360" w:lineRule="auto"/>
        <w:rPr>
          <w:rFonts w:ascii="Arial" w:hAnsi="Arial" w:cs="Arial"/>
          <w:bCs/>
          <w:sz w:val="16"/>
          <w:szCs w:val="16"/>
        </w:rPr>
      </w:pPr>
      <w:r w:rsidRPr="001A2DB4">
        <w:rPr>
          <w:rFonts w:ascii="Arial" w:hAnsi="Arial" w:cs="Arial"/>
          <w:bCs/>
          <w:sz w:val="16"/>
          <w:szCs w:val="16"/>
          <w:highlight w:val="black"/>
        </w:rPr>
        <w:t>KRED/KORP/WIBOR/002</w:t>
      </w:r>
    </w:p>
    <w:p w14:paraId="0D09EF80" w14:textId="77777777" w:rsidR="003A7B31" w:rsidRPr="00D738F6" w:rsidRDefault="003A7B31" w:rsidP="003A7B31">
      <w:pPr>
        <w:spacing w:line="360" w:lineRule="auto"/>
        <w:jc w:val="center"/>
        <w:rPr>
          <w:rFonts w:ascii="Arial" w:hAnsi="Arial" w:cs="Arial"/>
          <w:sz w:val="18"/>
          <w:szCs w:val="18"/>
        </w:rPr>
      </w:pPr>
      <w:r w:rsidRPr="00D738F6">
        <w:rPr>
          <w:rFonts w:ascii="Arial" w:hAnsi="Arial" w:cs="Arial"/>
          <w:b/>
          <w:bCs/>
          <w:sz w:val="18"/>
          <w:szCs w:val="18"/>
        </w:rPr>
        <w:t>Klauzula awaryjna na wypadek braku możliwości dalszego stosowania wskaźnika referencyjnego</w:t>
      </w:r>
    </w:p>
    <w:p w14:paraId="5135B247" w14:textId="77777777" w:rsidR="003A7B31" w:rsidRPr="00D738F6" w:rsidRDefault="003A7B31" w:rsidP="003A7B31">
      <w:pPr>
        <w:spacing w:line="360" w:lineRule="auto"/>
        <w:jc w:val="center"/>
        <w:rPr>
          <w:rFonts w:ascii="Arial" w:hAnsi="Arial" w:cs="Arial"/>
          <w:b/>
          <w:bCs/>
          <w:sz w:val="18"/>
          <w:szCs w:val="18"/>
        </w:rPr>
      </w:pPr>
      <w:r w:rsidRPr="00D738F6">
        <w:rPr>
          <w:rFonts w:ascii="Arial" w:hAnsi="Arial" w:cs="Arial"/>
          <w:b/>
          <w:bCs/>
          <w:sz w:val="18"/>
          <w:szCs w:val="18"/>
        </w:rPr>
        <w:t>§1.</w:t>
      </w:r>
    </w:p>
    <w:p w14:paraId="14053127" w14:textId="77777777" w:rsidR="003A7B31" w:rsidRPr="00D738F6" w:rsidRDefault="003A7B31" w:rsidP="003A7B31">
      <w:pPr>
        <w:spacing w:line="360" w:lineRule="auto"/>
        <w:jc w:val="both"/>
        <w:rPr>
          <w:rFonts w:ascii="Arial" w:hAnsi="Arial" w:cs="Arial"/>
          <w:sz w:val="18"/>
          <w:szCs w:val="18"/>
        </w:rPr>
      </w:pPr>
      <w:r w:rsidRPr="00D738F6">
        <w:rPr>
          <w:rFonts w:ascii="Arial" w:hAnsi="Arial" w:cs="Arial"/>
          <w:sz w:val="18"/>
          <w:szCs w:val="18"/>
        </w:rPr>
        <w:t>Niniejszy Załącznik nr 1 do Umowy, stanowiący integralną część Umowy, zwany dalej „</w:t>
      </w:r>
      <w:r w:rsidRPr="00D738F6">
        <w:rPr>
          <w:rFonts w:ascii="Arial" w:hAnsi="Arial" w:cs="Arial"/>
          <w:b/>
          <w:bCs/>
          <w:sz w:val="18"/>
          <w:szCs w:val="18"/>
        </w:rPr>
        <w:t>Zasadami</w:t>
      </w:r>
      <w:r w:rsidRPr="00D738F6">
        <w:rPr>
          <w:rFonts w:ascii="Arial" w:hAnsi="Arial" w:cs="Arial"/>
          <w:sz w:val="18"/>
          <w:szCs w:val="18"/>
        </w:rPr>
        <w:t xml:space="preserve">”, stanowi zbiór zasad postępowania </w:t>
      </w:r>
      <w:r w:rsidRPr="0074580C">
        <w:rPr>
          <w:rFonts w:ascii="Arial" w:hAnsi="Arial" w:cs="Arial"/>
          <w:sz w:val="18"/>
          <w:szCs w:val="18"/>
          <w:highlight w:val="black"/>
        </w:rPr>
        <w:t>BGK</w:t>
      </w:r>
      <w:r w:rsidRPr="00D738F6">
        <w:rPr>
          <w:rFonts w:ascii="Arial" w:hAnsi="Arial" w:cs="Arial"/>
          <w:sz w:val="18"/>
          <w:szCs w:val="18"/>
        </w:rPr>
        <w:t xml:space="preserve"> w przypadku czasowego lub trwałego zaprzestania opracowywania Stawki Bazowej lub zmiany metody jej obliczania. </w:t>
      </w:r>
    </w:p>
    <w:p w14:paraId="263B531A"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§2.</w:t>
      </w:r>
    </w:p>
    <w:p w14:paraId="4CEFCD2F"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Definicje</w:t>
      </w:r>
    </w:p>
    <w:p w14:paraId="269F5B84" w14:textId="77777777" w:rsidR="003A7B31" w:rsidRPr="00D738F6" w:rsidRDefault="003A7B31" w:rsidP="003A7B31">
      <w:pPr>
        <w:spacing w:line="360" w:lineRule="auto"/>
        <w:jc w:val="both"/>
        <w:rPr>
          <w:rFonts w:ascii="Arial" w:hAnsi="Arial" w:cs="Arial"/>
          <w:sz w:val="18"/>
          <w:szCs w:val="18"/>
        </w:rPr>
      </w:pPr>
      <w:r w:rsidRPr="00D738F6">
        <w:rPr>
          <w:rFonts w:ascii="Arial" w:hAnsi="Arial" w:cs="Arial"/>
          <w:sz w:val="18"/>
          <w:szCs w:val="18"/>
        </w:rPr>
        <w:t xml:space="preserve">Wyrażenia pisane wielką literą w niniejszych Zasadach, mają znaczenie określone poniżej i zastępują wyrażenia odmiennie zdefiniowane w Umowie: </w:t>
      </w:r>
    </w:p>
    <w:p w14:paraId="4A86AFD1"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sz w:val="18"/>
          <w:szCs w:val="18"/>
          <w:lang w:val="pl-PL"/>
        </w:rPr>
        <w:t>Administrator</w:t>
      </w:r>
      <w:r w:rsidRPr="00D738F6">
        <w:rPr>
          <w:rFonts w:ascii="Arial" w:hAnsi="Arial" w:cs="Arial"/>
          <w:sz w:val="18"/>
          <w:szCs w:val="18"/>
          <w:lang w:val="pl-PL"/>
        </w:rPr>
        <w:t xml:space="preserve"> – oznacza podmiot sprawujący kontrolę nad opracowywaniem Wskaźnika;</w:t>
      </w:r>
    </w:p>
    <w:p w14:paraId="2C13CF1A"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sz w:val="18"/>
          <w:szCs w:val="18"/>
          <w:lang w:val="pl-PL"/>
        </w:rPr>
        <w:t>BMR</w:t>
      </w:r>
      <w:r w:rsidRPr="00D738F6">
        <w:rPr>
          <w:rFonts w:ascii="Arial" w:hAnsi="Arial" w:cs="Arial"/>
          <w:sz w:val="18"/>
          <w:szCs w:val="18"/>
          <w:lang w:val="pl-PL"/>
        </w:rPr>
        <w:t xml:space="preserve"> – oznacza Rozporządzenie Parlamentu Europejskiego i Rady (EU) 2016/1011 z dnia 8 czerwca 2016 r. w sprawie indeksów stosowanych jako wskaźniki referencyjne w instrumentach finansowych i umowach finansowych lub do pomiaru wyników funduszy inwestycyjnych i zmieniające dyrektywy 2008/48/WE i 2014/17/UE oraz rozporządzenie (UE) nr 596/2014, z </w:t>
      </w:r>
      <w:proofErr w:type="spellStart"/>
      <w:r w:rsidRPr="00D738F6">
        <w:rPr>
          <w:rFonts w:ascii="Arial" w:hAnsi="Arial" w:cs="Arial"/>
          <w:sz w:val="18"/>
          <w:szCs w:val="18"/>
          <w:lang w:val="pl-PL"/>
        </w:rPr>
        <w:t>późn</w:t>
      </w:r>
      <w:proofErr w:type="spellEnd"/>
      <w:r w:rsidRPr="00D738F6">
        <w:rPr>
          <w:rFonts w:ascii="Arial" w:hAnsi="Arial" w:cs="Arial"/>
          <w:sz w:val="18"/>
          <w:szCs w:val="18"/>
          <w:lang w:val="pl-PL"/>
        </w:rPr>
        <w:t>. zmian.;</w:t>
      </w:r>
    </w:p>
    <w:p w14:paraId="0EFCDAAF"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sz w:val="18"/>
          <w:szCs w:val="18"/>
          <w:lang w:val="pl-PL"/>
        </w:rPr>
        <w:t>Czasowy Brak Publikacji Stawki Bazowej</w:t>
      </w:r>
      <w:r w:rsidRPr="00D738F6">
        <w:rPr>
          <w:rFonts w:ascii="Arial" w:hAnsi="Arial" w:cs="Arial"/>
          <w:sz w:val="18"/>
          <w:szCs w:val="18"/>
          <w:lang w:val="pl-PL"/>
        </w:rPr>
        <w:t xml:space="preserve"> oznacza brak publikacji Stawki Bazowej z powodów niezwiązanych ze Zdarzeniem Regulacyjnym;</w:t>
      </w:r>
    </w:p>
    <w:p w14:paraId="155E34EF"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sz w:val="18"/>
          <w:szCs w:val="18"/>
          <w:lang w:val="pl-PL"/>
        </w:rPr>
        <w:t>Dzień Roboczy</w:t>
      </w:r>
      <w:r w:rsidRPr="00D738F6">
        <w:rPr>
          <w:rFonts w:ascii="Arial" w:hAnsi="Arial" w:cs="Arial"/>
          <w:sz w:val="18"/>
          <w:szCs w:val="18"/>
          <w:lang w:val="pl-PL"/>
        </w:rPr>
        <w:t xml:space="preserve"> – oznacza dzień, który zgodnie z obowiązującymi przepisami nie jest dniem ustawowo wolnym od pracy i nie jest sobotą;</w:t>
      </w:r>
    </w:p>
    <w:p w14:paraId="5A2161A1"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bCs/>
          <w:sz w:val="18"/>
          <w:szCs w:val="18"/>
          <w:lang w:val="pl-PL"/>
        </w:rPr>
        <w:t>Dzień Stosowania</w:t>
      </w:r>
      <w:r w:rsidRPr="00D738F6">
        <w:rPr>
          <w:rFonts w:ascii="Arial" w:hAnsi="Arial" w:cs="Arial"/>
          <w:sz w:val="18"/>
          <w:szCs w:val="18"/>
          <w:lang w:val="pl-PL"/>
        </w:rPr>
        <w:t xml:space="preserve"> – oznacza dzień, z którego Strony mają zastosować Stawkę Bazową dla określenia świadczeń Stron zgodnie z Umową;</w:t>
      </w:r>
    </w:p>
    <w:p w14:paraId="4DAB4F27"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Cs/>
          <w:sz w:val="18"/>
          <w:szCs w:val="18"/>
          <w:lang w:val="pl-PL"/>
        </w:rPr>
      </w:pPr>
      <w:r w:rsidRPr="00D738F6">
        <w:rPr>
          <w:rFonts w:ascii="Arial" w:hAnsi="Arial" w:cs="Arial"/>
          <w:b/>
          <w:bCs/>
          <w:sz w:val="18"/>
          <w:szCs w:val="18"/>
          <w:lang w:val="pl-PL"/>
        </w:rPr>
        <w:lastRenderedPageBreak/>
        <w:t>Dzień Zamiany</w:t>
      </w:r>
      <w:r w:rsidRPr="00D738F6">
        <w:rPr>
          <w:rFonts w:ascii="Arial" w:hAnsi="Arial" w:cs="Arial"/>
          <w:bCs/>
          <w:sz w:val="18"/>
          <w:szCs w:val="18"/>
          <w:lang w:val="pl-PL"/>
        </w:rPr>
        <w:t xml:space="preserve"> </w:t>
      </w:r>
      <w:r w:rsidRPr="00D738F6">
        <w:rPr>
          <w:rFonts w:ascii="Arial" w:hAnsi="Arial" w:cs="Arial"/>
          <w:sz w:val="18"/>
          <w:szCs w:val="18"/>
          <w:lang w:val="pl-PL"/>
        </w:rPr>
        <w:t>–</w:t>
      </w:r>
      <w:r w:rsidRPr="00D738F6">
        <w:rPr>
          <w:rFonts w:ascii="Arial" w:hAnsi="Arial" w:cs="Arial"/>
          <w:bCs/>
          <w:sz w:val="18"/>
          <w:szCs w:val="18"/>
          <w:lang w:val="pl-PL"/>
        </w:rPr>
        <w:t xml:space="preserve"> oznacza pierwszy dzień, w którym:</w:t>
      </w:r>
    </w:p>
    <w:p w14:paraId="40087A10" w14:textId="77777777" w:rsidR="003A7B31" w:rsidRPr="00D738F6" w:rsidRDefault="003A7B31" w:rsidP="003A7B31">
      <w:pPr>
        <w:pStyle w:val="Tekstpodstawowy3"/>
        <w:numPr>
          <w:ilvl w:val="1"/>
          <w:numId w:val="12"/>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 xml:space="preserve">nie można zgodnie z prawem stosować Stawki Dotychczasowej w umowach określonych w BMR </w:t>
      </w:r>
      <w:r w:rsidRPr="00D738F6">
        <w:rPr>
          <w:rFonts w:ascii="Arial" w:hAnsi="Arial" w:cs="Arial"/>
          <w:sz w:val="18"/>
          <w:szCs w:val="18"/>
          <w:lang w:val="pl-PL"/>
        </w:rPr>
        <w:br/>
        <w:t>w związku z Ogłoszeniem Braku Zezwolenia, lub</w:t>
      </w:r>
    </w:p>
    <w:p w14:paraId="203F8B0F" w14:textId="77777777" w:rsidR="003A7B31" w:rsidRPr="00D738F6" w:rsidRDefault="003A7B31" w:rsidP="003A7B31">
      <w:pPr>
        <w:pStyle w:val="Tekstpodstawowy3"/>
        <w:numPr>
          <w:ilvl w:val="1"/>
          <w:numId w:val="12"/>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Stawka Dotychczasowa nie została opublikowana w związku z Ogłoszeniem Zaprzestania Publikacji, lub</w:t>
      </w:r>
    </w:p>
    <w:p w14:paraId="40C690B9" w14:textId="77777777" w:rsidR="003A7B31" w:rsidRPr="00D738F6" w:rsidRDefault="003A7B31" w:rsidP="003A7B31">
      <w:pPr>
        <w:pStyle w:val="Tekstpodstawowy3"/>
        <w:numPr>
          <w:ilvl w:val="1"/>
          <w:numId w:val="12"/>
        </w:numPr>
        <w:autoSpaceDE w:val="0"/>
        <w:autoSpaceDN w:val="0"/>
        <w:spacing w:line="360" w:lineRule="auto"/>
        <w:jc w:val="both"/>
        <w:rPr>
          <w:rFonts w:ascii="Arial" w:hAnsi="Arial" w:cs="Arial"/>
          <w:sz w:val="18"/>
          <w:szCs w:val="18"/>
          <w:lang w:val="pl-PL"/>
        </w:rPr>
      </w:pPr>
      <w:r w:rsidRPr="00D738F6">
        <w:rPr>
          <w:rFonts w:ascii="Arial" w:hAnsi="Arial" w:cs="Arial"/>
          <w:sz w:val="18"/>
          <w:szCs w:val="18"/>
          <w:lang w:val="pl-PL"/>
        </w:rPr>
        <w:t>Stawka Dotychczasowa przestała być reprezentatywna zgodnie z Ogłoszeniem Utraty Reprezentatywności.</w:t>
      </w:r>
    </w:p>
    <w:p w14:paraId="1CAACD9E" w14:textId="77777777" w:rsidR="003A7B31" w:rsidRPr="00D738F6" w:rsidRDefault="003A7B31" w:rsidP="003A7B31">
      <w:pPr>
        <w:pStyle w:val="Tekstpodstawowy3"/>
        <w:autoSpaceDE w:val="0"/>
        <w:autoSpaceDN w:val="0"/>
        <w:spacing w:line="360" w:lineRule="auto"/>
        <w:ind w:left="700"/>
        <w:jc w:val="both"/>
        <w:rPr>
          <w:rFonts w:ascii="Arial" w:hAnsi="Arial" w:cs="Arial"/>
          <w:sz w:val="18"/>
          <w:szCs w:val="18"/>
          <w:lang w:val="pl-PL"/>
        </w:rPr>
      </w:pPr>
      <w:r w:rsidRPr="00D738F6">
        <w:rPr>
          <w:rFonts w:ascii="Arial" w:hAnsi="Arial" w:cs="Arial"/>
          <w:sz w:val="18"/>
          <w:szCs w:val="18"/>
          <w:lang w:val="pl-PL"/>
        </w:rPr>
        <w:t>W przypadku gdy tak ustalony Dzień Zamiany przypada wcześniej niż po upływie 15 Dni Roboczych</w:t>
      </w:r>
      <w:r w:rsidRPr="00D738F6">
        <w:rPr>
          <w:rFonts w:ascii="Arial" w:hAnsi="Arial" w:cs="Arial"/>
          <w:sz w:val="18"/>
          <w:szCs w:val="18"/>
          <w:lang w:val="pl-PL"/>
        </w:rPr>
        <w:br/>
      </w:r>
      <w:r w:rsidRPr="00D738F6">
        <w:rPr>
          <w:rFonts w:ascii="Arial" w:hAnsi="Arial" w:cs="Arial"/>
          <w:bCs/>
          <w:sz w:val="18"/>
          <w:szCs w:val="18"/>
          <w:lang w:val="pl-PL"/>
        </w:rPr>
        <w:t>od</w:t>
      </w:r>
      <w:r w:rsidRPr="00D738F6">
        <w:rPr>
          <w:rFonts w:ascii="Arial" w:hAnsi="Arial" w:cs="Arial"/>
          <w:sz w:val="18"/>
          <w:szCs w:val="18"/>
        </w:rPr>
        <w:t xml:space="preserve"> wystąpieni</w:t>
      </w:r>
      <w:r w:rsidRPr="00D738F6">
        <w:rPr>
          <w:rFonts w:ascii="Arial" w:hAnsi="Arial" w:cs="Arial"/>
          <w:sz w:val="18"/>
          <w:szCs w:val="18"/>
          <w:lang w:val="pl-PL"/>
        </w:rPr>
        <w:t>a</w:t>
      </w:r>
      <w:r w:rsidRPr="00D738F6">
        <w:rPr>
          <w:rFonts w:ascii="Arial" w:hAnsi="Arial" w:cs="Arial"/>
          <w:sz w:val="18"/>
          <w:szCs w:val="18"/>
        </w:rPr>
        <w:t xml:space="preserve"> Zdarzenia Regulacyjnego</w:t>
      </w:r>
      <w:r w:rsidRPr="00D738F6">
        <w:rPr>
          <w:rFonts w:ascii="Arial" w:hAnsi="Arial" w:cs="Arial"/>
          <w:sz w:val="18"/>
          <w:szCs w:val="18"/>
          <w:lang w:val="pl-PL"/>
        </w:rPr>
        <w:t xml:space="preserve"> Dzień Zamiany ustalany jest na pierwszy dzień po upływie </w:t>
      </w:r>
      <w:r w:rsidRPr="00D738F6">
        <w:rPr>
          <w:rFonts w:ascii="Arial" w:hAnsi="Arial" w:cs="Arial"/>
          <w:sz w:val="18"/>
          <w:szCs w:val="18"/>
          <w:lang w:val="pl-PL"/>
        </w:rPr>
        <w:br/>
        <w:t xml:space="preserve">15 Dni Roboczych od </w:t>
      </w:r>
      <w:r w:rsidRPr="00D738F6">
        <w:rPr>
          <w:rFonts w:ascii="Arial" w:hAnsi="Arial" w:cs="Arial"/>
          <w:sz w:val="18"/>
          <w:szCs w:val="18"/>
        </w:rPr>
        <w:t>wystąpieni</w:t>
      </w:r>
      <w:r w:rsidRPr="00D738F6">
        <w:rPr>
          <w:rFonts w:ascii="Arial" w:hAnsi="Arial" w:cs="Arial"/>
          <w:sz w:val="18"/>
          <w:szCs w:val="18"/>
          <w:lang w:val="pl-PL"/>
        </w:rPr>
        <w:t>a</w:t>
      </w:r>
      <w:r w:rsidRPr="00D738F6">
        <w:rPr>
          <w:rFonts w:ascii="Arial" w:hAnsi="Arial" w:cs="Arial"/>
          <w:sz w:val="18"/>
          <w:szCs w:val="18"/>
        </w:rPr>
        <w:t xml:space="preserve"> Zdarzenia Regulacyjnego</w:t>
      </w:r>
      <w:r w:rsidRPr="00D738F6">
        <w:rPr>
          <w:rFonts w:ascii="Arial" w:hAnsi="Arial" w:cs="Arial"/>
          <w:sz w:val="18"/>
          <w:szCs w:val="18"/>
          <w:lang w:val="pl-PL"/>
        </w:rPr>
        <w:t>;</w:t>
      </w:r>
    </w:p>
    <w:p w14:paraId="5F9EFA04"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bCs/>
          <w:sz w:val="18"/>
          <w:szCs w:val="18"/>
          <w:lang w:val="pl-PL"/>
        </w:rPr>
        <w:t xml:space="preserve">Korekta </w:t>
      </w:r>
      <w:proofErr w:type="spellStart"/>
      <w:r w:rsidRPr="00D738F6">
        <w:rPr>
          <w:rFonts w:ascii="Arial" w:hAnsi="Arial" w:cs="Arial"/>
          <w:b/>
          <w:bCs/>
          <w:sz w:val="18"/>
          <w:szCs w:val="18"/>
          <w:lang w:val="pl-PL"/>
        </w:rPr>
        <w:t>Spreadu</w:t>
      </w:r>
      <w:proofErr w:type="spellEnd"/>
      <w:r w:rsidRPr="00D738F6">
        <w:rPr>
          <w:rFonts w:ascii="Arial" w:hAnsi="Arial" w:cs="Arial"/>
          <w:b/>
          <w:bCs/>
          <w:sz w:val="18"/>
          <w:szCs w:val="18"/>
          <w:lang w:val="pl-PL"/>
        </w:rPr>
        <w:t xml:space="preserve"> </w:t>
      </w:r>
      <w:r w:rsidRPr="00D738F6">
        <w:rPr>
          <w:rFonts w:ascii="Arial" w:hAnsi="Arial" w:cs="Arial"/>
          <w:sz w:val="18"/>
          <w:szCs w:val="18"/>
          <w:lang w:val="pl-PL"/>
        </w:rPr>
        <w:t xml:space="preserve">– oznacza wartość dodatnią, ujemną lub zerową lub metodę ustalania takiej wartości, którą stosuje się w celu zmniejszenia lub wyeliminowania ekonomicznych skutków: </w:t>
      </w:r>
    </w:p>
    <w:p w14:paraId="70EA6090"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sz w:val="18"/>
          <w:szCs w:val="18"/>
          <w:lang w:val="pl-PL"/>
        </w:rPr>
      </w:pPr>
      <w:r w:rsidRPr="00D738F6">
        <w:rPr>
          <w:rFonts w:ascii="Arial" w:hAnsi="Arial" w:cs="Arial"/>
          <w:sz w:val="18"/>
          <w:szCs w:val="18"/>
          <w:lang w:val="pl-PL"/>
        </w:rPr>
        <w:t>zastąpienia Stawki Dotychczasowej Stawką Alternatywną w związku z zaistnieniem Zdarzenia Regulacyjnego, lub</w:t>
      </w:r>
    </w:p>
    <w:p w14:paraId="6A8770D7"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zmiany metody obliczania Stawki Bazowej w związku z Ogłoszeniem Istotnej Zmiany;</w:t>
      </w:r>
    </w:p>
    <w:p w14:paraId="6900E41C"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sz w:val="18"/>
          <w:szCs w:val="18"/>
          <w:lang w:val="pl-PL"/>
        </w:rPr>
      </w:pPr>
      <w:r w:rsidRPr="00D738F6">
        <w:rPr>
          <w:rFonts w:ascii="Arial" w:hAnsi="Arial" w:cs="Arial"/>
          <w:b/>
          <w:bCs/>
          <w:sz w:val="18"/>
          <w:szCs w:val="18"/>
          <w:lang w:val="pl-PL"/>
        </w:rPr>
        <w:t>Ogłoszenie Istotnej Zmiany</w:t>
      </w:r>
      <w:r w:rsidRPr="00D738F6">
        <w:rPr>
          <w:rFonts w:ascii="Arial" w:hAnsi="Arial" w:cs="Arial"/>
          <w:bCs/>
          <w:sz w:val="18"/>
          <w:szCs w:val="18"/>
          <w:lang w:val="pl-PL"/>
        </w:rPr>
        <w:t xml:space="preserve"> </w:t>
      </w:r>
      <w:r w:rsidRPr="00D738F6">
        <w:rPr>
          <w:rFonts w:ascii="Arial" w:hAnsi="Arial" w:cs="Arial"/>
          <w:sz w:val="18"/>
          <w:szCs w:val="18"/>
          <w:lang w:val="pl-PL"/>
        </w:rPr>
        <w:t xml:space="preserve">– oznacza </w:t>
      </w:r>
      <w:r w:rsidRPr="00D738F6">
        <w:rPr>
          <w:rFonts w:ascii="Arial" w:hAnsi="Arial" w:cs="Arial"/>
          <w:bCs/>
          <w:sz w:val="18"/>
          <w:szCs w:val="18"/>
          <w:lang w:val="pl-PL"/>
        </w:rPr>
        <w:t xml:space="preserve">sytuację </w:t>
      </w:r>
      <w:r w:rsidRPr="00D738F6">
        <w:rPr>
          <w:rFonts w:ascii="Arial" w:hAnsi="Arial" w:cs="Arial"/>
          <w:sz w:val="18"/>
          <w:szCs w:val="18"/>
          <w:lang w:val="pl-PL"/>
        </w:rPr>
        <w:t>gdy Administrator poda do publicznej wiadomości, że nastąpiła lub nastąpi zmiana metody obliczania Stawki Bazowej, w tym zmiana istotna w rozumieniu BMR;</w:t>
      </w:r>
    </w:p>
    <w:p w14:paraId="623BF79D"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Cs/>
          <w:sz w:val="18"/>
          <w:szCs w:val="18"/>
          <w:lang w:val="pl-PL"/>
        </w:rPr>
      </w:pPr>
      <w:r w:rsidRPr="00D738F6">
        <w:rPr>
          <w:rFonts w:ascii="Arial" w:hAnsi="Arial" w:cs="Arial"/>
          <w:b/>
          <w:sz w:val="18"/>
          <w:szCs w:val="18"/>
          <w:lang w:val="pl-PL"/>
        </w:rPr>
        <w:t xml:space="preserve">Podmiot Wyznaczający </w:t>
      </w:r>
      <w:r w:rsidRPr="00D738F6">
        <w:rPr>
          <w:rFonts w:ascii="Arial" w:hAnsi="Arial" w:cs="Arial"/>
          <w:sz w:val="18"/>
          <w:szCs w:val="18"/>
          <w:lang w:val="pl-PL"/>
        </w:rPr>
        <w:t xml:space="preserve">– oznacza jeden z poniższych: </w:t>
      </w:r>
    </w:p>
    <w:p w14:paraId="31971C06"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Komisję Europejską, lub</w:t>
      </w:r>
    </w:p>
    <w:p w14:paraId="0D1AF1CB"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organ nadzoru nad Administratorem</w:t>
      </w:r>
      <w:r w:rsidRPr="00D738F6">
        <w:rPr>
          <w:rFonts w:ascii="Arial" w:hAnsi="Arial" w:cs="Arial"/>
          <w:bCs/>
          <w:sz w:val="18"/>
          <w:szCs w:val="18"/>
          <w:lang w:val="pl-PL"/>
        </w:rPr>
        <w:t>, lub</w:t>
      </w:r>
    </w:p>
    <w:p w14:paraId="5DBAA387"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uprawniony organ administracji publicznej, lub</w:t>
      </w:r>
    </w:p>
    <w:p w14:paraId="5C206761"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 xml:space="preserve">inny podmiot uprawniony zgodnie z obowiązującymi przepisami do zarekomendowania lub określenia Stawki Alternatywnej, Zmian Dostosowawczych oraz Korekty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lub</w:t>
      </w:r>
    </w:p>
    <w:p w14:paraId="622ADF4F"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grupę roboczą lub komitet oficjalnie zatwierdzony lub zwołany przez:</w:t>
      </w:r>
    </w:p>
    <w:p w14:paraId="21C5C932" w14:textId="77777777" w:rsidR="003A7B31" w:rsidRPr="00D738F6" w:rsidRDefault="003A7B31" w:rsidP="003A7B31">
      <w:pPr>
        <w:pStyle w:val="Tekstpodstawowy3"/>
        <w:numPr>
          <w:ilvl w:val="2"/>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bank centralny właściwy dla waluty, w której wyrażona jest Stawka Bazowa, lub</w:t>
      </w:r>
    </w:p>
    <w:p w14:paraId="3BC4416E" w14:textId="77777777" w:rsidR="003A7B31" w:rsidRPr="00D738F6" w:rsidRDefault="003A7B31" w:rsidP="003A7B31">
      <w:pPr>
        <w:pStyle w:val="Tekstpodstawowy3"/>
        <w:numPr>
          <w:ilvl w:val="2"/>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bank centralny lub inny organ sprawujący nadzór nad Stawką Bazową lub Administratorem, lub</w:t>
      </w:r>
    </w:p>
    <w:p w14:paraId="730EF0A0" w14:textId="77777777" w:rsidR="003A7B31" w:rsidRPr="00D738F6" w:rsidRDefault="003A7B31" w:rsidP="003A7B31">
      <w:pPr>
        <w:pStyle w:val="Tekstpodstawowy3"/>
        <w:numPr>
          <w:ilvl w:val="2"/>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Radę Stabilności Finansowej lub jej część, lub</w:t>
      </w:r>
    </w:p>
    <w:p w14:paraId="1F3217E6"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Administratora;</w:t>
      </w:r>
    </w:p>
    <w:p w14:paraId="5FCB8A13"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Cs/>
          <w:sz w:val="18"/>
          <w:szCs w:val="18"/>
          <w:lang w:val="pl-PL"/>
        </w:rPr>
      </w:pPr>
      <w:r w:rsidRPr="00D738F6">
        <w:rPr>
          <w:rFonts w:ascii="Arial" w:hAnsi="Arial" w:cs="Arial"/>
          <w:b/>
          <w:sz w:val="18"/>
          <w:szCs w:val="18"/>
          <w:lang w:val="pl-PL"/>
        </w:rPr>
        <w:t xml:space="preserve">Regulamin Bloomberg </w:t>
      </w:r>
      <w:r w:rsidRPr="00D738F6">
        <w:rPr>
          <w:rFonts w:ascii="Arial" w:hAnsi="Arial" w:cs="Arial"/>
          <w:sz w:val="18"/>
          <w:szCs w:val="18"/>
          <w:lang w:val="pl-PL"/>
        </w:rPr>
        <w:t>–</w:t>
      </w:r>
      <w:r w:rsidRPr="00D738F6">
        <w:rPr>
          <w:rFonts w:ascii="Arial" w:hAnsi="Arial" w:cs="Arial"/>
          <w:bCs/>
          <w:sz w:val="18"/>
          <w:szCs w:val="18"/>
          <w:lang w:val="pl-PL"/>
        </w:rPr>
        <w:t xml:space="preserve"> oznacza aktualny „IBOR </w:t>
      </w:r>
      <w:proofErr w:type="spellStart"/>
      <w:r w:rsidRPr="00D738F6">
        <w:rPr>
          <w:rFonts w:ascii="Arial" w:hAnsi="Arial" w:cs="Arial"/>
          <w:bCs/>
          <w:sz w:val="18"/>
          <w:szCs w:val="18"/>
          <w:lang w:val="pl-PL"/>
        </w:rPr>
        <w:t>Fallback</w:t>
      </w:r>
      <w:proofErr w:type="spellEnd"/>
      <w:r w:rsidRPr="00D738F6">
        <w:rPr>
          <w:rFonts w:ascii="Arial" w:hAnsi="Arial" w:cs="Arial"/>
          <w:bCs/>
          <w:sz w:val="18"/>
          <w:szCs w:val="18"/>
          <w:lang w:val="pl-PL"/>
        </w:rPr>
        <w:t xml:space="preserve"> </w:t>
      </w:r>
      <w:proofErr w:type="spellStart"/>
      <w:r w:rsidRPr="00D738F6">
        <w:rPr>
          <w:rFonts w:ascii="Arial" w:hAnsi="Arial" w:cs="Arial"/>
          <w:bCs/>
          <w:sz w:val="18"/>
          <w:szCs w:val="18"/>
          <w:lang w:val="pl-PL"/>
        </w:rPr>
        <w:t>Rate</w:t>
      </w:r>
      <w:proofErr w:type="spellEnd"/>
      <w:r w:rsidRPr="00D738F6">
        <w:rPr>
          <w:rFonts w:ascii="Arial" w:hAnsi="Arial" w:cs="Arial"/>
          <w:bCs/>
          <w:sz w:val="18"/>
          <w:szCs w:val="18"/>
          <w:lang w:val="pl-PL"/>
        </w:rPr>
        <w:t xml:space="preserve"> </w:t>
      </w:r>
      <w:proofErr w:type="spellStart"/>
      <w:r w:rsidRPr="00D738F6">
        <w:rPr>
          <w:rFonts w:ascii="Arial" w:hAnsi="Arial" w:cs="Arial"/>
          <w:bCs/>
          <w:sz w:val="18"/>
          <w:szCs w:val="18"/>
          <w:lang w:val="pl-PL"/>
        </w:rPr>
        <w:t>Adjustments</w:t>
      </w:r>
      <w:proofErr w:type="spellEnd"/>
      <w:r w:rsidRPr="00D738F6">
        <w:rPr>
          <w:rFonts w:ascii="Arial" w:hAnsi="Arial" w:cs="Arial"/>
          <w:bCs/>
          <w:sz w:val="18"/>
          <w:szCs w:val="18"/>
          <w:lang w:val="pl-PL"/>
        </w:rPr>
        <w:t xml:space="preserve"> </w:t>
      </w:r>
      <w:proofErr w:type="spellStart"/>
      <w:r w:rsidRPr="00D738F6">
        <w:rPr>
          <w:rFonts w:ascii="Arial" w:hAnsi="Arial" w:cs="Arial"/>
          <w:bCs/>
          <w:sz w:val="18"/>
          <w:szCs w:val="18"/>
          <w:lang w:val="pl-PL"/>
        </w:rPr>
        <w:t>Rule</w:t>
      </w:r>
      <w:proofErr w:type="spellEnd"/>
      <w:r w:rsidRPr="00D738F6">
        <w:rPr>
          <w:rFonts w:ascii="Arial" w:hAnsi="Arial" w:cs="Arial"/>
          <w:bCs/>
          <w:sz w:val="18"/>
          <w:szCs w:val="18"/>
          <w:lang w:val="pl-PL"/>
        </w:rPr>
        <w:t xml:space="preserve"> </w:t>
      </w:r>
      <w:proofErr w:type="spellStart"/>
      <w:r w:rsidRPr="00D738F6">
        <w:rPr>
          <w:rFonts w:ascii="Arial" w:hAnsi="Arial" w:cs="Arial"/>
          <w:bCs/>
          <w:sz w:val="18"/>
          <w:szCs w:val="18"/>
          <w:lang w:val="pl-PL"/>
        </w:rPr>
        <w:t>Book</w:t>
      </w:r>
      <w:proofErr w:type="spellEnd"/>
      <w:r w:rsidRPr="00D738F6">
        <w:rPr>
          <w:rFonts w:ascii="Arial" w:hAnsi="Arial" w:cs="Arial"/>
          <w:bCs/>
          <w:sz w:val="18"/>
          <w:szCs w:val="18"/>
          <w:lang w:val="pl-PL"/>
        </w:rPr>
        <w:t xml:space="preserve">” lub </w:t>
      </w:r>
      <w:bookmarkStart w:id="2" w:name="_Hlk70097802"/>
      <w:r w:rsidRPr="00D738F6">
        <w:rPr>
          <w:rFonts w:ascii="Arial" w:hAnsi="Arial" w:cs="Arial"/>
          <w:bCs/>
          <w:sz w:val="18"/>
          <w:szCs w:val="18"/>
          <w:lang w:val="pl-PL"/>
        </w:rPr>
        <w:t>inny dokument, który go zastąpi;</w:t>
      </w:r>
    </w:p>
    <w:p w14:paraId="1E7CEB99"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Cs/>
          <w:sz w:val="18"/>
          <w:szCs w:val="18"/>
          <w:lang w:val="pl-PL"/>
        </w:rPr>
      </w:pPr>
      <w:r w:rsidRPr="00D738F6">
        <w:rPr>
          <w:rFonts w:ascii="Arial" w:hAnsi="Arial" w:cs="Arial"/>
          <w:b/>
          <w:sz w:val="18"/>
          <w:szCs w:val="18"/>
          <w:lang w:val="pl-PL"/>
        </w:rPr>
        <w:t xml:space="preserve">Stawka Alternatywna </w:t>
      </w:r>
      <w:r w:rsidRPr="00D738F6">
        <w:rPr>
          <w:rFonts w:ascii="Arial" w:hAnsi="Arial" w:cs="Arial"/>
          <w:sz w:val="18"/>
          <w:szCs w:val="18"/>
          <w:lang w:val="pl-PL"/>
        </w:rPr>
        <w:t>– oznacza Stawkę Bazową zastępującą Stawkę Dotychczasową po wystąpieniu Zdarzenia Regulacyjnego;</w:t>
      </w:r>
    </w:p>
    <w:p w14:paraId="39670740"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
          <w:bCs/>
          <w:sz w:val="18"/>
          <w:szCs w:val="18"/>
          <w:lang w:val="pl-PL"/>
        </w:rPr>
      </w:pPr>
      <w:r w:rsidRPr="00D738F6">
        <w:rPr>
          <w:rFonts w:ascii="Arial" w:hAnsi="Arial" w:cs="Arial"/>
          <w:b/>
          <w:bCs/>
          <w:sz w:val="18"/>
          <w:szCs w:val="18"/>
          <w:lang w:val="pl-PL"/>
        </w:rPr>
        <w:t xml:space="preserve">Stawka Bazowa </w:t>
      </w:r>
      <w:r w:rsidRPr="00D738F6">
        <w:rPr>
          <w:rFonts w:ascii="Arial" w:hAnsi="Arial" w:cs="Arial"/>
          <w:bCs/>
          <w:sz w:val="18"/>
          <w:szCs w:val="18"/>
          <w:lang w:val="pl-PL"/>
        </w:rPr>
        <w:t>–</w:t>
      </w:r>
      <w:r w:rsidRPr="00D738F6">
        <w:rPr>
          <w:rFonts w:ascii="Arial" w:hAnsi="Arial" w:cs="Arial"/>
          <w:b/>
          <w:bCs/>
          <w:sz w:val="18"/>
          <w:szCs w:val="18"/>
          <w:lang w:val="pl-PL"/>
        </w:rPr>
        <w:t xml:space="preserve"> </w:t>
      </w:r>
      <w:r w:rsidRPr="00D738F6">
        <w:rPr>
          <w:rFonts w:ascii="Arial" w:hAnsi="Arial" w:cs="Arial"/>
          <w:sz w:val="18"/>
          <w:szCs w:val="18"/>
          <w:lang w:val="pl-PL"/>
        </w:rPr>
        <w:t>oznacza Wskaźnik na określony termin ustalony przez Strony w Umowie, poprzez odniesienie do którego określane są kwoty przypadające do zapłaty pomiędzy Stronami;</w:t>
      </w:r>
    </w:p>
    <w:bookmarkEnd w:id="2"/>
    <w:p w14:paraId="408E04B5"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
          <w:bCs/>
          <w:sz w:val="18"/>
          <w:szCs w:val="18"/>
          <w:lang w:val="pl-PL"/>
        </w:rPr>
      </w:pPr>
      <w:r w:rsidRPr="00D738F6">
        <w:rPr>
          <w:rFonts w:ascii="Arial" w:hAnsi="Arial" w:cs="Arial"/>
          <w:b/>
          <w:sz w:val="18"/>
          <w:szCs w:val="18"/>
          <w:lang w:val="pl-PL"/>
        </w:rPr>
        <w:t xml:space="preserve">Stawka Dotychczasowa </w:t>
      </w:r>
      <w:r w:rsidRPr="00D738F6">
        <w:rPr>
          <w:rFonts w:ascii="Arial" w:hAnsi="Arial" w:cs="Arial"/>
          <w:sz w:val="18"/>
          <w:szCs w:val="18"/>
          <w:lang w:val="pl-PL"/>
        </w:rPr>
        <w:t>– oznacza Stawkę Bazową obowiązującą przed wystąpieniem Zdarzenia Regulacyjnego;</w:t>
      </w:r>
    </w:p>
    <w:p w14:paraId="23576128"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
          <w:bCs/>
          <w:sz w:val="18"/>
          <w:szCs w:val="18"/>
          <w:lang w:val="pl-PL"/>
        </w:rPr>
      </w:pPr>
      <w:r w:rsidRPr="00D738F6">
        <w:rPr>
          <w:rFonts w:ascii="Arial" w:hAnsi="Arial" w:cs="Arial"/>
          <w:b/>
          <w:sz w:val="18"/>
          <w:szCs w:val="18"/>
          <w:lang w:val="pl-PL"/>
        </w:rPr>
        <w:t xml:space="preserve">Wskaźnik </w:t>
      </w:r>
      <w:r w:rsidRPr="00D738F6">
        <w:rPr>
          <w:rFonts w:ascii="Arial" w:hAnsi="Arial" w:cs="Arial"/>
          <w:sz w:val="18"/>
          <w:szCs w:val="18"/>
          <w:lang w:val="pl-PL"/>
        </w:rPr>
        <w:t>– oznacza wskaźnik referencyjny w rozumieniu BMR;</w:t>
      </w:r>
    </w:p>
    <w:p w14:paraId="6A37075B"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
          <w:bCs/>
          <w:sz w:val="18"/>
          <w:szCs w:val="18"/>
          <w:lang w:val="pl-PL"/>
        </w:rPr>
      </w:pPr>
      <w:r w:rsidRPr="00D738F6">
        <w:rPr>
          <w:rFonts w:ascii="Arial" w:hAnsi="Arial" w:cs="Arial"/>
          <w:b/>
          <w:sz w:val="18"/>
          <w:szCs w:val="18"/>
          <w:lang w:val="pl-PL"/>
        </w:rPr>
        <w:t>Zdarzenie Regulacyjne</w:t>
      </w:r>
      <w:r w:rsidRPr="00D738F6">
        <w:rPr>
          <w:rFonts w:ascii="Arial" w:hAnsi="Arial" w:cs="Arial"/>
          <w:sz w:val="18"/>
          <w:szCs w:val="18"/>
          <w:lang w:val="pl-PL"/>
        </w:rPr>
        <w:t xml:space="preserve"> – oznacza jedną z następujących sytuacji:</w:t>
      </w:r>
    </w:p>
    <w:p w14:paraId="5C22275E"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wiarygodne źródło poda do publicznej wiadomości, że Stawka Bazowa nie zostanie zarejestrowana lub nie będzie wydana decyzja o jej ekwiwalentności lub Administrator</w:t>
      </w:r>
      <w:r w:rsidRPr="00D738F6">
        <w:rPr>
          <w:rFonts w:ascii="Arial" w:hAnsi="Arial" w:cs="Arial"/>
          <w:sz w:val="18"/>
          <w:szCs w:val="18"/>
          <w:lang w:val="pl-PL"/>
        </w:rPr>
        <w:t xml:space="preserve"> nie otrzymał, nie otrzyma, lub cofnięto mu lub zawieszono zezwolenie lub rejestrację dla opracowywania Stawki Bazowej (</w:t>
      </w:r>
      <w:r w:rsidRPr="00D738F6">
        <w:rPr>
          <w:rFonts w:ascii="Arial" w:hAnsi="Arial" w:cs="Arial"/>
          <w:b/>
          <w:sz w:val="18"/>
          <w:szCs w:val="18"/>
          <w:lang w:val="pl-PL"/>
        </w:rPr>
        <w:t>„Ogłoszenie Braku Zezwolenia”</w:t>
      </w:r>
      <w:r w:rsidRPr="00D738F6">
        <w:rPr>
          <w:rFonts w:ascii="Arial" w:hAnsi="Arial" w:cs="Arial"/>
          <w:sz w:val="18"/>
          <w:szCs w:val="18"/>
          <w:lang w:val="pl-PL"/>
        </w:rPr>
        <w:t>), lub</w:t>
      </w:r>
    </w:p>
    <w:p w14:paraId="254D1DE9"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Podmiot Wyznaczający poda do publicznej wiadomości, że Administrator przestał lub przestanie na stałe publikować Stawkę Bazową, a do czasu tego zaprzestania nie zostanie wyznaczony następca dla Administratora, który miałby w dalszym ciągu obliczać lub publikować Stawkę Bazową (</w:t>
      </w:r>
      <w:r w:rsidRPr="00D738F6">
        <w:rPr>
          <w:rFonts w:ascii="Arial" w:hAnsi="Arial" w:cs="Arial"/>
          <w:b/>
          <w:bCs/>
          <w:sz w:val="18"/>
          <w:szCs w:val="18"/>
          <w:lang w:val="pl-PL"/>
        </w:rPr>
        <w:t>„Ogłoszenie Zaprzestania Publikacji”</w:t>
      </w:r>
      <w:r w:rsidRPr="00D738F6">
        <w:rPr>
          <w:rFonts w:ascii="Arial" w:hAnsi="Arial" w:cs="Arial"/>
          <w:bCs/>
          <w:sz w:val="18"/>
          <w:szCs w:val="18"/>
          <w:lang w:val="pl-PL"/>
        </w:rPr>
        <w:t>), lub</w:t>
      </w:r>
    </w:p>
    <w:p w14:paraId="1A81488A" w14:textId="77777777" w:rsidR="003A7B31" w:rsidRPr="00D738F6" w:rsidRDefault="003A7B31" w:rsidP="003A7B31">
      <w:pPr>
        <w:pStyle w:val="Tekstpodstawowy3"/>
        <w:numPr>
          <w:ilvl w:val="1"/>
          <w:numId w:val="10"/>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lastRenderedPageBreak/>
        <w:t>Podmiot Wyznaczający poda do publicznej wiadomości, że Stawka Bazowa przestała lub przestanie być reprezentatywna dla właściwego dla niej rynku bazowego lub rzeczywistości ekonomicznej, którą Stawka Bazowa miała mierzyć i że brak jest możliwości do przywrócenia takiej reprezentatywności (</w:t>
      </w:r>
      <w:r w:rsidRPr="00D738F6">
        <w:rPr>
          <w:rFonts w:ascii="Arial" w:hAnsi="Arial" w:cs="Arial"/>
          <w:b/>
          <w:bCs/>
          <w:sz w:val="18"/>
          <w:szCs w:val="18"/>
          <w:lang w:val="pl-PL"/>
        </w:rPr>
        <w:t>„Ogłoszenie Utraty Reprezentatywności”</w:t>
      </w:r>
      <w:r w:rsidRPr="00D738F6">
        <w:rPr>
          <w:rFonts w:ascii="Arial" w:hAnsi="Arial" w:cs="Arial"/>
          <w:bCs/>
          <w:sz w:val="18"/>
          <w:szCs w:val="18"/>
          <w:lang w:val="pl-PL"/>
        </w:rPr>
        <w:t>);</w:t>
      </w:r>
    </w:p>
    <w:p w14:paraId="6CC8A840" w14:textId="77777777" w:rsidR="003A7B31" w:rsidRPr="00D738F6" w:rsidRDefault="003A7B31" w:rsidP="003A7B31">
      <w:pPr>
        <w:pStyle w:val="Tekstpodstawowy3"/>
        <w:numPr>
          <w:ilvl w:val="0"/>
          <w:numId w:val="10"/>
        </w:numPr>
        <w:autoSpaceDE w:val="0"/>
        <w:autoSpaceDN w:val="0"/>
        <w:spacing w:line="360" w:lineRule="auto"/>
        <w:jc w:val="both"/>
        <w:rPr>
          <w:rFonts w:ascii="Arial" w:hAnsi="Arial" w:cs="Arial"/>
          <w:bCs/>
          <w:sz w:val="18"/>
          <w:szCs w:val="18"/>
          <w:lang w:val="pl-PL"/>
        </w:rPr>
      </w:pPr>
      <w:r w:rsidRPr="00D738F6">
        <w:rPr>
          <w:rFonts w:ascii="Arial" w:hAnsi="Arial" w:cs="Arial"/>
          <w:b/>
          <w:bCs/>
          <w:sz w:val="18"/>
          <w:szCs w:val="18"/>
          <w:lang w:val="pl-PL"/>
        </w:rPr>
        <w:t>Zmiana Dostosowawcza</w:t>
      </w:r>
      <w:r w:rsidRPr="00D738F6">
        <w:rPr>
          <w:rFonts w:ascii="Arial" w:hAnsi="Arial" w:cs="Arial"/>
          <w:bCs/>
          <w:sz w:val="18"/>
          <w:szCs w:val="18"/>
          <w:lang w:val="pl-PL"/>
        </w:rPr>
        <w:t xml:space="preserve"> – oznacza uzasadnione dostosowanie Stawki Alternatywnej do Stawki Dotychczasowej (np. pod względem terminu) w celu umożliwienia wykonania postanowień umownych odnoszących się do zasad ustalania oprocentowania lub w celu umożliwienia zastosowania lub korzystania ze Stawki Alternatywnej.</w:t>
      </w:r>
    </w:p>
    <w:p w14:paraId="68EBA273"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§3.</w:t>
      </w:r>
    </w:p>
    <w:p w14:paraId="32C3F1B7" w14:textId="77777777" w:rsidR="003A7B31" w:rsidRPr="00D738F6" w:rsidRDefault="003A7B31" w:rsidP="003A7B31">
      <w:pPr>
        <w:jc w:val="center"/>
        <w:rPr>
          <w:rFonts w:ascii="Arial" w:hAnsi="Arial" w:cs="Arial"/>
          <w:b/>
          <w:sz w:val="18"/>
          <w:szCs w:val="18"/>
        </w:rPr>
      </w:pPr>
      <w:r w:rsidRPr="00D738F6">
        <w:rPr>
          <w:rFonts w:ascii="Arial" w:hAnsi="Arial" w:cs="Arial"/>
          <w:b/>
          <w:sz w:val="18"/>
          <w:szCs w:val="18"/>
        </w:rPr>
        <w:t>Postępowanie w razie Zdarzenia Regulacyjnego</w:t>
      </w:r>
    </w:p>
    <w:p w14:paraId="221CCE74" w14:textId="77777777" w:rsidR="003A7B31" w:rsidRPr="00D738F6" w:rsidRDefault="003A7B31" w:rsidP="003A7B31">
      <w:pPr>
        <w:pStyle w:val="Tekstpodstawowy3"/>
        <w:numPr>
          <w:ilvl w:val="0"/>
          <w:numId w:val="13"/>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 xml:space="preserve">W przypadku wystąpienia Zdarzenia Regulacyjnego </w:t>
      </w: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wyznaczy Stawkę Alternatywną, Zmiany Dostosowawcze oraz Korektę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xml:space="preserve"> na 15 Dni Roboczych przed Dniem Zamiany</w:t>
      </w:r>
      <w:r w:rsidRPr="00D738F6">
        <w:rPr>
          <w:rFonts w:ascii="Arial" w:hAnsi="Arial" w:cs="Arial"/>
          <w:sz w:val="18"/>
          <w:szCs w:val="18"/>
          <w:lang w:val="pl-PL"/>
        </w:rPr>
        <w:t>, z zastrzeżeniem dalszych postanowień niniejszego paragrafu.</w:t>
      </w:r>
      <w:r w:rsidRPr="00D738F6" w:rsidDel="00474789">
        <w:rPr>
          <w:rFonts w:ascii="Arial" w:hAnsi="Arial" w:cs="Arial"/>
          <w:bCs/>
          <w:sz w:val="18"/>
          <w:szCs w:val="18"/>
          <w:lang w:val="pl-PL"/>
        </w:rPr>
        <w:t xml:space="preserve"> </w:t>
      </w:r>
    </w:p>
    <w:p w14:paraId="4628EADE" w14:textId="77777777" w:rsidR="003A7B31" w:rsidRPr="00D738F6" w:rsidRDefault="003A7B31" w:rsidP="003A7B31">
      <w:pPr>
        <w:pStyle w:val="Tekstpodstawowy3"/>
        <w:numPr>
          <w:ilvl w:val="0"/>
          <w:numId w:val="13"/>
        </w:numPr>
        <w:autoSpaceDE w:val="0"/>
        <w:autoSpaceDN w:val="0"/>
        <w:spacing w:line="360" w:lineRule="auto"/>
        <w:jc w:val="both"/>
        <w:rPr>
          <w:rFonts w:ascii="Arial" w:hAnsi="Arial" w:cs="Arial"/>
          <w:bCs/>
          <w:sz w:val="18"/>
          <w:szCs w:val="18"/>
          <w:lang w:val="pl-PL"/>
        </w:rPr>
      </w:pP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będzie stosował Stawkę Alternatywną, Zmiany Dostosowawcze oraz Korektę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xml:space="preserve"> </w:t>
      </w:r>
      <w:r w:rsidRPr="00D738F6">
        <w:rPr>
          <w:rFonts w:ascii="Arial" w:hAnsi="Arial" w:cs="Arial"/>
          <w:sz w:val="18"/>
          <w:szCs w:val="18"/>
          <w:lang w:val="pl-PL"/>
        </w:rPr>
        <w:t>począwszy od pierwszego Dnia Stosowania przypadającego w Dniu Zamiany lub po tym dniu, przez cały czas trwania Umowy, z zastrzeżeniem dalszych postanowień Zasad.</w:t>
      </w:r>
    </w:p>
    <w:p w14:paraId="2AC71F5D" w14:textId="77777777" w:rsidR="003A7B31" w:rsidRPr="00D738F6" w:rsidRDefault="003A7B31" w:rsidP="003A7B31">
      <w:pPr>
        <w:pStyle w:val="Tekstpodstawowy2"/>
        <w:numPr>
          <w:ilvl w:val="0"/>
          <w:numId w:val="13"/>
        </w:numPr>
        <w:spacing w:before="120" w:after="0" w:line="360" w:lineRule="auto"/>
        <w:jc w:val="both"/>
        <w:rPr>
          <w:rFonts w:ascii="Arial" w:hAnsi="Arial" w:cs="Arial"/>
          <w:sz w:val="18"/>
          <w:szCs w:val="18"/>
        </w:rPr>
      </w:pPr>
      <w:r w:rsidRPr="00D738F6">
        <w:rPr>
          <w:rFonts w:ascii="Arial" w:hAnsi="Arial" w:cs="Arial"/>
          <w:sz w:val="18"/>
          <w:szCs w:val="18"/>
        </w:rPr>
        <w:t xml:space="preserve">W Dniu Stosowania przypadającym w okresie od dnia wystąpienia Zdarzenia Regulacyjnego do dnia poprzedzającego Dzień Zamiany, w którym nie opublikowano Stawki Dotychczasowej lub nie można jej stosować zgodnie z prawem – </w:t>
      </w:r>
      <w:r w:rsidRPr="0074580C">
        <w:rPr>
          <w:rFonts w:ascii="Arial" w:hAnsi="Arial" w:cs="Arial"/>
          <w:sz w:val="18"/>
          <w:szCs w:val="18"/>
          <w:highlight w:val="black"/>
        </w:rPr>
        <w:t>BGK</w:t>
      </w:r>
      <w:r w:rsidRPr="00D738F6">
        <w:rPr>
          <w:rFonts w:ascii="Arial" w:hAnsi="Arial" w:cs="Arial"/>
          <w:sz w:val="18"/>
          <w:szCs w:val="18"/>
        </w:rPr>
        <w:t xml:space="preserve"> stosuje ostatnią dostępną wartość Stawki Bazowej z przed tego Dnia Stosowania.</w:t>
      </w:r>
    </w:p>
    <w:p w14:paraId="340B0F06" w14:textId="77777777" w:rsidR="003A7B31" w:rsidRPr="00D738F6" w:rsidRDefault="003A7B31" w:rsidP="003A7B31">
      <w:pPr>
        <w:pStyle w:val="Tekstpodstawowy2"/>
        <w:numPr>
          <w:ilvl w:val="0"/>
          <w:numId w:val="13"/>
        </w:numPr>
        <w:spacing w:before="120" w:after="0" w:line="360" w:lineRule="auto"/>
        <w:jc w:val="both"/>
        <w:rPr>
          <w:rFonts w:ascii="Arial" w:hAnsi="Arial" w:cs="Arial"/>
          <w:sz w:val="18"/>
          <w:szCs w:val="18"/>
        </w:rPr>
      </w:pPr>
      <w:r w:rsidRPr="00D738F6">
        <w:rPr>
          <w:rFonts w:ascii="Arial" w:hAnsi="Arial" w:cs="Arial"/>
          <w:sz w:val="18"/>
          <w:szCs w:val="18"/>
        </w:rPr>
        <w:t xml:space="preserve">Jeżeli Zdarzenie Regulacyjne będzie dotyczyć tylko wybranych terminów (tenorów) Stawki Bazowej, jako Stawkę Alternatywną </w:t>
      </w:r>
      <w:r w:rsidRPr="0074580C">
        <w:rPr>
          <w:rFonts w:ascii="Arial" w:hAnsi="Arial" w:cs="Arial"/>
          <w:sz w:val="18"/>
          <w:szCs w:val="18"/>
          <w:highlight w:val="black"/>
        </w:rPr>
        <w:t>BGK</w:t>
      </w:r>
      <w:r w:rsidRPr="00D738F6">
        <w:rPr>
          <w:rFonts w:ascii="Arial" w:hAnsi="Arial" w:cs="Arial"/>
          <w:sz w:val="18"/>
          <w:szCs w:val="18"/>
        </w:rPr>
        <w:t xml:space="preserve"> zastosuje dostępny termin Stawki Bazowej najbardziej zbliżony do terminu Stawki Dotychczasowej jednak nie dłuższy od niego. </w:t>
      </w:r>
      <w:r w:rsidRPr="0074580C">
        <w:rPr>
          <w:rFonts w:ascii="Arial" w:hAnsi="Arial" w:cs="Arial"/>
          <w:bCs/>
          <w:sz w:val="18"/>
          <w:szCs w:val="18"/>
          <w:highlight w:val="black"/>
        </w:rPr>
        <w:t>BGK</w:t>
      </w:r>
      <w:r w:rsidRPr="00D738F6">
        <w:rPr>
          <w:rFonts w:ascii="Arial" w:hAnsi="Arial" w:cs="Arial"/>
          <w:bCs/>
          <w:sz w:val="18"/>
          <w:szCs w:val="18"/>
        </w:rPr>
        <w:t xml:space="preserve"> zastosuje Korektę </w:t>
      </w:r>
      <w:proofErr w:type="spellStart"/>
      <w:r w:rsidRPr="00D738F6">
        <w:rPr>
          <w:rFonts w:ascii="Arial" w:hAnsi="Arial" w:cs="Arial"/>
          <w:bCs/>
          <w:sz w:val="18"/>
          <w:szCs w:val="18"/>
        </w:rPr>
        <w:t>Spreadu</w:t>
      </w:r>
      <w:proofErr w:type="spellEnd"/>
      <w:r w:rsidRPr="00D738F6">
        <w:rPr>
          <w:rFonts w:ascii="Arial" w:hAnsi="Arial" w:cs="Arial"/>
          <w:sz w:val="18"/>
          <w:szCs w:val="18"/>
        </w:rPr>
        <w:t xml:space="preserve"> wyznaczoną w sposób opisany </w:t>
      </w:r>
      <w:r w:rsidRPr="00D738F6">
        <w:rPr>
          <w:rFonts w:ascii="Arial" w:hAnsi="Arial" w:cs="Arial"/>
          <w:bCs/>
          <w:sz w:val="18"/>
          <w:szCs w:val="18"/>
        </w:rPr>
        <w:t>w ust. 7.</w:t>
      </w:r>
    </w:p>
    <w:p w14:paraId="274C23A9" w14:textId="77777777" w:rsidR="003A7B31" w:rsidRPr="00D738F6" w:rsidRDefault="003A7B31" w:rsidP="003A7B31">
      <w:pPr>
        <w:pStyle w:val="Tekstpodstawowy3"/>
        <w:numPr>
          <w:ilvl w:val="0"/>
          <w:numId w:val="13"/>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Z zastrzeżeniem ust. 4 w</w:t>
      </w:r>
      <w:r w:rsidRPr="00D738F6">
        <w:rPr>
          <w:rFonts w:ascii="Arial" w:hAnsi="Arial" w:cs="Arial"/>
          <w:bCs/>
          <w:sz w:val="18"/>
          <w:szCs w:val="18"/>
        </w:rPr>
        <w:t xml:space="preserve"> przypadku </w:t>
      </w:r>
      <w:r w:rsidRPr="00D738F6">
        <w:rPr>
          <w:rFonts w:ascii="Arial" w:hAnsi="Arial" w:cs="Arial"/>
          <w:bCs/>
          <w:sz w:val="18"/>
          <w:szCs w:val="18"/>
          <w:lang w:val="pl-PL"/>
        </w:rPr>
        <w:t>zaistnienia</w:t>
      </w:r>
      <w:r w:rsidRPr="00D738F6">
        <w:rPr>
          <w:rFonts w:ascii="Arial" w:hAnsi="Arial" w:cs="Arial"/>
          <w:bCs/>
          <w:sz w:val="18"/>
          <w:szCs w:val="18"/>
        </w:rPr>
        <w:t xml:space="preserve"> Zdarzenia Regulacyjnego</w:t>
      </w:r>
      <w:r w:rsidRPr="00D738F6">
        <w:rPr>
          <w:rFonts w:ascii="Arial" w:hAnsi="Arial" w:cs="Arial"/>
          <w:bCs/>
          <w:sz w:val="18"/>
          <w:szCs w:val="18"/>
          <w:lang w:val="pl-PL"/>
        </w:rPr>
        <w:t xml:space="preserve"> </w:t>
      </w: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zastosuje Stawkę Alternatywną, Zmiany Dostosowawcze oraz Korektę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xml:space="preserve"> wynikające z bezpośrednio obowiązujących przepisów prawa dotyczących Wskaźników, w tym Stawki Bazowej, a jeżeli to nie będzie możliwe – zastosuje pierwsze możliwe rozwiązanie spośród poniższych:</w:t>
      </w:r>
    </w:p>
    <w:p w14:paraId="2F00D300" w14:textId="77777777" w:rsidR="003A7B31" w:rsidRPr="00D738F6" w:rsidRDefault="003A7B31" w:rsidP="003A7B31">
      <w:pPr>
        <w:pStyle w:val="Tekstpodstawowy3"/>
        <w:numPr>
          <w:ilvl w:val="1"/>
          <w:numId w:val="13"/>
        </w:numPr>
        <w:autoSpaceDE w:val="0"/>
        <w:autoSpaceDN w:val="0"/>
        <w:spacing w:line="360" w:lineRule="auto"/>
        <w:jc w:val="both"/>
        <w:rPr>
          <w:rFonts w:ascii="Arial" w:hAnsi="Arial" w:cs="Arial"/>
          <w:bCs/>
          <w:sz w:val="18"/>
          <w:szCs w:val="18"/>
          <w:lang w:val="pl-PL"/>
        </w:rPr>
      </w:pP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stosuje Stawkę Alternatywną, Zmiany Dostosowawcze oraz Korektę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xml:space="preserve"> wskazane przez Podmiot Wyznaczający, przy czym przez wskazanie rozumie się również wyznaczenie zamiennika Wskaźnika w trybie art. 23b lub 23c BMR. </w:t>
      </w:r>
      <w:r w:rsidRPr="00D738F6">
        <w:rPr>
          <w:rFonts w:ascii="Arial" w:hAnsi="Arial" w:cs="Arial"/>
          <w:sz w:val="18"/>
          <w:szCs w:val="18"/>
          <w:lang w:val="pl-PL"/>
        </w:rPr>
        <w:t>Jeśli</w:t>
      </w:r>
      <w:r w:rsidRPr="00D738F6">
        <w:rPr>
          <w:rFonts w:ascii="Arial" w:hAnsi="Arial" w:cs="Arial"/>
          <w:sz w:val="18"/>
          <w:szCs w:val="18"/>
        </w:rPr>
        <w:t xml:space="preserve"> </w:t>
      </w:r>
      <w:r w:rsidRPr="00D738F6">
        <w:rPr>
          <w:rFonts w:ascii="Arial" w:hAnsi="Arial" w:cs="Arial"/>
          <w:sz w:val="18"/>
          <w:szCs w:val="18"/>
          <w:lang w:val="pl-PL"/>
        </w:rPr>
        <w:t xml:space="preserve">Podmiot Wyznaczający </w:t>
      </w:r>
      <w:r w:rsidRPr="00D738F6">
        <w:rPr>
          <w:rFonts w:ascii="Arial" w:hAnsi="Arial" w:cs="Arial"/>
          <w:sz w:val="18"/>
          <w:szCs w:val="18"/>
        </w:rPr>
        <w:t xml:space="preserve">nie wskaże Korekty </w:t>
      </w:r>
      <w:proofErr w:type="spellStart"/>
      <w:r w:rsidRPr="00D738F6">
        <w:rPr>
          <w:rFonts w:ascii="Arial" w:hAnsi="Arial" w:cs="Arial"/>
          <w:bCs/>
          <w:sz w:val="18"/>
          <w:szCs w:val="18"/>
          <w:lang w:val="pl-PL"/>
        </w:rPr>
        <w:t>Spreadu</w:t>
      </w:r>
      <w:proofErr w:type="spellEnd"/>
      <w:r w:rsidRPr="00D738F6">
        <w:rPr>
          <w:rFonts w:ascii="Arial" w:hAnsi="Arial" w:cs="Arial"/>
          <w:sz w:val="18"/>
          <w:szCs w:val="18"/>
        </w:rPr>
        <w:t xml:space="preserve"> (ani nie wskaże że Korekta </w:t>
      </w:r>
      <w:proofErr w:type="spellStart"/>
      <w:r w:rsidRPr="00D738F6">
        <w:rPr>
          <w:rFonts w:ascii="Arial" w:hAnsi="Arial" w:cs="Arial"/>
          <w:bCs/>
          <w:sz w:val="18"/>
          <w:szCs w:val="18"/>
          <w:lang w:val="pl-PL"/>
        </w:rPr>
        <w:t>Spreadu</w:t>
      </w:r>
      <w:proofErr w:type="spellEnd"/>
      <w:r w:rsidRPr="00D738F6">
        <w:rPr>
          <w:rFonts w:ascii="Arial" w:hAnsi="Arial" w:cs="Arial"/>
          <w:sz w:val="18"/>
          <w:szCs w:val="18"/>
        </w:rPr>
        <w:t xml:space="preserve"> nie ma być stosowana), </w:t>
      </w:r>
      <w:r w:rsidRPr="0074580C">
        <w:rPr>
          <w:rFonts w:ascii="Arial" w:hAnsi="Arial" w:cs="Arial"/>
          <w:sz w:val="18"/>
          <w:szCs w:val="18"/>
          <w:highlight w:val="black"/>
          <w:lang w:val="pl-PL"/>
        </w:rPr>
        <w:t>BGK</w:t>
      </w:r>
      <w:r w:rsidRPr="00D738F6">
        <w:rPr>
          <w:rFonts w:ascii="Arial" w:hAnsi="Arial" w:cs="Arial"/>
          <w:sz w:val="18"/>
          <w:szCs w:val="18"/>
          <w:lang w:val="pl-PL"/>
        </w:rPr>
        <w:t xml:space="preserve"> stosuje Korektę </w:t>
      </w:r>
      <w:proofErr w:type="spellStart"/>
      <w:r w:rsidRPr="00D738F6">
        <w:rPr>
          <w:rFonts w:ascii="Arial" w:hAnsi="Arial" w:cs="Arial"/>
          <w:bCs/>
          <w:sz w:val="18"/>
          <w:szCs w:val="18"/>
          <w:lang w:val="pl-PL"/>
        </w:rPr>
        <w:t>Spreadu</w:t>
      </w:r>
      <w:proofErr w:type="spellEnd"/>
      <w:r w:rsidRPr="00D738F6">
        <w:rPr>
          <w:rFonts w:ascii="Arial" w:hAnsi="Arial" w:cs="Arial"/>
          <w:sz w:val="18"/>
          <w:szCs w:val="18"/>
          <w:lang w:val="pl-PL"/>
        </w:rPr>
        <w:t xml:space="preserve"> wyznaczoną w sposób opisany </w:t>
      </w:r>
      <w:r w:rsidRPr="00D738F6">
        <w:rPr>
          <w:rFonts w:ascii="Arial" w:hAnsi="Arial" w:cs="Arial"/>
          <w:bCs/>
          <w:sz w:val="18"/>
          <w:szCs w:val="18"/>
          <w:lang w:val="pl-PL"/>
        </w:rPr>
        <w:t xml:space="preserve">w ust. 7. Jeżeli Podmioty Wyznaczające wskażą różne Stawki Alternatywne, Zmiany Dostosowawcze oraz Korekty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 xml:space="preserve">, </w:t>
      </w: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zastosuje te spośród nich, które pozwolą zachować skutek ekonomiczny najbardziej zbliżony do Stawki Dotychczasowej.</w:t>
      </w:r>
    </w:p>
    <w:p w14:paraId="4DAB8137" w14:textId="77777777" w:rsidR="003A7B31" w:rsidRPr="00D738F6" w:rsidRDefault="003A7B31" w:rsidP="003A7B31">
      <w:pPr>
        <w:pStyle w:val="Tekstpodstawowy3"/>
        <w:numPr>
          <w:ilvl w:val="1"/>
          <w:numId w:val="13"/>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W sytuacji, w której nie będzie możliwe zastosowanie rozwiązań opisanych w pkt. 1 j</w:t>
      </w:r>
      <w:r w:rsidRPr="00D738F6">
        <w:rPr>
          <w:rFonts w:ascii="Arial" w:hAnsi="Arial" w:cs="Arial"/>
          <w:bCs/>
          <w:sz w:val="18"/>
          <w:szCs w:val="18"/>
          <w:lang w:val="pl-PL"/>
        </w:rPr>
        <w:t xml:space="preserve">ako Stawkę Alternatywną </w:t>
      </w: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stosuje stopę referencyjną Narodowego Banku Polskiego. </w:t>
      </w:r>
      <w:r w:rsidRPr="0074580C">
        <w:rPr>
          <w:rFonts w:ascii="Arial" w:hAnsi="Arial" w:cs="Arial"/>
          <w:bCs/>
          <w:sz w:val="18"/>
          <w:szCs w:val="18"/>
          <w:highlight w:val="black"/>
          <w:lang w:val="pl-PL"/>
        </w:rPr>
        <w:t>BGK</w:t>
      </w:r>
      <w:r w:rsidRPr="00D738F6">
        <w:rPr>
          <w:rFonts w:ascii="Arial" w:hAnsi="Arial" w:cs="Arial"/>
          <w:bCs/>
          <w:sz w:val="18"/>
          <w:szCs w:val="18"/>
          <w:lang w:val="pl-PL"/>
        </w:rPr>
        <w:t xml:space="preserve"> stosuje Korektę </w:t>
      </w:r>
      <w:proofErr w:type="spellStart"/>
      <w:r w:rsidRPr="00D738F6">
        <w:rPr>
          <w:rFonts w:ascii="Arial" w:hAnsi="Arial" w:cs="Arial"/>
          <w:bCs/>
          <w:sz w:val="18"/>
          <w:szCs w:val="18"/>
          <w:lang w:val="pl-PL"/>
        </w:rPr>
        <w:t>Spreadu</w:t>
      </w:r>
      <w:proofErr w:type="spellEnd"/>
      <w:r w:rsidRPr="00D738F6">
        <w:rPr>
          <w:rFonts w:ascii="Arial" w:hAnsi="Arial" w:cs="Arial"/>
          <w:sz w:val="18"/>
          <w:szCs w:val="18"/>
          <w:lang w:val="pl-PL"/>
        </w:rPr>
        <w:t xml:space="preserve"> wyznaczoną w sposób opisany </w:t>
      </w:r>
      <w:r w:rsidRPr="00D738F6">
        <w:rPr>
          <w:rFonts w:ascii="Arial" w:hAnsi="Arial" w:cs="Arial"/>
          <w:bCs/>
          <w:sz w:val="18"/>
          <w:szCs w:val="18"/>
          <w:lang w:val="pl-PL"/>
        </w:rPr>
        <w:t>w ust. 7.</w:t>
      </w:r>
    </w:p>
    <w:p w14:paraId="4788E921" w14:textId="77777777" w:rsidR="003A7B31" w:rsidRPr="00D738F6" w:rsidRDefault="003A7B31" w:rsidP="003A7B31">
      <w:pPr>
        <w:pStyle w:val="Tekstpodstawowy3"/>
        <w:numPr>
          <w:ilvl w:val="0"/>
          <w:numId w:val="13"/>
        </w:numPr>
        <w:autoSpaceDE w:val="0"/>
        <w:autoSpaceDN w:val="0"/>
        <w:spacing w:line="360" w:lineRule="auto"/>
        <w:jc w:val="both"/>
        <w:rPr>
          <w:rFonts w:ascii="Arial" w:hAnsi="Arial" w:cs="Arial"/>
          <w:bCs/>
          <w:sz w:val="18"/>
          <w:szCs w:val="18"/>
          <w:lang w:val="pl-PL"/>
        </w:rPr>
      </w:pPr>
      <w:r w:rsidRPr="00D738F6">
        <w:rPr>
          <w:rFonts w:ascii="Arial" w:hAnsi="Arial" w:cs="Arial"/>
          <w:sz w:val="18"/>
          <w:szCs w:val="18"/>
          <w:lang w:val="pl-PL"/>
        </w:rPr>
        <w:t xml:space="preserve">W sytuacji, w której nie będzie możliwe zastosowanie rozwiązań opisanych w ust. 5 w miejsce Stawki Dotychczasowej </w:t>
      </w:r>
      <w:r w:rsidRPr="0074580C">
        <w:rPr>
          <w:rFonts w:ascii="Arial" w:hAnsi="Arial" w:cs="Arial"/>
          <w:sz w:val="18"/>
          <w:szCs w:val="18"/>
          <w:highlight w:val="black"/>
          <w:lang w:val="pl-PL"/>
        </w:rPr>
        <w:t>BGK</w:t>
      </w:r>
      <w:r w:rsidRPr="00D738F6">
        <w:rPr>
          <w:rFonts w:ascii="Arial" w:hAnsi="Arial" w:cs="Arial"/>
          <w:sz w:val="18"/>
          <w:szCs w:val="18"/>
          <w:lang w:val="pl-PL"/>
        </w:rPr>
        <w:t xml:space="preserve"> zastosuje </w:t>
      </w:r>
      <w:r w:rsidRPr="00D738F6">
        <w:rPr>
          <w:rFonts w:ascii="Arial" w:hAnsi="Arial" w:cs="Arial"/>
          <w:sz w:val="18"/>
          <w:szCs w:val="18"/>
        </w:rPr>
        <w:t xml:space="preserve">ostatnią dostępną wartość Stawki Bazowej z przed </w:t>
      </w:r>
      <w:r w:rsidRPr="00D738F6">
        <w:rPr>
          <w:rFonts w:ascii="Arial" w:hAnsi="Arial" w:cs="Arial"/>
          <w:sz w:val="18"/>
          <w:szCs w:val="18"/>
          <w:lang w:val="pl-PL"/>
        </w:rPr>
        <w:t>D</w:t>
      </w:r>
      <w:proofErr w:type="spellStart"/>
      <w:r w:rsidRPr="00D738F6">
        <w:rPr>
          <w:rFonts w:ascii="Arial" w:hAnsi="Arial" w:cs="Arial"/>
          <w:sz w:val="18"/>
          <w:szCs w:val="18"/>
        </w:rPr>
        <w:t>nia</w:t>
      </w:r>
      <w:proofErr w:type="spellEnd"/>
      <w:r w:rsidRPr="00D738F6">
        <w:rPr>
          <w:rFonts w:ascii="Arial" w:hAnsi="Arial" w:cs="Arial"/>
          <w:sz w:val="18"/>
          <w:szCs w:val="18"/>
          <w:lang w:val="pl-PL"/>
        </w:rPr>
        <w:t xml:space="preserve"> Zamiany oraz</w:t>
      </w:r>
      <w:r w:rsidRPr="00D738F6">
        <w:rPr>
          <w:rFonts w:ascii="Arial" w:hAnsi="Arial" w:cs="Arial"/>
          <w:bCs/>
          <w:sz w:val="18"/>
          <w:szCs w:val="18"/>
          <w:lang w:val="pl-PL"/>
        </w:rPr>
        <w:t xml:space="preserve"> nie stosuje Korekty </w:t>
      </w:r>
      <w:proofErr w:type="spellStart"/>
      <w:r w:rsidRPr="00D738F6">
        <w:rPr>
          <w:rFonts w:ascii="Arial" w:hAnsi="Arial" w:cs="Arial"/>
          <w:bCs/>
          <w:sz w:val="18"/>
          <w:szCs w:val="18"/>
          <w:lang w:val="pl-PL"/>
        </w:rPr>
        <w:t>Spreadu</w:t>
      </w:r>
      <w:proofErr w:type="spellEnd"/>
      <w:r w:rsidRPr="00D738F6">
        <w:rPr>
          <w:rFonts w:ascii="Arial" w:hAnsi="Arial" w:cs="Arial"/>
          <w:bCs/>
          <w:sz w:val="18"/>
          <w:szCs w:val="18"/>
          <w:lang w:val="pl-PL"/>
        </w:rPr>
        <w:t>.</w:t>
      </w:r>
    </w:p>
    <w:p w14:paraId="6A648222" w14:textId="77777777" w:rsidR="003A7B31" w:rsidRPr="00D738F6" w:rsidRDefault="003A7B31" w:rsidP="003A7B31">
      <w:pPr>
        <w:pStyle w:val="Tekstpodstawowy3"/>
        <w:numPr>
          <w:ilvl w:val="0"/>
          <w:numId w:val="13"/>
        </w:numPr>
        <w:autoSpaceDE w:val="0"/>
        <w:autoSpaceDN w:val="0"/>
        <w:spacing w:line="360" w:lineRule="auto"/>
        <w:jc w:val="both"/>
        <w:rPr>
          <w:rFonts w:ascii="Arial" w:hAnsi="Arial" w:cs="Arial"/>
          <w:bCs/>
          <w:sz w:val="18"/>
          <w:szCs w:val="18"/>
          <w:lang w:val="pl-PL"/>
        </w:rPr>
      </w:pPr>
      <w:r w:rsidRPr="00D738F6">
        <w:rPr>
          <w:rFonts w:ascii="Arial" w:hAnsi="Arial" w:cs="Arial"/>
          <w:bCs/>
          <w:sz w:val="18"/>
          <w:szCs w:val="18"/>
          <w:lang w:val="pl-PL"/>
        </w:rPr>
        <w:t xml:space="preserve">W przypadku gdy inne postanowienia Zasad nie stanowią inaczej </w:t>
      </w:r>
      <w:r w:rsidRPr="00D738F6">
        <w:rPr>
          <w:rFonts w:ascii="Arial" w:hAnsi="Arial" w:cs="Arial"/>
          <w:sz w:val="18"/>
          <w:szCs w:val="18"/>
        </w:rPr>
        <w:t xml:space="preserve">Korekta </w:t>
      </w:r>
      <w:proofErr w:type="spellStart"/>
      <w:r w:rsidRPr="00D738F6">
        <w:rPr>
          <w:rFonts w:ascii="Arial" w:hAnsi="Arial" w:cs="Arial"/>
          <w:bCs/>
          <w:sz w:val="18"/>
          <w:szCs w:val="18"/>
          <w:lang w:val="pl-PL"/>
        </w:rPr>
        <w:t>Spreadu</w:t>
      </w:r>
      <w:proofErr w:type="spellEnd"/>
      <w:r w:rsidRPr="00D738F6">
        <w:rPr>
          <w:rFonts w:ascii="Arial" w:hAnsi="Arial" w:cs="Arial"/>
          <w:sz w:val="18"/>
          <w:szCs w:val="18"/>
        </w:rPr>
        <w:t xml:space="preserve"> zostanie wyznaczona przez </w:t>
      </w:r>
      <w:r w:rsidRPr="0074580C">
        <w:rPr>
          <w:rFonts w:ascii="Arial" w:hAnsi="Arial" w:cs="Arial"/>
          <w:sz w:val="18"/>
          <w:szCs w:val="18"/>
          <w:highlight w:val="black"/>
        </w:rPr>
        <w:t>B</w:t>
      </w:r>
      <w:r w:rsidRPr="0074580C">
        <w:rPr>
          <w:rFonts w:ascii="Arial" w:hAnsi="Arial" w:cs="Arial"/>
          <w:sz w:val="18"/>
          <w:szCs w:val="18"/>
          <w:highlight w:val="black"/>
          <w:lang w:val="pl-PL"/>
        </w:rPr>
        <w:t>GK</w:t>
      </w:r>
      <w:r w:rsidRPr="00D738F6">
        <w:rPr>
          <w:rFonts w:ascii="Arial" w:hAnsi="Arial" w:cs="Arial"/>
          <w:sz w:val="18"/>
          <w:szCs w:val="18"/>
          <w:lang w:val="pl-PL"/>
        </w:rPr>
        <w:t xml:space="preserve"> jako mediana różnic pomiędzy Stawką Dotychczasową, a Stawką Alternatywną, za okres 5 lat (lub krótszy, jeśli Stawkę Dotychczasową lub Stawkę Alternatywną obliczano krócej) przed dniem wystąpienia Zdarzenia Regulacyjnego (z zastrzeżeniem przyjęcia szczegółowych rozwiązań w tym zakresie zgodnie z Regulaminem Bloomberg). </w:t>
      </w:r>
      <w:r w:rsidRPr="0074580C">
        <w:rPr>
          <w:rFonts w:ascii="Arial" w:hAnsi="Arial" w:cs="Arial"/>
          <w:sz w:val="18"/>
          <w:szCs w:val="18"/>
          <w:highlight w:val="black"/>
          <w:lang w:val="pl-PL"/>
        </w:rPr>
        <w:t>BGK</w:t>
      </w:r>
      <w:r w:rsidRPr="00D738F6">
        <w:rPr>
          <w:rFonts w:ascii="Arial" w:hAnsi="Arial" w:cs="Arial"/>
          <w:sz w:val="18"/>
          <w:szCs w:val="18"/>
          <w:lang w:val="pl-PL"/>
        </w:rPr>
        <w:t xml:space="preserve"> dodaje tak wyznaczoną Korektę </w:t>
      </w:r>
      <w:proofErr w:type="spellStart"/>
      <w:r w:rsidRPr="00D738F6">
        <w:rPr>
          <w:rFonts w:ascii="Arial" w:hAnsi="Arial" w:cs="Arial"/>
          <w:bCs/>
          <w:sz w:val="18"/>
          <w:szCs w:val="18"/>
          <w:lang w:val="pl-PL"/>
        </w:rPr>
        <w:t>Spreadu</w:t>
      </w:r>
      <w:proofErr w:type="spellEnd"/>
      <w:r w:rsidRPr="00D738F6">
        <w:rPr>
          <w:rFonts w:ascii="Arial" w:hAnsi="Arial" w:cs="Arial"/>
          <w:sz w:val="18"/>
          <w:szCs w:val="18"/>
          <w:lang w:val="pl-PL"/>
        </w:rPr>
        <w:t xml:space="preserve"> do Stawki Alternatywnej, po uwzględnieniu zastosowanych Zmian Dostosowawczych.</w:t>
      </w:r>
    </w:p>
    <w:p w14:paraId="2CE148D1"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§4.</w:t>
      </w:r>
    </w:p>
    <w:p w14:paraId="59B33412" w14:textId="77777777" w:rsidR="003A7B31" w:rsidRPr="00D738F6" w:rsidRDefault="003A7B31" w:rsidP="003A7B31">
      <w:pPr>
        <w:jc w:val="center"/>
        <w:rPr>
          <w:rFonts w:ascii="Arial" w:hAnsi="Arial" w:cs="Arial"/>
          <w:b/>
          <w:sz w:val="18"/>
          <w:szCs w:val="18"/>
        </w:rPr>
      </w:pPr>
      <w:r w:rsidRPr="00D738F6">
        <w:rPr>
          <w:rFonts w:ascii="Arial" w:hAnsi="Arial" w:cs="Arial"/>
          <w:b/>
          <w:sz w:val="18"/>
          <w:szCs w:val="18"/>
        </w:rPr>
        <w:t>Postępowanie w razie Ogłoszenia Istotnej Zmiany</w:t>
      </w:r>
    </w:p>
    <w:p w14:paraId="4AE16E94" w14:textId="77777777" w:rsidR="003A7B31" w:rsidRPr="00D738F6" w:rsidRDefault="003A7B31" w:rsidP="003A7B31">
      <w:pPr>
        <w:rPr>
          <w:rFonts w:ascii="Arial" w:eastAsia="Times New Roman" w:hAnsi="Arial" w:cs="Arial"/>
          <w:sz w:val="18"/>
          <w:szCs w:val="18"/>
          <w:lang w:eastAsia="x-none"/>
        </w:rPr>
      </w:pPr>
      <w:r w:rsidRPr="00D738F6">
        <w:rPr>
          <w:rFonts w:ascii="Arial" w:eastAsia="Times New Roman" w:hAnsi="Arial" w:cs="Arial"/>
          <w:sz w:val="18"/>
          <w:szCs w:val="18"/>
          <w:lang w:eastAsia="x-none"/>
        </w:rPr>
        <w:t>W przypadku Ogłoszenia Istotnej Zmiany:</w:t>
      </w:r>
    </w:p>
    <w:p w14:paraId="455C0E04" w14:textId="77777777" w:rsidR="003A7B31" w:rsidRPr="00D738F6" w:rsidRDefault="003A7B31" w:rsidP="003A7B31">
      <w:pPr>
        <w:pStyle w:val="Akapitzlist"/>
        <w:numPr>
          <w:ilvl w:val="0"/>
          <w:numId w:val="16"/>
        </w:numPr>
        <w:spacing w:after="160" w:line="360" w:lineRule="auto"/>
        <w:jc w:val="both"/>
        <w:rPr>
          <w:rFonts w:ascii="Arial" w:hAnsi="Arial" w:cs="Arial"/>
          <w:sz w:val="18"/>
          <w:szCs w:val="18"/>
        </w:rPr>
      </w:pPr>
      <w:r w:rsidRPr="00D738F6">
        <w:rPr>
          <w:rFonts w:ascii="Arial" w:hAnsi="Arial" w:cs="Arial"/>
          <w:sz w:val="18"/>
          <w:szCs w:val="18"/>
        </w:rPr>
        <w:t xml:space="preserve">Korekta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zostanie wyznaczona przez </w:t>
      </w:r>
      <w:r w:rsidRPr="0074580C">
        <w:rPr>
          <w:rFonts w:ascii="Arial" w:hAnsi="Arial" w:cs="Arial"/>
          <w:sz w:val="18"/>
          <w:szCs w:val="18"/>
          <w:highlight w:val="black"/>
        </w:rPr>
        <w:t>BGK</w:t>
      </w:r>
      <w:r w:rsidRPr="00D738F6">
        <w:rPr>
          <w:rFonts w:ascii="Arial" w:hAnsi="Arial" w:cs="Arial"/>
          <w:sz w:val="18"/>
          <w:szCs w:val="18"/>
        </w:rPr>
        <w:t xml:space="preserve"> jako mediana różnic pomiędzy Stawką Bazową, a Stawką Bazową obliczoną według zmienionej metodologii (dalej „</w:t>
      </w:r>
      <w:r w:rsidRPr="00D738F6">
        <w:rPr>
          <w:rFonts w:ascii="Arial" w:hAnsi="Arial" w:cs="Arial"/>
          <w:b/>
          <w:sz w:val="18"/>
          <w:szCs w:val="18"/>
        </w:rPr>
        <w:t>Zmienioną Stawką Bazową</w:t>
      </w:r>
      <w:r w:rsidRPr="00D738F6">
        <w:rPr>
          <w:rFonts w:ascii="Arial" w:hAnsi="Arial" w:cs="Arial"/>
          <w:sz w:val="18"/>
          <w:szCs w:val="18"/>
        </w:rPr>
        <w:t xml:space="preserve">”), za okres 6 miesięcy (lub krótszy, jeśli Stawkę Bazową obliczano krócej) przed dniem Ogłoszenia Istotnej Zmiany. </w:t>
      </w:r>
      <w:r w:rsidRPr="0074580C">
        <w:rPr>
          <w:rFonts w:ascii="Arial" w:hAnsi="Arial" w:cs="Arial"/>
          <w:sz w:val="18"/>
          <w:szCs w:val="18"/>
          <w:highlight w:val="black"/>
        </w:rPr>
        <w:t>BGK</w:t>
      </w:r>
      <w:r w:rsidRPr="00D738F6">
        <w:rPr>
          <w:rFonts w:ascii="Arial" w:hAnsi="Arial" w:cs="Arial"/>
          <w:sz w:val="18"/>
          <w:szCs w:val="18"/>
        </w:rPr>
        <w:t xml:space="preserve"> dodaje tak wyznaczoną Korektę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do Zmienionej Stawki Bazowej.</w:t>
      </w:r>
    </w:p>
    <w:p w14:paraId="779278A8" w14:textId="77777777" w:rsidR="003A7B31" w:rsidRPr="00D738F6" w:rsidRDefault="003A7B31" w:rsidP="003A7B31">
      <w:pPr>
        <w:pStyle w:val="Akapitzlist"/>
        <w:numPr>
          <w:ilvl w:val="0"/>
          <w:numId w:val="16"/>
        </w:numPr>
        <w:spacing w:after="160" w:line="360" w:lineRule="auto"/>
        <w:jc w:val="both"/>
        <w:rPr>
          <w:rFonts w:ascii="Arial" w:hAnsi="Arial" w:cs="Arial"/>
          <w:sz w:val="18"/>
          <w:szCs w:val="18"/>
        </w:rPr>
      </w:pPr>
      <w:r w:rsidRPr="00D738F6">
        <w:rPr>
          <w:rFonts w:ascii="Arial" w:hAnsi="Arial" w:cs="Arial"/>
          <w:sz w:val="18"/>
          <w:szCs w:val="18"/>
        </w:rPr>
        <w:lastRenderedPageBreak/>
        <w:t xml:space="preserve">W przypadku braku danych niezbędnych do wyliczenia Korekty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w sposób opisany w ust. 1, przyjmuje się, że Korekta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wynosi zero.</w:t>
      </w:r>
    </w:p>
    <w:p w14:paraId="492BB0A1" w14:textId="77777777" w:rsidR="003A7B31" w:rsidRPr="00D738F6" w:rsidRDefault="003A7B31" w:rsidP="003A7B31">
      <w:pPr>
        <w:pStyle w:val="Akapitzlist"/>
        <w:numPr>
          <w:ilvl w:val="0"/>
          <w:numId w:val="16"/>
        </w:numPr>
        <w:spacing w:after="160" w:line="360" w:lineRule="auto"/>
        <w:jc w:val="both"/>
        <w:rPr>
          <w:rFonts w:ascii="Arial" w:hAnsi="Arial" w:cs="Arial"/>
          <w:sz w:val="18"/>
          <w:szCs w:val="18"/>
        </w:rPr>
      </w:pPr>
      <w:r w:rsidRPr="0074580C">
        <w:rPr>
          <w:rFonts w:ascii="Arial" w:hAnsi="Arial" w:cs="Arial"/>
          <w:sz w:val="18"/>
          <w:szCs w:val="18"/>
          <w:highlight w:val="black"/>
        </w:rPr>
        <w:t>BGK</w:t>
      </w:r>
      <w:r w:rsidRPr="00D738F6">
        <w:rPr>
          <w:rFonts w:ascii="Arial" w:hAnsi="Arial" w:cs="Arial"/>
          <w:sz w:val="18"/>
          <w:szCs w:val="18"/>
        </w:rPr>
        <w:t xml:space="preserve"> będzie stosował Zmienioną Stawkę Bazową oraz Korektę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począwszy od pierwszego dnia stosowania przypadającego w dniu, w którym nastąpiła zmiana metody obliczania Stawki Bazowej lub po tym dniu, przez cały czas trwania Umowy, z zastrzeżeniem dalszych postanowień niniejszego paragrafu.</w:t>
      </w:r>
    </w:p>
    <w:p w14:paraId="2C23E409" w14:textId="77777777" w:rsidR="003A7B31" w:rsidRPr="00D738F6" w:rsidRDefault="003A7B31" w:rsidP="003A7B31">
      <w:pPr>
        <w:pStyle w:val="Akapitzlist"/>
        <w:numPr>
          <w:ilvl w:val="0"/>
          <w:numId w:val="16"/>
        </w:numPr>
        <w:spacing w:after="160" w:line="360" w:lineRule="auto"/>
        <w:jc w:val="both"/>
      </w:pPr>
      <w:r w:rsidRPr="00D738F6">
        <w:rPr>
          <w:rFonts w:ascii="Arial" w:hAnsi="Arial" w:cs="Arial"/>
          <w:sz w:val="18"/>
          <w:szCs w:val="18"/>
        </w:rPr>
        <w:t xml:space="preserve">Po zmianie metody obliczania Stawki Bazowej postanowienia Umowy oraz Zasad które dotyczą Stawki Bazowej stosuje się odpowiednio do Zmienionej Stawki Bazowej oraz Korekty </w:t>
      </w:r>
      <w:proofErr w:type="spellStart"/>
      <w:r w:rsidRPr="00D738F6">
        <w:rPr>
          <w:rFonts w:ascii="Arial" w:hAnsi="Arial" w:cs="Arial"/>
          <w:sz w:val="18"/>
          <w:szCs w:val="18"/>
        </w:rPr>
        <w:t>Spreadu</w:t>
      </w:r>
      <w:proofErr w:type="spellEnd"/>
      <w:r w:rsidRPr="00D738F6">
        <w:rPr>
          <w:rFonts w:ascii="Arial" w:hAnsi="Arial" w:cs="Arial"/>
          <w:sz w:val="18"/>
          <w:szCs w:val="18"/>
        </w:rPr>
        <w:t>.</w:t>
      </w:r>
      <w:r w:rsidRPr="00D738F6">
        <w:t xml:space="preserve"> </w:t>
      </w:r>
      <w:bookmarkStart w:id="3" w:name="_Hlk70099273"/>
    </w:p>
    <w:p w14:paraId="77EFF50C"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§5.</w:t>
      </w:r>
    </w:p>
    <w:p w14:paraId="4B98CE03" w14:textId="77777777" w:rsidR="003A7B31" w:rsidRPr="00D738F6" w:rsidRDefault="003A7B31" w:rsidP="003A7B31">
      <w:pPr>
        <w:jc w:val="center"/>
        <w:rPr>
          <w:rFonts w:ascii="Arial" w:hAnsi="Arial" w:cs="Arial"/>
          <w:b/>
          <w:sz w:val="18"/>
          <w:szCs w:val="18"/>
        </w:rPr>
      </w:pPr>
      <w:r w:rsidRPr="00D738F6">
        <w:rPr>
          <w:rFonts w:ascii="Arial" w:hAnsi="Arial" w:cs="Arial"/>
          <w:b/>
          <w:sz w:val="18"/>
          <w:szCs w:val="18"/>
        </w:rPr>
        <w:t>Postępowanie w razie Czasowego Braku Publikacji Stawki Bazowej</w:t>
      </w:r>
    </w:p>
    <w:p w14:paraId="40241E49" w14:textId="77777777" w:rsidR="003A7B31" w:rsidRPr="00D738F6" w:rsidRDefault="003A7B31" w:rsidP="003A7B31">
      <w:pPr>
        <w:pStyle w:val="Tekstpodstawowy2"/>
        <w:numPr>
          <w:ilvl w:val="0"/>
          <w:numId w:val="11"/>
        </w:numPr>
        <w:spacing w:before="120" w:after="0" w:line="360" w:lineRule="auto"/>
        <w:jc w:val="both"/>
        <w:rPr>
          <w:rFonts w:ascii="Arial" w:hAnsi="Arial" w:cs="Arial"/>
          <w:sz w:val="18"/>
          <w:szCs w:val="18"/>
        </w:rPr>
      </w:pPr>
      <w:r w:rsidRPr="00D738F6">
        <w:rPr>
          <w:rFonts w:ascii="Arial" w:hAnsi="Arial" w:cs="Arial"/>
          <w:sz w:val="18"/>
          <w:szCs w:val="18"/>
        </w:rPr>
        <w:t xml:space="preserve">W Dniu Stosowania przypadającym w okresie Czasowego Braku Publikacji Stawki Bazowej, </w:t>
      </w:r>
      <w:r w:rsidRPr="0074580C">
        <w:rPr>
          <w:rFonts w:ascii="Arial" w:hAnsi="Arial" w:cs="Arial"/>
          <w:sz w:val="18"/>
          <w:szCs w:val="18"/>
          <w:highlight w:val="black"/>
        </w:rPr>
        <w:t>BGK</w:t>
      </w:r>
      <w:r w:rsidRPr="00D738F6">
        <w:rPr>
          <w:rFonts w:ascii="Arial" w:hAnsi="Arial" w:cs="Arial"/>
          <w:sz w:val="18"/>
          <w:szCs w:val="18"/>
        </w:rPr>
        <w:t xml:space="preserve"> stosuje ostatnią dostępną wartość Stawki Bazowej z przed dnia Czasowego Braku Publikacji Stawki Bazowej, z zastrzeżeniem dalszych postanowień niniejszego paragrafu. </w:t>
      </w:r>
    </w:p>
    <w:p w14:paraId="44AA9E27" w14:textId="77777777" w:rsidR="003A7B31" w:rsidRPr="00D738F6" w:rsidRDefault="003A7B31" w:rsidP="003A7B31">
      <w:pPr>
        <w:pStyle w:val="Tekstpodstawowy2"/>
        <w:numPr>
          <w:ilvl w:val="0"/>
          <w:numId w:val="11"/>
        </w:numPr>
        <w:spacing w:before="120" w:after="0" w:line="360" w:lineRule="auto"/>
        <w:jc w:val="both"/>
        <w:rPr>
          <w:rFonts w:ascii="Arial" w:hAnsi="Arial" w:cs="Arial"/>
          <w:sz w:val="18"/>
          <w:szCs w:val="18"/>
        </w:rPr>
      </w:pPr>
      <w:r w:rsidRPr="00D738F6">
        <w:rPr>
          <w:rFonts w:ascii="Arial" w:hAnsi="Arial" w:cs="Arial"/>
          <w:sz w:val="18"/>
          <w:szCs w:val="18"/>
        </w:rPr>
        <w:t xml:space="preserve">W przypadku gdy Czasowy Brak Publikacji Stawki Bazowej trwa nieprzerwanie przez okres co najmniej 90 dni, w pierwszym Dniu Roboczym przypadającym po 90 dniu Czasowego Braku Publikacji Stawki Bazowej </w:t>
      </w:r>
      <w:r w:rsidRPr="0074580C">
        <w:rPr>
          <w:rFonts w:ascii="Arial" w:hAnsi="Arial" w:cs="Arial"/>
          <w:sz w:val="18"/>
          <w:szCs w:val="18"/>
          <w:highlight w:val="black"/>
        </w:rPr>
        <w:t>BGK</w:t>
      </w:r>
      <w:r w:rsidRPr="00D738F6">
        <w:rPr>
          <w:rFonts w:ascii="Arial" w:hAnsi="Arial" w:cs="Arial"/>
          <w:sz w:val="18"/>
          <w:szCs w:val="18"/>
        </w:rPr>
        <w:t xml:space="preserve"> wyznaczy Stawkę Alternatywną, Zmiany Dostosowawcze oraz Korektę </w:t>
      </w:r>
      <w:proofErr w:type="spellStart"/>
      <w:r w:rsidRPr="00D738F6">
        <w:rPr>
          <w:rFonts w:ascii="Arial" w:hAnsi="Arial" w:cs="Arial"/>
          <w:bCs/>
          <w:sz w:val="18"/>
          <w:szCs w:val="18"/>
        </w:rPr>
        <w:t>Spreadu</w:t>
      </w:r>
      <w:proofErr w:type="spellEnd"/>
      <w:r w:rsidRPr="00D738F6">
        <w:rPr>
          <w:rFonts w:ascii="Arial" w:hAnsi="Arial" w:cs="Arial"/>
          <w:sz w:val="18"/>
          <w:szCs w:val="18"/>
        </w:rPr>
        <w:t xml:space="preserve"> stosując rozwiązania przewidziane dla Zdarzenia Regulacyjnego, przy czym będzie je stosował do końca trwania Umowy począwszy od pierwszego Dnia Stosowania przypadającego po upływie 15 Dni Roboczych od 90 dnia Czasowego Braku Publikacji Stawki Bazowej.</w:t>
      </w:r>
    </w:p>
    <w:p w14:paraId="60820A85" w14:textId="77777777" w:rsidR="003A7B31" w:rsidRPr="00D738F6" w:rsidRDefault="003A7B31" w:rsidP="003A7B31">
      <w:pPr>
        <w:pStyle w:val="Akapitzlist"/>
        <w:numPr>
          <w:ilvl w:val="0"/>
          <w:numId w:val="11"/>
        </w:numPr>
        <w:spacing w:after="160" w:line="360" w:lineRule="auto"/>
        <w:jc w:val="both"/>
        <w:rPr>
          <w:rFonts w:ascii="Arial" w:hAnsi="Arial" w:cs="Arial"/>
          <w:sz w:val="18"/>
          <w:szCs w:val="18"/>
        </w:rPr>
      </w:pPr>
      <w:r w:rsidRPr="00D738F6">
        <w:rPr>
          <w:rFonts w:ascii="Arial" w:hAnsi="Arial" w:cs="Arial"/>
          <w:sz w:val="18"/>
          <w:szCs w:val="18"/>
        </w:rPr>
        <w:t xml:space="preserve">Jeżeli w trakcie trwania Czasowego Braku Publikacji Stawki Bazowej zaistnieje Zdarzenie Regulacyjne, zastosowanie będą miały rozwiązania przewidziane dla Zdarzenia Regulacyjnego, z zastrzeżeniem, że jeżeli przed zaistnieniem tego Zdarzenia Regulacyjnego Stawka Alternatywna została już wyznaczona w sposób opisany w ust. 2 nie wyznacza się jej ponownie. </w:t>
      </w:r>
    </w:p>
    <w:p w14:paraId="77DA6DAD" w14:textId="77777777" w:rsidR="003A7B31" w:rsidRPr="00D738F6" w:rsidRDefault="003A7B31" w:rsidP="003A7B31">
      <w:pPr>
        <w:spacing w:after="0" w:line="360" w:lineRule="auto"/>
        <w:jc w:val="center"/>
        <w:rPr>
          <w:rFonts w:ascii="Arial" w:hAnsi="Arial" w:cs="Arial"/>
          <w:b/>
          <w:bCs/>
          <w:sz w:val="18"/>
          <w:szCs w:val="18"/>
        </w:rPr>
      </w:pPr>
      <w:r w:rsidRPr="00D738F6">
        <w:rPr>
          <w:rFonts w:ascii="Arial" w:hAnsi="Arial" w:cs="Arial"/>
          <w:b/>
          <w:bCs/>
          <w:sz w:val="18"/>
          <w:szCs w:val="18"/>
        </w:rPr>
        <w:t>§6.</w:t>
      </w:r>
    </w:p>
    <w:p w14:paraId="11AE6C21" w14:textId="77777777" w:rsidR="003A7B31" w:rsidRPr="00D738F6" w:rsidRDefault="003A7B31" w:rsidP="003A7B31">
      <w:pPr>
        <w:jc w:val="center"/>
        <w:rPr>
          <w:rFonts w:ascii="Arial" w:hAnsi="Arial" w:cs="Arial"/>
          <w:b/>
          <w:sz w:val="18"/>
          <w:szCs w:val="18"/>
        </w:rPr>
      </w:pPr>
      <w:r w:rsidRPr="00D738F6">
        <w:rPr>
          <w:rFonts w:ascii="Arial" w:hAnsi="Arial" w:cs="Arial"/>
          <w:b/>
          <w:sz w:val="18"/>
          <w:szCs w:val="18"/>
        </w:rPr>
        <w:t>Obowiązki informacyjne</w:t>
      </w:r>
    </w:p>
    <w:p w14:paraId="6B76DF37" w14:textId="77777777" w:rsidR="003A7B31" w:rsidRPr="00D738F6" w:rsidRDefault="003A7B31" w:rsidP="003A7B31">
      <w:pPr>
        <w:pStyle w:val="Tekstpodstawowy2"/>
        <w:spacing w:before="120" w:after="0" w:line="360" w:lineRule="auto"/>
        <w:jc w:val="both"/>
        <w:rPr>
          <w:rFonts w:ascii="Arial" w:hAnsi="Arial" w:cs="Arial"/>
          <w:sz w:val="18"/>
          <w:szCs w:val="18"/>
        </w:rPr>
      </w:pPr>
      <w:r w:rsidRPr="00D738F6">
        <w:rPr>
          <w:rFonts w:ascii="Arial" w:hAnsi="Arial" w:cs="Arial"/>
          <w:sz w:val="18"/>
          <w:szCs w:val="18"/>
        </w:rPr>
        <w:t>O ile przepisy prawa powszechnie obowiązującego nie będą stanowić inaczej:</w:t>
      </w:r>
    </w:p>
    <w:p w14:paraId="4A5E27C8" w14:textId="77777777" w:rsidR="003A7B31" w:rsidRPr="00D738F6" w:rsidRDefault="003A7B31" w:rsidP="003A7B31">
      <w:pPr>
        <w:pStyle w:val="Tekstpodstawowy2"/>
        <w:numPr>
          <w:ilvl w:val="0"/>
          <w:numId w:val="15"/>
        </w:numPr>
        <w:spacing w:before="120" w:after="0" w:line="360" w:lineRule="auto"/>
        <w:jc w:val="both"/>
        <w:rPr>
          <w:rFonts w:ascii="Arial" w:hAnsi="Arial" w:cs="Arial"/>
          <w:sz w:val="18"/>
          <w:szCs w:val="18"/>
        </w:rPr>
      </w:pPr>
      <w:r w:rsidRPr="00D738F6">
        <w:rPr>
          <w:rFonts w:ascii="Arial" w:hAnsi="Arial" w:cs="Arial"/>
          <w:sz w:val="18"/>
          <w:szCs w:val="18"/>
        </w:rPr>
        <w:t xml:space="preserve">W przypadku zaistnienia Zdarzenia Regulacyjnego, </w:t>
      </w:r>
      <w:r w:rsidRPr="0074580C">
        <w:rPr>
          <w:rFonts w:ascii="Arial" w:hAnsi="Arial" w:cs="Arial"/>
          <w:sz w:val="18"/>
          <w:szCs w:val="18"/>
          <w:highlight w:val="black"/>
        </w:rPr>
        <w:t>BGK</w:t>
      </w:r>
      <w:r w:rsidRPr="00D738F6">
        <w:rPr>
          <w:rFonts w:ascii="Arial" w:hAnsi="Arial" w:cs="Arial"/>
          <w:sz w:val="18"/>
          <w:szCs w:val="18"/>
        </w:rPr>
        <w:t xml:space="preserve"> przekaże Kredytobiorcy informację o jego zaistnieniu a następnie o wyznaczonej Stawce Alternatywnej, Zmianach Dostosowawczych oraz Korekcie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drogą (w sposób/formie) przewidzianą dla zawiadomień w Umowie. Informacja o zaistnieniu Zdarzenia Regulacyjnego zostanie przekazana w terminie 30 dni od jego zaistnienia. Informacje o zastosowanej Stawce Alternatywnej, Zmianach Dostosowawczych oraz Korekcie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zostaną przekazane w terminie 15 Dni Roboczych od ich ustalenia.</w:t>
      </w:r>
    </w:p>
    <w:p w14:paraId="19290597" w14:textId="77777777" w:rsidR="003A7B31" w:rsidRPr="00D738F6" w:rsidRDefault="003A7B31" w:rsidP="003A7B31">
      <w:pPr>
        <w:pStyle w:val="Akapitzlist"/>
        <w:numPr>
          <w:ilvl w:val="0"/>
          <w:numId w:val="15"/>
        </w:numPr>
        <w:spacing w:after="160" w:line="360" w:lineRule="auto"/>
        <w:jc w:val="both"/>
        <w:rPr>
          <w:rFonts w:ascii="Arial" w:hAnsi="Arial" w:cs="Arial"/>
          <w:sz w:val="18"/>
          <w:szCs w:val="18"/>
        </w:rPr>
      </w:pPr>
      <w:r w:rsidRPr="00D738F6">
        <w:rPr>
          <w:rFonts w:ascii="Arial" w:hAnsi="Arial" w:cs="Arial"/>
          <w:sz w:val="18"/>
          <w:szCs w:val="18"/>
        </w:rPr>
        <w:t xml:space="preserve">W przypadku Ogłoszenia Istotnej Zmiany </w:t>
      </w:r>
      <w:r w:rsidRPr="0074580C">
        <w:rPr>
          <w:rFonts w:ascii="Arial" w:hAnsi="Arial" w:cs="Arial"/>
          <w:sz w:val="18"/>
          <w:szCs w:val="18"/>
          <w:highlight w:val="black"/>
        </w:rPr>
        <w:t>BGK</w:t>
      </w:r>
      <w:r w:rsidRPr="00D738F6">
        <w:rPr>
          <w:rFonts w:ascii="Arial" w:hAnsi="Arial" w:cs="Arial"/>
          <w:sz w:val="18"/>
          <w:szCs w:val="18"/>
        </w:rPr>
        <w:t xml:space="preserve"> przekaże Kredytobiorcy informację o Ogłoszeniu Istotnej Zmiany, a także o zastosowanej Korekcie </w:t>
      </w:r>
      <w:proofErr w:type="spellStart"/>
      <w:r w:rsidRPr="00D738F6">
        <w:rPr>
          <w:rFonts w:ascii="Arial" w:hAnsi="Arial" w:cs="Arial"/>
          <w:sz w:val="18"/>
          <w:szCs w:val="18"/>
        </w:rPr>
        <w:t>Spreadu</w:t>
      </w:r>
      <w:proofErr w:type="spellEnd"/>
      <w:r w:rsidRPr="00D738F6">
        <w:rPr>
          <w:rFonts w:ascii="Arial" w:hAnsi="Arial" w:cs="Arial"/>
          <w:sz w:val="18"/>
          <w:szCs w:val="18"/>
        </w:rPr>
        <w:t xml:space="preserve"> drogą (w sposób/formie) przewidzianą dla zawiadomień w Umowie w terminie 30 dni od Ogłoszenia Istotnej Zmiany</w:t>
      </w:r>
      <w:bookmarkEnd w:id="3"/>
    </w:p>
    <w:p w14:paraId="55C834D7" w14:textId="77777777" w:rsidR="003A7B31" w:rsidRPr="00D738F6" w:rsidRDefault="003A7B31" w:rsidP="003A7B31">
      <w:pPr>
        <w:pStyle w:val="Tekstpodstawowy2"/>
        <w:spacing w:before="120" w:after="0" w:line="360" w:lineRule="auto"/>
        <w:jc w:val="center"/>
        <w:rPr>
          <w:rFonts w:ascii="Arial" w:hAnsi="Arial" w:cs="Arial"/>
          <w:b/>
          <w:bCs/>
          <w:sz w:val="18"/>
          <w:szCs w:val="18"/>
        </w:rPr>
      </w:pPr>
      <w:r w:rsidRPr="00D738F6">
        <w:rPr>
          <w:rFonts w:ascii="Arial" w:hAnsi="Arial" w:cs="Arial"/>
          <w:b/>
          <w:bCs/>
          <w:sz w:val="18"/>
          <w:szCs w:val="18"/>
        </w:rPr>
        <w:t>§7.</w:t>
      </w:r>
    </w:p>
    <w:p w14:paraId="7CA004C7" w14:textId="77777777" w:rsidR="003A7B31" w:rsidRPr="00D738F6" w:rsidRDefault="003A7B31" w:rsidP="003A7B31">
      <w:pPr>
        <w:jc w:val="center"/>
        <w:rPr>
          <w:rFonts w:ascii="Arial" w:hAnsi="Arial" w:cs="Arial"/>
          <w:b/>
          <w:sz w:val="18"/>
          <w:szCs w:val="18"/>
        </w:rPr>
      </w:pPr>
      <w:r w:rsidRPr="00D738F6">
        <w:rPr>
          <w:rFonts w:ascii="Arial" w:hAnsi="Arial" w:cs="Arial"/>
          <w:b/>
          <w:sz w:val="18"/>
          <w:szCs w:val="18"/>
        </w:rPr>
        <w:t>Postanowienia ogólne</w:t>
      </w:r>
    </w:p>
    <w:p w14:paraId="21E43CFB" w14:textId="77777777" w:rsidR="003A7B31" w:rsidRPr="00D738F6" w:rsidRDefault="003A7B31" w:rsidP="003A7B31">
      <w:pPr>
        <w:pStyle w:val="Tekstpodstawowy2"/>
        <w:numPr>
          <w:ilvl w:val="0"/>
          <w:numId w:val="14"/>
        </w:numPr>
        <w:spacing w:before="120" w:after="0" w:line="360" w:lineRule="auto"/>
        <w:jc w:val="both"/>
        <w:rPr>
          <w:rFonts w:ascii="Arial" w:hAnsi="Arial" w:cs="Arial"/>
          <w:sz w:val="18"/>
          <w:szCs w:val="18"/>
        </w:rPr>
      </w:pPr>
      <w:r w:rsidRPr="0074580C">
        <w:rPr>
          <w:rFonts w:ascii="Arial" w:hAnsi="Arial" w:cs="Arial"/>
          <w:sz w:val="18"/>
          <w:szCs w:val="18"/>
          <w:highlight w:val="black"/>
        </w:rPr>
        <w:t>BGK</w:t>
      </w:r>
      <w:r w:rsidRPr="00D738F6">
        <w:rPr>
          <w:rFonts w:ascii="Arial" w:hAnsi="Arial" w:cs="Arial"/>
          <w:sz w:val="18"/>
          <w:szCs w:val="18"/>
        </w:rPr>
        <w:t xml:space="preserve"> może określić dodatkowe, ponad te opisane w </w:t>
      </w:r>
      <w:r w:rsidRPr="00D738F6">
        <w:rPr>
          <w:rFonts w:ascii="Arial" w:hAnsi="Arial" w:cs="Arial"/>
          <w:bCs/>
          <w:sz w:val="18"/>
          <w:szCs w:val="18"/>
        </w:rPr>
        <w:t>§3</w:t>
      </w:r>
      <w:r w:rsidRPr="00D738F6">
        <w:rPr>
          <w:rFonts w:ascii="Arial" w:hAnsi="Arial" w:cs="Arial"/>
          <w:sz w:val="18"/>
          <w:szCs w:val="18"/>
        </w:rPr>
        <w:t xml:space="preserve">, Zmiany Dostosowawcze wynikające ze swoich możliwości technologicznych oraz rozwoju i specyfiki rynku lokalnego, a także z przyjętych w </w:t>
      </w:r>
      <w:r w:rsidRPr="0074580C">
        <w:rPr>
          <w:rFonts w:ascii="Arial" w:hAnsi="Arial" w:cs="Arial"/>
          <w:sz w:val="18"/>
          <w:szCs w:val="18"/>
          <w:highlight w:val="black"/>
        </w:rPr>
        <w:t>BGK</w:t>
      </w:r>
      <w:r w:rsidRPr="00D738F6">
        <w:rPr>
          <w:rFonts w:ascii="Arial" w:hAnsi="Arial" w:cs="Arial"/>
          <w:sz w:val="18"/>
          <w:szCs w:val="18"/>
        </w:rPr>
        <w:t xml:space="preserve"> rozwiązań informatycznych (np. w zakresie konwencji dni roboczych, przesunięcia okresu za który sprawdzane są stawki jednodniowe czy zaokrągleń). </w:t>
      </w:r>
    </w:p>
    <w:p w14:paraId="4C04383C" w14:textId="77777777" w:rsidR="003A7B31" w:rsidRPr="00D738F6" w:rsidRDefault="003A7B31" w:rsidP="003A7B31">
      <w:pPr>
        <w:pStyle w:val="Tekstpodstawowy2"/>
        <w:numPr>
          <w:ilvl w:val="0"/>
          <w:numId w:val="14"/>
        </w:numPr>
        <w:spacing w:before="120" w:after="0" w:line="360" w:lineRule="auto"/>
        <w:jc w:val="both"/>
        <w:rPr>
          <w:rFonts w:ascii="Arial" w:hAnsi="Arial" w:cs="Arial"/>
          <w:sz w:val="18"/>
          <w:szCs w:val="18"/>
        </w:rPr>
      </w:pPr>
      <w:r w:rsidRPr="00D738F6">
        <w:rPr>
          <w:rFonts w:ascii="Arial" w:hAnsi="Arial" w:cs="Arial"/>
          <w:sz w:val="18"/>
          <w:szCs w:val="18"/>
        </w:rPr>
        <w:t xml:space="preserve">Po zaistnieniu Zdarzenia Regulacyjnego, Stawkę Alternatywną, Zmiany Dostosowawcze oraz Korektę </w:t>
      </w:r>
      <w:proofErr w:type="spellStart"/>
      <w:r w:rsidRPr="00D738F6">
        <w:rPr>
          <w:rFonts w:ascii="Arial" w:hAnsi="Arial" w:cs="Arial"/>
          <w:bCs/>
          <w:sz w:val="18"/>
          <w:szCs w:val="18"/>
        </w:rPr>
        <w:t>Spreadu</w:t>
      </w:r>
      <w:proofErr w:type="spellEnd"/>
      <w:r w:rsidRPr="00D738F6">
        <w:rPr>
          <w:rFonts w:ascii="Arial" w:hAnsi="Arial" w:cs="Arial"/>
          <w:sz w:val="18"/>
          <w:szCs w:val="18"/>
        </w:rPr>
        <w:t xml:space="preserve"> stosuje się bez względu na ewentualne późniejsze ustanie przyczyn zastąpienia Stawki Dotychczasowej.</w:t>
      </w:r>
    </w:p>
    <w:p w14:paraId="58EE2179" w14:textId="77777777" w:rsidR="003A7B31" w:rsidRPr="00D738F6" w:rsidRDefault="003A7B31" w:rsidP="003A7B31">
      <w:pPr>
        <w:pStyle w:val="Tekstpodstawowy3"/>
        <w:numPr>
          <w:ilvl w:val="0"/>
          <w:numId w:val="14"/>
        </w:numPr>
        <w:autoSpaceDE w:val="0"/>
        <w:autoSpaceDN w:val="0"/>
        <w:spacing w:line="360" w:lineRule="auto"/>
        <w:jc w:val="both"/>
        <w:rPr>
          <w:rFonts w:ascii="Arial" w:eastAsiaTheme="minorHAnsi" w:hAnsi="Arial" w:cs="Arial"/>
          <w:sz w:val="18"/>
          <w:szCs w:val="18"/>
          <w:lang w:val="pl-PL" w:eastAsia="en-US"/>
        </w:rPr>
      </w:pPr>
      <w:r w:rsidRPr="00D738F6">
        <w:rPr>
          <w:rFonts w:ascii="Arial" w:eastAsiaTheme="minorHAnsi" w:hAnsi="Arial" w:cs="Arial"/>
          <w:sz w:val="18"/>
          <w:szCs w:val="18"/>
          <w:lang w:val="pl-PL" w:eastAsia="en-US"/>
        </w:rPr>
        <w:t xml:space="preserve">Po zastąpieniu Stawki Dotychczasowej Stawką Alternatywną, postanowienia Umowy oraz Zasad, które dotyczą Stawki Bazowej i Stawki Dotychczasowej, stosuje się odpowiednio do Stawki Alternatywnej, Zmian Dostosowawczych oraz Korekty </w:t>
      </w:r>
      <w:proofErr w:type="spellStart"/>
      <w:r w:rsidRPr="00D738F6">
        <w:rPr>
          <w:rFonts w:ascii="Arial" w:hAnsi="Arial" w:cs="Arial"/>
          <w:bCs/>
          <w:sz w:val="18"/>
          <w:szCs w:val="18"/>
          <w:lang w:val="pl-PL"/>
        </w:rPr>
        <w:t>Spreadu</w:t>
      </w:r>
      <w:proofErr w:type="spellEnd"/>
      <w:r w:rsidRPr="00D738F6">
        <w:rPr>
          <w:rFonts w:ascii="Arial" w:eastAsiaTheme="minorHAnsi" w:hAnsi="Arial" w:cs="Arial"/>
          <w:sz w:val="18"/>
          <w:szCs w:val="18"/>
          <w:lang w:val="pl-PL" w:eastAsia="en-US"/>
        </w:rPr>
        <w:t>.</w:t>
      </w:r>
    </w:p>
    <w:p w14:paraId="42870A54" w14:textId="77777777" w:rsidR="003A7B31" w:rsidRPr="00D738F6" w:rsidRDefault="003A7B31" w:rsidP="003A7B31">
      <w:pPr>
        <w:pStyle w:val="Tekstpodstawowy3"/>
        <w:numPr>
          <w:ilvl w:val="0"/>
          <w:numId w:val="14"/>
        </w:numPr>
        <w:autoSpaceDE w:val="0"/>
        <w:autoSpaceDN w:val="0"/>
        <w:spacing w:line="360" w:lineRule="auto"/>
        <w:jc w:val="both"/>
        <w:rPr>
          <w:rFonts w:ascii="Arial" w:hAnsi="Arial" w:cs="Arial"/>
          <w:sz w:val="18"/>
          <w:szCs w:val="18"/>
          <w:lang w:val="pl-PL"/>
        </w:rPr>
      </w:pPr>
      <w:r w:rsidRPr="00D738F6">
        <w:rPr>
          <w:rFonts w:ascii="Arial" w:eastAsiaTheme="minorHAnsi" w:hAnsi="Arial" w:cs="Arial"/>
          <w:sz w:val="18"/>
          <w:szCs w:val="18"/>
          <w:lang w:val="pl-PL" w:eastAsia="en-US"/>
        </w:rPr>
        <w:t>Jeżeli postanowienia Umowy dotyczące zasad ustalania oprocentowania odnoszące się do terminów i częstotliwości ustalania stóp i dokonywania płatności odsetek, w związku z wprowadzeniem Stawki Alternatywnej, wymagać będą dostosowania</w:t>
      </w:r>
      <w:r w:rsidRPr="00D738F6">
        <w:rPr>
          <w:rFonts w:ascii="Arial" w:hAnsi="Arial" w:cs="Arial"/>
          <w:sz w:val="18"/>
          <w:szCs w:val="18"/>
          <w:lang w:val="pl-PL"/>
        </w:rPr>
        <w:t xml:space="preserve"> do specyfiki wynikającej ze Stawki Alternatywnej oraz sposobu jej wyznaczania, </w:t>
      </w:r>
      <w:r w:rsidRPr="0074580C">
        <w:rPr>
          <w:rFonts w:ascii="Arial" w:hAnsi="Arial" w:cs="Arial"/>
          <w:sz w:val="18"/>
          <w:szCs w:val="18"/>
          <w:highlight w:val="black"/>
          <w:lang w:val="pl-PL"/>
        </w:rPr>
        <w:t>BGK</w:t>
      </w:r>
      <w:r w:rsidRPr="00D738F6">
        <w:rPr>
          <w:rFonts w:ascii="Arial" w:hAnsi="Arial" w:cs="Arial"/>
          <w:sz w:val="18"/>
          <w:szCs w:val="18"/>
          <w:lang w:val="pl-PL"/>
        </w:rPr>
        <w:t xml:space="preserve"> zobowiązuje się wykonywać Umowę w celu zapewnienia woli Stron przy uwzględnieniu specyfiki wynikającej ze Stawki Alternatywnej oraz sposobu jej wyznaczania.</w:t>
      </w:r>
    </w:p>
    <w:p w14:paraId="51A41D85" w14:textId="77777777" w:rsidR="003A7B31" w:rsidRPr="007D7064" w:rsidRDefault="003A7B31" w:rsidP="003A7B31">
      <w:pPr>
        <w:pStyle w:val="Tekstpodstawowy3"/>
        <w:autoSpaceDE w:val="0"/>
        <w:autoSpaceDN w:val="0"/>
        <w:spacing w:line="360" w:lineRule="auto"/>
        <w:jc w:val="both"/>
        <w:rPr>
          <w:rFonts w:ascii="Arial" w:hAnsi="Arial" w:cs="Arial"/>
          <w:sz w:val="18"/>
          <w:szCs w:val="18"/>
          <w:lang w:val="pl-PL"/>
        </w:rPr>
      </w:pPr>
    </w:p>
    <w:p w14:paraId="200D4B77" w14:textId="77777777" w:rsidR="003A7B31" w:rsidRPr="007D7064" w:rsidRDefault="003A7B31" w:rsidP="003A7B31">
      <w:pPr>
        <w:rPr>
          <w:rFonts w:ascii="Arial" w:hAnsi="Arial" w:cs="Arial"/>
          <w:sz w:val="18"/>
          <w:szCs w:val="18"/>
        </w:rPr>
      </w:pPr>
    </w:p>
    <w:p w14:paraId="3914C708" w14:textId="77777777" w:rsidR="003A7B31" w:rsidRPr="007D7064" w:rsidRDefault="003A7B31" w:rsidP="003A7B31">
      <w:pPr>
        <w:rPr>
          <w:rFonts w:ascii="Arial" w:hAnsi="Arial" w:cs="Arial"/>
          <w:sz w:val="18"/>
          <w:szCs w:val="18"/>
        </w:rPr>
      </w:pPr>
    </w:p>
    <w:p w14:paraId="6D245D96" w14:textId="77777777" w:rsidR="003A7B31" w:rsidRPr="007D7064" w:rsidRDefault="003A7B31" w:rsidP="003A7B31">
      <w:pPr>
        <w:rPr>
          <w:rFonts w:ascii="Arial" w:hAnsi="Arial" w:cs="Arial"/>
          <w:sz w:val="18"/>
          <w:szCs w:val="18"/>
        </w:rPr>
      </w:pPr>
    </w:p>
    <w:p w14:paraId="272741F9" w14:textId="77777777" w:rsidR="003A7B31" w:rsidRPr="007D7064" w:rsidRDefault="003A7B31" w:rsidP="003A7B31">
      <w:pPr>
        <w:rPr>
          <w:rFonts w:ascii="Arial" w:hAnsi="Arial" w:cs="Arial"/>
          <w:sz w:val="18"/>
          <w:szCs w:val="18"/>
        </w:rPr>
      </w:pPr>
    </w:p>
    <w:p w14:paraId="281AB850" w14:textId="77777777" w:rsidR="003A7B31" w:rsidRPr="007D7064" w:rsidRDefault="003A7B31" w:rsidP="003A7B31">
      <w:pPr>
        <w:rPr>
          <w:rFonts w:ascii="Arial" w:hAnsi="Arial" w:cs="Arial"/>
          <w:sz w:val="18"/>
          <w:szCs w:val="18"/>
        </w:rPr>
      </w:pPr>
    </w:p>
    <w:p w14:paraId="241D9A26" w14:textId="77777777" w:rsidR="003A7B31" w:rsidRPr="007D7064" w:rsidRDefault="003A7B31" w:rsidP="003A7B31">
      <w:pPr>
        <w:rPr>
          <w:rFonts w:ascii="Arial" w:hAnsi="Arial" w:cs="Arial"/>
          <w:sz w:val="18"/>
          <w:szCs w:val="18"/>
        </w:rPr>
      </w:pPr>
    </w:p>
    <w:p w14:paraId="1EAF696A" w14:textId="77777777" w:rsidR="003A7B31" w:rsidRPr="007D7064" w:rsidRDefault="003A7B31" w:rsidP="003A7B31">
      <w:pPr>
        <w:rPr>
          <w:rFonts w:ascii="Arial" w:hAnsi="Arial" w:cs="Arial"/>
          <w:sz w:val="18"/>
          <w:szCs w:val="18"/>
        </w:rPr>
      </w:pPr>
    </w:p>
    <w:p w14:paraId="4A6BD788" w14:textId="77777777" w:rsidR="003A7B31" w:rsidRDefault="003A7B31"/>
    <w:p w14:paraId="263855F3" w14:textId="77777777" w:rsidR="003A7B31" w:rsidRDefault="003A7B31"/>
    <w:sectPr w:rsidR="003A7B31" w:rsidSect="002C50F3">
      <w:footerReference w:type="default" r:id="rId7"/>
      <w:pgSz w:w="11907" w:h="16839" w:code="9"/>
      <w:pgMar w:top="284" w:right="720"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A6EA" w14:textId="77777777" w:rsidR="00C058A2" w:rsidRDefault="00C058A2">
      <w:pPr>
        <w:spacing w:after="0" w:line="240" w:lineRule="auto"/>
      </w:pPr>
      <w:r>
        <w:separator/>
      </w:r>
    </w:p>
  </w:endnote>
  <w:endnote w:type="continuationSeparator" w:id="0">
    <w:p w14:paraId="7A74ECBF" w14:textId="77777777" w:rsidR="00C058A2" w:rsidRDefault="00C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00837"/>
      <w:docPartObj>
        <w:docPartGallery w:val="Page Numbers (Bottom of Page)"/>
        <w:docPartUnique/>
      </w:docPartObj>
    </w:sdtPr>
    <w:sdtEndPr/>
    <w:sdtContent>
      <w:sdt>
        <w:sdtPr>
          <w:id w:val="-1788427224"/>
          <w:docPartObj>
            <w:docPartGallery w:val="Page Numbers (Top of Page)"/>
            <w:docPartUnique/>
          </w:docPartObj>
        </w:sdtPr>
        <w:sdtEndPr/>
        <w:sdtContent>
          <w:p w14:paraId="0229C2B6" w14:textId="77777777" w:rsidR="00D92D6C" w:rsidRDefault="003A7B31">
            <w:pPr>
              <w:pStyle w:val="Stopka"/>
              <w:jc w:val="right"/>
            </w:pPr>
            <w:r w:rsidRPr="006E43D5">
              <w:rPr>
                <w:rFonts w:ascii="Calibri" w:hAnsi="Calibri" w:cs="Times New Roman"/>
                <w:bCs/>
                <w:sz w:val="24"/>
                <w:szCs w:val="24"/>
              </w:rPr>
              <w:fldChar w:fldCharType="begin"/>
            </w:r>
            <w:r w:rsidRPr="006E43D5">
              <w:rPr>
                <w:rFonts w:ascii="Calibri" w:hAnsi="Calibri" w:cs="Times New Roman"/>
                <w:bCs/>
              </w:rPr>
              <w:instrText>PAGE</w:instrText>
            </w:r>
            <w:r w:rsidRPr="006E43D5">
              <w:rPr>
                <w:rFonts w:ascii="Calibri" w:hAnsi="Calibri" w:cs="Times New Roman"/>
                <w:bCs/>
                <w:sz w:val="24"/>
                <w:szCs w:val="24"/>
              </w:rPr>
              <w:fldChar w:fldCharType="separate"/>
            </w:r>
            <w:r w:rsidR="002D682F">
              <w:rPr>
                <w:rFonts w:ascii="Calibri" w:hAnsi="Calibri" w:cs="Times New Roman"/>
                <w:bCs/>
                <w:noProof/>
              </w:rPr>
              <w:t>7</w:t>
            </w:r>
            <w:r w:rsidRPr="006E43D5">
              <w:rPr>
                <w:rFonts w:ascii="Calibri" w:hAnsi="Calibri" w:cs="Times New Roman"/>
                <w:bCs/>
                <w:sz w:val="24"/>
                <w:szCs w:val="24"/>
              </w:rPr>
              <w:fldChar w:fldCharType="end"/>
            </w:r>
            <w:r w:rsidRPr="006E43D5">
              <w:rPr>
                <w:rFonts w:ascii="Calibri" w:hAnsi="Calibri" w:cs="Times New Roman"/>
              </w:rPr>
              <w:t>/</w:t>
            </w:r>
            <w:r w:rsidRPr="006E43D5">
              <w:rPr>
                <w:rFonts w:ascii="Calibri" w:hAnsi="Calibri" w:cs="Times New Roman"/>
                <w:bCs/>
                <w:sz w:val="24"/>
                <w:szCs w:val="24"/>
              </w:rPr>
              <w:fldChar w:fldCharType="begin"/>
            </w:r>
            <w:r w:rsidRPr="006E43D5">
              <w:rPr>
                <w:rFonts w:ascii="Calibri" w:hAnsi="Calibri" w:cs="Times New Roman"/>
                <w:bCs/>
              </w:rPr>
              <w:instrText>NUMPAGES</w:instrText>
            </w:r>
            <w:r w:rsidRPr="006E43D5">
              <w:rPr>
                <w:rFonts w:ascii="Calibri" w:hAnsi="Calibri" w:cs="Times New Roman"/>
                <w:bCs/>
                <w:sz w:val="24"/>
                <w:szCs w:val="24"/>
              </w:rPr>
              <w:fldChar w:fldCharType="separate"/>
            </w:r>
            <w:r w:rsidR="002D682F">
              <w:rPr>
                <w:rFonts w:ascii="Calibri" w:hAnsi="Calibri" w:cs="Times New Roman"/>
                <w:bCs/>
                <w:noProof/>
              </w:rPr>
              <w:t>7</w:t>
            </w:r>
            <w:r w:rsidRPr="006E43D5">
              <w:rPr>
                <w:rFonts w:ascii="Calibri" w:hAnsi="Calibri" w:cs="Times New Roman"/>
                <w:bCs/>
                <w:sz w:val="24"/>
                <w:szCs w:val="24"/>
              </w:rPr>
              <w:fldChar w:fldCharType="end"/>
            </w:r>
          </w:p>
        </w:sdtContent>
      </w:sdt>
    </w:sdtContent>
  </w:sdt>
  <w:p w14:paraId="171F71DF" w14:textId="77777777" w:rsidR="00D92D6C" w:rsidRDefault="00C058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A2D40" w14:textId="77777777" w:rsidR="00C058A2" w:rsidRDefault="00C058A2">
      <w:pPr>
        <w:spacing w:after="0" w:line="240" w:lineRule="auto"/>
      </w:pPr>
      <w:r>
        <w:separator/>
      </w:r>
    </w:p>
  </w:footnote>
  <w:footnote w:type="continuationSeparator" w:id="0">
    <w:p w14:paraId="49B866DC" w14:textId="77777777" w:rsidR="00C058A2" w:rsidRDefault="00C05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0DFB"/>
    <w:multiLevelType w:val="hybridMultilevel"/>
    <w:tmpl w:val="0E0678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05A04"/>
    <w:multiLevelType w:val="hybridMultilevel"/>
    <w:tmpl w:val="1428CA5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D1937A3"/>
    <w:multiLevelType w:val="hybridMultilevel"/>
    <w:tmpl w:val="E7FA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12E27"/>
    <w:multiLevelType w:val="hybridMultilevel"/>
    <w:tmpl w:val="6C8A677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D95335"/>
    <w:multiLevelType w:val="hybridMultilevel"/>
    <w:tmpl w:val="D1FA17F8"/>
    <w:lvl w:ilvl="0" w:tplc="04150019">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5" w15:restartNumberingAfterBreak="0">
    <w:nsid w:val="14A95518"/>
    <w:multiLevelType w:val="hybridMultilevel"/>
    <w:tmpl w:val="9ED605BC"/>
    <w:lvl w:ilvl="0" w:tplc="04150019">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6" w15:restartNumberingAfterBreak="0">
    <w:nsid w:val="19C313A4"/>
    <w:multiLevelType w:val="multilevel"/>
    <w:tmpl w:val="204EC6A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ED75E6"/>
    <w:multiLevelType w:val="hybridMultilevel"/>
    <w:tmpl w:val="85FA5BCC"/>
    <w:lvl w:ilvl="0" w:tplc="A5ECE262">
      <w:start w:val="1"/>
      <w:numFmt w:val="bullet"/>
      <w:lvlText w:val=""/>
      <w:lvlJc w:val="left"/>
      <w:pPr>
        <w:ind w:left="2202" w:hanging="360"/>
      </w:pPr>
      <w:rPr>
        <w:rFonts w:ascii="Symbol" w:hAnsi="Symbol" w:hint="default"/>
      </w:rPr>
    </w:lvl>
    <w:lvl w:ilvl="1" w:tplc="04150003" w:tentative="1">
      <w:start w:val="1"/>
      <w:numFmt w:val="bullet"/>
      <w:lvlText w:val="o"/>
      <w:lvlJc w:val="left"/>
      <w:pPr>
        <w:ind w:left="2922" w:hanging="360"/>
      </w:pPr>
      <w:rPr>
        <w:rFonts w:ascii="Courier New" w:hAnsi="Courier New" w:cs="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cs="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cs="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8" w15:restartNumberingAfterBreak="0">
    <w:nsid w:val="22DD2CD8"/>
    <w:multiLevelType w:val="multilevel"/>
    <w:tmpl w:val="204EC6A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CD2A89"/>
    <w:multiLevelType w:val="multilevel"/>
    <w:tmpl w:val="204EC6A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AE2CB5"/>
    <w:multiLevelType w:val="hybridMultilevel"/>
    <w:tmpl w:val="4EAC9A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BA1FDE"/>
    <w:multiLevelType w:val="multilevel"/>
    <w:tmpl w:val="204EC6A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3821B6"/>
    <w:multiLevelType w:val="multilevel"/>
    <w:tmpl w:val="204EC6A6"/>
    <w:lvl w:ilvl="0">
      <w:start w:val="1"/>
      <w:numFmt w:val="decimal"/>
      <w:lvlText w:val="%1."/>
      <w:lvlJc w:val="left"/>
      <w:pPr>
        <w:tabs>
          <w:tab w:val="num" w:pos="360"/>
        </w:tabs>
        <w:ind w:left="360" w:hanging="360"/>
      </w:pPr>
      <w:rPr>
        <w:b w:val="0"/>
        <w:sz w:val="18"/>
        <w:szCs w:val="18"/>
        <w:lang w:val="pl-PL"/>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9542AF"/>
    <w:multiLevelType w:val="hybridMultilevel"/>
    <w:tmpl w:val="EFB0D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1B7B26"/>
    <w:multiLevelType w:val="hybridMultilevel"/>
    <w:tmpl w:val="4C6063A6"/>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15" w15:restartNumberingAfterBreak="0">
    <w:nsid w:val="5BCF4F65"/>
    <w:multiLevelType w:val="hybridMultilevel"/>
    <w:tmpl w:val="6C8A677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3"/>
  </w:num>
  <w:num w:numId="3">
    <w:abstractNumId w:val="10"/>
  </w:num>
  <w:num w:numId="4">
    <w:abstractNumId w:val="0"/>
  </w:num>
  <w:num w:numId="5">
    <w:abstractNumId w:val="1"/>
  </w:num>
  <w:num w:numId="6">
    <w:abstractNumId w:val="4"/>
  </w:num>
  <w:num w:numId="7">
    <w:abstractNumId w:val="5"/>
  </w:num>
  <w:num w:numId="8">
    <w:abstractNumId w:val="14"/>
  </w:num>
  <w:num w:numId="9">
    <w:abstractNumId w:val="7"/>
  </w:num>
  <w:num w:numId="10">
    <w:abstractNumId w:val="12"/>
  </w:num>
  <w:num w:numId="11">
    <w:abstractNumId w:val="15"/>
  </w:num>
  <w:num w:numId="12">
    <w:abstractNumId w:val="9"/>
  </w:num>
  <w:num w:numId="13">
    <w:abstractNumId w:val="11"/>
  </w:num>
  <w:num w:numId="14">
    <w:abstractNumId w:val="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31"/>
    <w:rsid w:val="0010273A"/>
    <w:rsid w:val="001637AD"/>
    <w:rsid w:val="00185B12"/>
    <w:rsid w:val="001A2DB4"/>
    <w:rsid w:val="001F2D5E"/>
    <w:rsid w:val="002C50F3"/>
    <w:rsid w:val="002D25F0"/>
    <w:rsid w:val="002D682F"/>
    <w:rsid w:val="003A7B31"/>
    <w:rsid w:val="0044567E"/>
    <w:rsid w:val="00461AC9"/>
    <w:rsid w:val="0062118C"/>
    <w:rsid w:val="0068380F"/>
    <w:rsid w:val="0069745F"/>
    <w:rsid w:val="00702124"/>
    <w:rsid w:val="0074580C"/>
    <w:rsid w:val="007467D0"/>
    <w:rsid w:val="007A1A56"/>
    <w:rsid w:val="007E107F"/>
    <w:rsid w:val="008F2003"/>
    <w:rsid w:val="009377FE"/>
    <w:rsid w:val="00AE50CA"/>
    <w:rsid w:val="00B443E6"/>
    <w:rsid w:val="00C058A2"/>
    <w:rsid w:val="00E11D85"/>
    <w:rsid w:val="00F279E5"/>
    <w:rsid w:val="00F46FEB"/>
    <w:rsid w:val="00F64562"/>
    <w:rsid w:val="00FF0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E9109"/>
  <w15:chartTrackingRefBased/>
  <w15:docId w15:val="{B44DD9CB-4B54-426A-88CB-6F72BA11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7B3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Normal2,1 Akapit z listą,Akapit z listą2,List Paragraph,Numerowanie,wypunktowanie 1,Bullet Number,Body MS Bullet,lp1,List Paragraph1,List Paragraph2,ISCG Numerowanie,Preambuła,Tekst pod nagłówkiem 2,Heading 51"/>
    <w:basedOn w:val="Normalny"/>
    <w:link w:val="AkapitzlistZnak"/>
    <w:uiPriority w:val="34"/>
    <w:qFormat/>
    <w:rsid w:val="003A7B31"/>
    <w:pPr>
      <w:ind w:left="720"/>
      <w:contextualSpacing/>
    </w:pPr>
  </w:style>
  <w:style w:type="paragraph" w:styleId="Nagwek">
    <w:name w:val="header"/>
    <w:basedOn w:val="Normalny"/>
    <w:link w:val="NagwekZnak"/>
    <w:uiPriority w:val="99"/>
    <w:unhideWhenUsed/>
    <w:rsid w:val="003A7B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B31"/>
    <w:rPr>
      <w:rFonts w:eastAsiaTheme="minorEastAsia"/>
      <w:lang w:eastAsia="pl-PL"/>
    </w:rPr>
  </w:style>
  <w:style w:type="paragraph" w:styleId="Stopka">
    <w:name w:val="footer"/>
    <w:basedOn w:val="Normalny"/>
    <w:link w:val="StopkaZnak"/>
    <w:uiPriority w:val="99"/>
    <w:unhideWhenUsed/>
    <w:rsid w:val="003A7B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B31"/>
    <w:rPr>
      <w:rFonts w:eastAsiaTheme="minorEastAsia"/>
      <w:lang w:eastAsia="pl-PL"/>
    </w:rPr>
  </w:style>
  <w:style w:type="character" w:customStyle="1" w:styleId="AkapitzlistZnak">
    <w:name w:val="Akapit z listą Znak"/>
    <w:aliases w:val="Normal Znak,Akapit z listą3 Znak,Normal2 Znak,1 Akapit z listą Znak,Akapit z listą2 Znak,List Paragraph Znak,Numerowanie Znak,wypunktowanie 1 Znak,Bullet Number Znak,Body MS Bullet Znak,lp1 Znak,List Paragraph1 Znak,Preambuła Znak"/>
    <w:basedOn w:val="Domylnaczcionkaakapitu"/>
    <w:link w:val="Akapitzlist"/>
    <w:uiPriority w:val="34"/>
    <w:locked/>
    <w:rsid w:val="003A7B31"/>
    <w:rPr>
      <w:rFonts w:eastAsiaTheme="minorEastAsia"/>
      <w:lang w:eastAsia="pl-PL"/>
    </w:rPr>
  </w:style>
  <w:style w:type="paragraph" w:styleId="Bezodstpw">
    <w:name w:val="No Spacing"/>
    <w:uiPriority w:val="1"/>
    <w:qFormat/>
    <w:rsid w:val="003A7B31"/>
    <w:pPr>
      <w:spacing w:after="0" w:line="240" w:lineRule="auto"/>
    </w:pPr>
    <w:rPr>
      <w:rFonts w:eastAsiaTheme="minorEastAsia"/>
      <w:sz w:val="24"/>
      <w:szCs w:val="24"/>
      <w:lang w:eastAsia="pl-PL"/>
    </w:rPr>
  </w:style>
  <w:style w:type="paragraph" w:styleId="Tekstpodstawowy3">
    <w:name w:val="Body Text 3"/>
    <w:basedOn w:val="Normalny"/>
    <w:link w:val="Tekstpodstawowy3Znak"/>
    <w:rsid w:val="003A7B31"/>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3A7B31"/>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uiPriority w:val="99"/>
    <w:unhideWhenUsed/>
    <w:rsid w:val="003A7B31"/>
    <w:pPr>
      <w:spacing w:after="120" w:line="480" w:lineRule="auto"/>
    </w:pPr>
    <w:rPr>
      <w:rFonts w:eastAsiaTheme="minorHAnsi"/>
      <w:lang w:eastAsia="en-US"/>
    </w:rPr>
  </w:style>
  <w:style w:type="character" w:customStyle="1" w:styleId="Tekstpodstawowy2Znak">
    <w:name w:val="Tekst podstawowy 2 Znak"/>
    <w:basedOn w:val="Domylnaczcionkaakapitu"/>
    <w:link w:val="Tekstpodstawowy2"/>
    <w:uiPriority w:val="99"/>
    <w:rsid w:val="003A7B31"/>
  </w:style>
  <w:style w:type="paragraph" w:styleId="Tekstdymka">
    <w:name w:val="Balloon Text"/>
    <w:basedOn w:val="Normalny"/>
    <w:link w:val="TekstdymkaZnak"/>
    <w:uiPriority w:val="99"/>
    <w:semiHidden/>
    <w:unhideWhenUsed/>
    <w:rsid w:val="002D68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82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2969</Words>
  <Characters>17820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Dobrzeniecka</dc:creator>
  <cp:keywords/>
  <dc:description/>
  <cp:lastModifiedBy>Dorota Dobrzeniecka</cp:lastModifiedBy>
  <cp:revision>14</cp:revision>
  <cp:lastPrinted>2023-04-13T11:49:00Z</cp:lastPrinted>
  <dcterms:created xsi:type="dcterms:W3CDTF">2023-04-11T11:06:00Z</dcterms:created>
  <dcterms:modified xsi:type="dcterms:W3CDTF">2023-04-13T11:51:00Z</dcterms:modified>
</cp:coreProperties>
</file>