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</w:t>
      </w:r>
      <w:proofErr w:type="spellStart"/>
      <w:r w:rsidRPr="00D74D15">
        <w:rPr>
          <w:rFonts w:asciiTheme="minorHAnsi" w:hAnsiTheme="minorHAnsi" w:cstheme="minorHAnsi"/>
          <w:szCs w:val="24"/>
        </w:rPr>
        <w:t>CEiDG</w:t>
      </w:r>
      <w:proofErr w:type="spellEnd"/>
      <w:r w:rsidRPr="00D74D15">
        <w:rPr>
          <w:rFonts w:asciiTheme="minorHAnsi" w:hAnsiTheme="minorHAnsi" w:cstheme="minorHAnsi"/>
          <w:szCs w:val="24"/>
        </w:rPr>
        <w:t xml:space="preserve">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8AFB0C0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1661A1">
        <w:rPr>
          <w:rFonts w:asciiTheme="minorHAnsi" w:hAnsiTheme="minorHAnsi" w:cstheme="minorHAnsi"/>
          <w:b/>
          <w:bCs/>
        </w:rPr>
        <w:t>Wykonanie podbudowy tłuczniowej w ulicy Elektryków na terenie Strefy Rozwoju Gospodarczego VISTULA PARK II w Sulnowie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087C" w14:textId="77777777" w:rsidR="00E6648D" w:rsidRDefault="00E6648D" w:rsidP="00886FC3">
      <w:r>
        <w:separator/>
      </w:r>
    </w:p>
  </w:endnote>
  <w:endnote w:type="continuationSeparator" w:id="0">
    <w:p w14:paraId="45A80197" w14:textId="77777777" w:rsidR="00E6648D" w:rsidRDefault="00E6648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CA25" w14:textId="77777777" w:rsidR="00E6648D" w:rsidRDefault="00E6648D" w:rsidP="00886FC3">
      <w:r>
        <w:separator/>
      </w:r>
    </w:p>
  </w:footnote>
  <w:footnote w:type="continuationSeparator" w:id="0">
    <w:p w14:paraId="2F6D75D5" w14:textId="77777777" w:rsidR="00E6648D" w:rsidRDefault="00E6648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61A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2020-03-03T08:58:00Z</cp:lastPrinted>
  <dcterms:created xsi:type="dcterms:W3CDTF">2022-04-04T07:22:00Z</dcterms:created>
  <dcterms:modified xsi:type="dcterms:W3CDTF">2022-04-20T07:22:00Z</dcterms:modified>
</cp:coreProperties>
</file>