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D3" w:rsidRDefault="005039D3" w:rsidP="005039D3">
      <w:pPr>
        <w:suppressAutoHyphens w:val="0"/>
        <w:autoSpaceDN/>
        <w:spacing w:after="0" w:line="276" w:lineRule="auto"/>
        <w:jc w:val="center"/>
        <w:textAlignment w:val="auto"/>
        <w:rPr>
          <w:rFonts w:ascii="Arial" w:eastAsia="SimSun" w:hAnsi="Arial" w:cs="Arial"/>
          <w:b/>
          <w:sz w:val="20"/>
          <w:szCs w:val="20"/>
          <w:lang w:eastAsia="zh-CN"/>
        </w:rPr>
      </w:pPr>
      <w:r>
        <w:rPr>
          <w:rFonts w:ascii="Arial" w:eastAsia="SimSun" w:hAnsi="Arial" w:cs="Arial"/>
          <w:b/>
          <w:sz w:val="20"/>
          <w:szCs w:val="20"/>
          <w:lang w:eastAsia="zh-CN"/>
        </w:rPr>
        <w:t>PAKIET nr 1</w:t>
      </w:r>
    </w:p>
    <w:p w:rsidR="00C51C95"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Pr>
          <w:rFonts w:ascii="Arial" w:eastAsia="SimSun" w:hAnsi="Arial" w:cs="Arial"/>
          <w:b/>
          <w:sz w:val="20"/>
          <w:szCs w:val="20"/>
          <w:lang w:eastAsia="zh-CN"/>
        </w:rPr>
        <w:t>Z</w:t>
      </w:r>
      <w:r w:rsidRPr="0071562E">
        <w:rPr>
          <w:rFonts w:ascii="Arial" w:eastAsia="SimSun" w:hAnsi="Arial" w:cs="Arial"/>
          <w:b/>
          <w:sz w:val="20"/>
          <w:szCs w:val="20"/>
          <w:lang w:eastAsia="zh-CN"/>
        </w:rPr>
        <w:t>ałącznik nr 2</w:t>
      </w:r>
      <w:r>
        <w:rPr>
          <w:rFonts w:ascii="Arial" w:eastAsia="SimSun" w:hAnsi="Arial" w:cs="Arial"/>
          <w:b/>
          <w:sz w:val="20"/>
          <w:szCs w:val="20"/>
          <w:lang w:eastAsia="zh-CN"/>
        </w:rPr>
        <w:t>a</w:t>
      </w:r>
    </w:p>
    <w:p w:rsidR="00C51C95" w:rsidRPr="0071562E" w:rsidRDefault="00C51C95" w:rsidP="00C51C95">
      <w:pPr>
        <w:suppressAutoHyphens w:val="0"/>
        <w:autoSpaceDN/>
        <w:spacing w:after="0" w:line="276" w:lineRule="auto"/>
        <w:jc w:val="both"/>
        <w:textAlignment w:val="auto"/>
        <w:rPr>
          <w:rFonts w:ascii="Arial" w:eastAsia="SimSun" w:hAnsi="Arial" w:cs="Arial"/>
          <w:b/>
          <w:color w:val="00B050"/>
          <w:sz w:val="20"/>
          <w:szCs w:val="20"/>
          <w:lang w:eastAsia="pl-PL"/>
        </w:rPr>
      </w:pPr>
      <w:r w:rsidRPr="0071562E">
        <w:rPr>
          <w:rFonts w:ascii="Arial" w:eastAsia="SimSun" w:hAnsi="Arial" w:cs="Arial"/>
          <w:b/>
          <w:color w:val="00B050"/>
          <w:sz w:val="20"/>
          <w:szCs w:val="20"/>
          <w:lang w:eastAsia="pl-PL"/>
        </w:rPr>
        <w:t xml:space="preserve">Wykaz przedmiotu zamówienia (wypełniony zgodnie z wymaganiami Zamawiającego) należy </w:t>
      </w:r>
      <w:r w:rsidRPr="0071562E">
        <w:rPr>
          <w:rFonts w:ascii="Arial" w:eastAsia="SimSun" w:hAnsi="Arial" w:cs="Arial"/>
          <w:b/>
          <w:color w:val="00B050"/>
          <w:sz w:val="20"/>
          <w:szCs w:val="20"/>
          <w:u w:val="single"/>
          <w:lang w:eastAsia="pl-PL"/>
        </w:rPr>
        <w:t>dołączyć do oferty</w:t>
      </w:r>
      <w:r w:rsidRPr="0071562E">
        <w:rPr>
          <w:rFonts w:ascii="Arial" w:eastAsia="SimSun" w:hAnsi="Arial" w:cs="Arial"/>
          <w:b/>
          <w:color w:val="00B050"/>
          <w:sz w:val="20"/>
          <w:szCs w:val="20"/>
          <w:lang w:eastAsia="pl-PL"/>
        </w:rPr>
        <w:t xml:space="preserve"> (załącznik do Formularza ofertowego) w wersji elektronicznej. Wykonawca </w:t>
      </w:r>
      <w:r w:rsidRPr="0071562E">
        <w:rPr>
          <w:rFonts w:ascii="Arial" w:eastAsia="SimSun" w:hAnsi="Arial" w:cs="Arial"/>
          <w:b/>
          <w:color w:val="00B050"/>
          <w:sz w:val="20"/>
          <w:szCs w:val="20"/>
          <w:u w:val="single"/>
          <w:lang w:eastAsia="pl-PL"/>
        </w:rPr>
        <w:t>podpisuje ofertę kwalifikowanym podpisem elektronicznym</w:t>
      </w:r>
      <w:r w:rsidRPr="0071562E">
        <w:rPr>
          <w:rFonts w:ascii="Arial" w:eastAsia="SimSun" w:hAnsi="Arial" w:cs="Arial"/>
          <w:b/>
          <w:color w:val="00B050"/>
          <w:sz w:val="20"/>
          <w:szCs w:val="20"/>
          <w:lang w:eastAsia="pl-PL"/>
        </w:rPr>
        <w:t>.</w:t>
      </w:r>
    </w:p>
    <w:p w:rsidR="00C51C95"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EZP</w:t>
      </w:r>
      <w:r w:rsidR="009A480C">
        <w:rPr>
          <w:rFonts w:ascii="Arial" w:eastAsia="SimSun" w:hAnsi="Arial" w:cs="Arial"/>
          <w:b/>
          <w:sz w:val="20"/>
          <w:szCs w:val="20"/>
          <w:lang w:eastAsia="zh-CN"/>
        </w:rPr>
        <w:t>/</w:t>
      </w:r>
      <w:bookmarkStart w:id="0" w:name="_GoBack"/>
      <w:bookmarkEnd w:id="0"/>
      <w:r w:rsidR="009A480C">
        <w:rPr>
          <w:rFonts w:ascii="Arial" w:eastAsia="SimSun" w:hAnsi="Arial" w:cs="Arial"/>
          <w:b/>
          <w:sz w:val="20"/>
          <w:szCs w:val="20"/>
          <w:lang w:eastAsia="zh-CN"/>
        </w:rPr>
        <w:t>90/20/</w:t>
      </w: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Wykaz</w:t>
      </w:r>
      <w:r>
        <w:rPr>
          <w:rFonts w:ascii="Arial" w:eastAsia="SimSun" w:hAnsi="Arial" w:cs="Arial"/>
          <w:b/>
          <w:sz w:val="20"/>
          <w:szCs w:val="20"/>
          <w:lang w:eastAsia="zh-CN"/>
        </w:rPr>
        <w:t>/opis</w:t>
      </w:r>
      <w:r w:rsidRPr="0071562E">
        <w:rPr>
          <w:rFonts w:ascii="Arial" w:eastAsia="SimSun" w:hAnsi="Arial" w:cs="Arial"/>
          <w:b/>
          <w:sz w:val="20"/>
          <w:szCs w:val="20"/>
          <w:lang w:eastAsia="zh-CN"/>
        </w:rPr>
        <w:t xml:space="preserve"> przedmiotu zamówienia</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jest zobowiązany do odbioru sprzętu zużytego w ilości dostarczonego sprzętu, przy czym odbiór sprzętu zużytego może odbywać się w terminie innym niż dostawa nowego sprzętu.  </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pudełka/opakowania  był gotowy do podłączenia do komputera/sieci Zamawiającego i użytkowania. </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 </w:t>
      </w:r>
    </w:p>
    <w:p w:rsidR="00C51C95" w:rsidRPr="00D5527D"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D5527D" w:rsidRDefault="00C51C95" w:rsidP="00C51C95">
      <w:pPr>
        <w:numPr>
          <w:ilvl w:val="0"/>
          <w:numId w:val="6"/>
        </w:numPr>
        <w:suppressAutoHyphens w:val="0"/>
        <w:autoSpaceDN/>
        <w:spacing w:after="0" w:line="276" w:lineRule="auto"/>
        <w:textAlignment w:val="auto"/>
        <w:rPr>
          <w:rFonts w:ascii="Arial" w:eastAsia="SimSun" w:hAnsi="Arial" w:cs="Arial"/>
          <w:sz w:val="20"/>
          <w:szCs w:val="20"/>
          <w:lang w:eastAsia="zh-CN"/>
        </w:rPr>
      </w:pPr>
      <w:bookmarkStart w:id="1" w:name="_Toc27669363"/>
      <w:r w:rsidRPr="00D5527D">
        <w:rPr>
          <w:rFonts w:ascii="Arial" w:eastAsia="SimSun" w:hAnsi="Arial" w:cs="Arial"/>
          <w:sz w:val="20"/>
          <w:szCs w:val="20"/>
          <w:lang w:eastAsia="zh-CN"/>
        </w:rPr>
        <w:t>Specyfikacja dostarczanej infrastruktury informatycznej i architektury technicznej</w:t>
      </w:r>
      <w:bookmarkEnd w:id="1"/>
      <w:r w:rsidRPr="00D5527D">
        <w:rPr>
          <w:rFonts w:ascii="Arial" w:eastAsia="SimSun" w:hAnsi="Arial" w:cs="Arial"/>
          <w:sz w:val="20"/>
          <w:szCs w:val="20"/>
          <w:lang w:eastAsia="zh-CN"/>
        </w:rPr>
        <w:t>.</w:t>
      </w:r>
    </w:p>
    <w:p w:rsidR="00C51C95" w:rsidRPr="00D5527D" w:rsidRDefault="00C51C95" w:rsidP="00C51C95">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poniższej tabeli przedstawiono typy oraz liczbę zamawianej infrastruktury teleinformatycznej.</w:t>
      </w:r>
    </w:p>
    <w:p w:rsidR="00C51C95" w:rsidRPr="00D5527D" w:rsidRDefault="00C51C95" w:rsidP="00C51C95">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1</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Typy oraz liczba zamawianej infrastruktury teleinformatycznej.</w:t>
      </w:r>
    </w:p>
    <w:tbl>
      <w:tblPr>
        <w:tblStyle w:val="Tabela-Siatka"/>
        <w:tblW w:w="5000" w:type="pct"/>
        <w:tblInd w:w="137" w:type="dxa"/>
        <w:tblLook w:val="04A0" w:firstRow="1" w:lastRow="0" w:firstColumn="1" w:lastColumn="0" w:noHBand="0" w:noVBand="1"/>
      </w:tblPr>
      <w:tblGrid>
        <w:gridCol w:w="1455"/>
        <w:gridCol w:w="11413"/>
        <w:gridCol w:w="2673"/>
      </w:tblGrid>
      <w:tr w:rsidR="00C51C95" w:rsidRPr="00D5527D" w:rsidTr="00683F5F">
        <w:tc>
          <w:tcPr>
            <w:tcW w:w="468" w:type="pct"/>
            <w:tcBorders>
              <w:top w:val="single" w:sz="4" w:space="0" w:color="auto"/>
              <w:left w:val="single" w:sz="4" w:space="0" w:color="auto"/>
              <w:bottom w:val="single" w:sz="4" w:space="0" w:color="auto"/>
              <w:right w:val="single" w:sz="4" w:space="0" w:color="auto"/>
            </w:tcBorders>
            <w:shd w:val="clear" w:color="auto" w:fill="00B0F0"/>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Lp.</w:t>
            </w:r>
          </w:p>
        </w:tc>
        <w:tc>
          <w:tcPr>
            <w:tcW w:w="3672" w:type="pct"/>
            <w:tcBorders>
              <w:top w:val="single" w:sz="4" w:space="0" w:color="auto"/>
              <w:left w:val="single" w:sz="4" w:space="0" w:color="auto"/>
              <w:bottom w:val="single" w:sz="4" w:space="0" w:color="auto"/>
              <w:right w:val="single" w:sz="4" w:space="0" w:color="auto"/>
            </w:tcBorders>
            <w:shd w:val="clear" w:color="auto" w:fill="00B0F0"/>
            <w:hideMark/>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Typ</w:t>
            </w:r>
          </w:p>
        </w:tc>
        <w:tc>
          <w:tcPr>
            <w:tcW w:w="860" w:type="pct"/>
            <w:tcBorders>
              <w:top w:val="single" w:sz="4" w:space="0" w:color="auto"/>
              <w:left w:val="single" w:sz="4" w:space="0" w:color="auto"/>
              <w:bottom w:val="single" w:sz="4" w:space="0" w:color="auto"/>
              <w:right w:val="single" w:sz="4" w:space="0" w:color="auto"/>
            </w:tcBorders>
            <w:shd w:val="clear" w:color="auto" w:fill="00B0F0"/>
            <w:hideMark/>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Liczba zamawianego sprzętu (sztuk)</w:t>
            </w:r>
          </w:p>
        </w:tc>
      </w:tr>
      <w:tr w:rsidR="00C51C95" w:rsidRPr="00D5527D" w:rsidTr="00683F5F">
        <w:tc>
          <w:tcPr>
            <w:tcW w:w="5000" w:type="pct"/>
            <w:gridSpan w:val="3"/>
            <w:tcBorders>
              <w:top w:val="single" w:sz="4" w:space="0" w:color="auto"/>
              <w:left w:val="single" w:sz="4" w:space="0" w:color="auto"/>
              <w:bottom w:val="single" w:sz="4" w:space="0" w:color="auto"/>
              <w:right w:val="single" w:sz="4" w:space="0" w:color="auto"/>
            </w:tcBorders>
            <w:shd w:val="clear" w:color="auto" w:fill="00B0F0"/>
          </w:tcPr>
          <w:p w:rsidR="00C51C95" w:rsidRPr="00D5527D" w:rsidRDefault="00C51C95" w:rsidP="00683F5F">
            <w:pPr>
              <w:suppressAutoHyphens w:val="0"/>
              <w:spacing w:line="276" w:lineRule="auto"/>
              <w:rPr>
                <w:rFonts w:ascii="Arial" w:eastAsia="SimSun" w:hAnsi="Arial" w:cs="Arial"/>
                <w:b/>
                <w:lang w:eastAsia="zh-CN"/>
              </w:rPr>
            </w:pPr>
            <w:bookmarkStart w:id="2" w:name="_Hlk38637713"/>
            <w:r w:rsidRPr="00D5527D">
              <w:rPr>
                <w:rFonts w:ascii="Arial" w:eastAsia="SimSun" w:hAnsi="Arial" w:cs="Arial"/>
                <w:b/>
                <w:lang w:eastAsia="zh-CN"/>
              </w:rPr>
              <w:t>PAKIET   I</w:t>
            </w:r>
          </w:p>
        </w:tc>
      </w:tr>
      <w:bookmarkEnd w:id="2"/>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Serwer aplikacyjny</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Macierz dyskowa</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Półka macierzy dyskowej</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 xml:space="preserve">Oprogramowanie </w:t>
            </w:r>
            <w:proofErr w:type="spellStart"/>
            <w:r w:rsidRPr="00D5527D">
              <w:rPr>
                <w:rFonts w:ascii="Arial" w:eastAsia="SimSun" w:hAnsi="Arial" w:cs="Arial"/>
                <w:lang w:eastAsia="zh-CN"/>
              </w:rPr>
              <w:t>wirtualizacyjne</w:t>
            </w:r>
            <w:proofErr w:type="spellEnd"/>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System operacyjny</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bl>
    <w:p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NR 1</w:t>
      </w:r>
    </w:p>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Wadium: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6"/>
        <w:gridCol w:w="841"/>
        <w:gridCol w:w="963"/>
        <w:gridCol w:w="1408"/>
        <w:gridCol w:w="1350"/>
        <w:gridCol w:w="1541"/>
        <w:gridCol w:w="1409"/>
        <w:gridCol w:w="2373"/>
      </w:tblGrid>
      <w:tr w:rsidR="001A3B3C" w:rsidRPr="00D5527D" w:rsidTr="00683F5F">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L.p.</w:t>
            </w:r>
          </w:p>
        </w:tc>
        <w:tc>
          <w:tcPr>
            <w:tcW w:w="5950"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Ilość</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 brutto</w:t>
            </w:r>
          </w:p>
          <w:p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pozycji brutto</w:t>
            </w:r>
          </w:p>
          <w:p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jednostkowa bez podatku VAT</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bez podatku VAT</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Stawka podatku</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VAT </w:t>
            </w:r>
            <w:r w:rsidRPr="00D5527D">
              <w:rPr>
                <w:rFonts w:ascii="Arial" w:eastAsia="SimSun" w:hAnsi="Arial" w:cs="Arial"/>
                <w:i/>
                <w:sz w:val="20"/>
                <w:szCs w:val="20"/>
                <w:lang w:eastAsia="zh-CN"/>
              </w:rPr>
              <w:t>dla wykonawców z terytorium kraju RP lub nie objętych wewnątrzwspólnotowym nabyciem towarów</w:t>
            </w: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5950" w:type="dxa"/>
            <w:tcBorders>
              <w:top w:val="single" w:sz="4" w:space="0" w:color="auto"/>
              <w:left w:val="single" w:sz="4" w:space="0" w:color="auto"/>
              <w:bottom w:val="single" w:sz="4" w:space="0" w:color="auto"/>
              <w:right w:val="single" w:sz="4" w:space="0" w:color="auto"/>
            </w:tcBorders>
            <w:shd w:val="clear" w:color="auto" w:fill="auto"/>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aplikacyjny.</w:t>
            </w:r>
          </w:p>
        </w:tc>
        <w:tc>
          <w:tcPr>
            <w:tcW w:w="851"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2.</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Macierz dyskowa</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3.</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Półka macierzy dyskowej</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4.</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 xml:space="preserve">Oprogramowanie </w:t>
            </w:r>
            <w:proofErr w:type="spellStart"/>
            <w:r w:rsidRPr="00D5527D">
              <w:rPr>
                <w:rFonts w:ascii="Arial" w:eastAsia="SimSun" w:hAnsi="Arial" w:cs="Arial"/>
                <w:sz w:val="20"/>
                <w:szCs w:val="20"/>
                <w:lang w:eastAsia="zh-CN"/>
              </w:rPr>
              <w:t>wirtualizacyjne</w:t>
            </w:r>
            <w:proofErr w:type="spellEnd"/>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5.</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System operacyjny</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bCs/>
                <w:sz w:val="20"/>
                <w:szCs w:val="20"/>
                <w:lang w:eastAsia="zh-CN"/>
              </w:rPr>
              <w:t>Suma</w:t>
            </w:r>
          </w:p>
        </w:tc>
        <w:tc>
          <w:tcPr>
            <w:tcW w:w="851"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roofErr w:type="spellStart"/>
            <w:r w:rsidRPr="00D5527D">
              <w:rPr>
                <w:rFonts w:ascii="Arial" w:eastAsia="SimSun" w:hAnsi="Arial" w:cs="Arial"/>
                <w:b/>
                <w:sz w:val="20"/>
                <w:szCs w:val="20"/>
                <w:lang w:eastAsia="zh-CN"/>
              </w:rPr>
              <w:t>xxxxx</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roofErr w:type="spellStart"/>
            <w:r w:rsidRPr="00D5527D">
              <w:rPr>
                <w:rFonts w:ascii="Arial" w:eastAsia="SimSun" w:hAnsi="Arial" w:cs="Arial"/>
                <w:b/>
                <w:sz w:val="20"/>
                <w:szCs w:val="20"/>
                <w:lang w:eastAsia="zh-CN"/>
              </w:rPr>
              <w:t>xxxxx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roofErr w:type="spellStart"/>
            <w:r w:rsidRPr="00D5527D">
              <w:rPr>
                <w:rFonts w:ascii="Arial" w:eastAsia="SimSun" w:hAnsi="Arial" w:cs="Arial"/>
                <w:b/>
                <w:sz w:val="20"/>
                <w:szCs w:val="20"/>
                <w:lang w:eastAsia="zh-CN"/>
              </w:rPr>
              <w:t>xxxxxx</w:t>
            </w:r>
            <w:proofErr w:type="spellEnd"/>
          </w:p>
        </w:tc>
      </w:tr>
    </w:tbl>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z podatkiem VAT (brutto):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bez podatku VAT(netto):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r w:rsidRPr="00D5527D">
        <w:rPr>
          <w:rFonts w:ascii="Arial" w:eastAsia="SimSun" w:hAnsi="Arial" w:cs="Arial"/>
          <w:sz w:val="20"/>
          <w:szCs w:val="20"/>
          <w:lang w:eastAsia="zh-CN"/>
        </w:rPr>
        <w:tab/>
        <w:t xml:space="preserve">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sectPr w:rsidR="001A3B3C" w:rsidRPr="00D5527D" w:rsidSect="00AD31FA">
          <w:headerReference w:type="default" r:id="rId7"/>
          <w:footerReference w:type="default" r:id="rId8"/>
          <w:pgSz w:w="16838" w:h="11906" w:orient="landscape"/>
          <w:pgMar w:top="720" w:right="567" w:bottom="720" w:left="720" w:header="709" w:footer="709" w:gutter="0"/>
          <w:pgNumType w:start="1"/>
          <w:cols w:space="708"/>
          <w:docGrid w:linePitch="299"/>
        </w:sectPr>
      </w:pP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poniższej tabeli przedstawiono szczegóły dotyczące planowanej do zamówienia infrastruktury teleinformatycznej.</w:t>
      </w:r>
    </w:p>
    <w:p w:rsidR="001A3B3C" w:rsidRPr="00D5527D" w:rsidRDefault="001A3B3C" w:rsidP="001A3B3C">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2</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Szczegóły zamawianej infrastruktury teleinformatycznej w podziale na komponenty.</w:t>
      </w:r>
    </w:p>
    <w:tbl>
      <w:tblPr>
        <w:tblW w:w="4845" w:type="pct"/>
        <w:tblInd w:w="-431" w:type="dxa"/>
        <w:tblLayout w:type="fixed"/>
        <w:tblCellMar>
          <w:left w:w="70" w:type="dxa"/>
          <w:right w:w="70" w:type="dxa"/>
        </w:tblCellMar>
        <w:tblLook w:val="04A0" w:firstRow="1" w:lastRow="0" w:firstColumn="1" w:lastColumn="0" w:noHBand="0" w:noVBand="1"/>
      </w:tblPr>
      <w:tblGrid>
        <w:gridCol w:w="1211"/>
        <w:gridCol w:w="820"/>
        <w:gridCol w:w="2186"/>
        <w:gridCol w:w="6453"/>
        <w:gridCol w:w="24"/>
        <w:gridCol w:w="15"/>
        <w:gridCol w:w="21"/>
        <w:gridCol w:w="182"/>
        <w:gridCol w:w="176"/>
        <w:gridCol w:w="3793"/>
        <w:gridCol w:w="30"/>
      </w:tblGrid>
      <w:tr w:rsidR="001A3B3C" w:rsidRPr="00D5527D" w:rsidTr="00683F5F">
        <w:trPr>
          <w:trHeight w:val="300"/>
          <w:tblHeader/>
        </w:trPr>
        <w:tc>
          <w:tcPr>
            <w:tcW w:w="406" w:type="pct"/>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w:t>
            </w:r>
          </w:p>
        </w:tc>
        <w:tc>
          <w:tcPr>
            <w:tcW w:w="275" w:type="pct"/>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Lp.</w:t>
            </w:r>
          </w:p>
        </w:tc>
        <w:tc>
          <w:tcPr>
            <w:tcW w:w="733" w:type="pct"/>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Nazwa komponentu</w:t>
            </w:r>
          </w:p>
        </w:tc>
        <w:tc>
          <w:tcPr>
            <w:tcW w:w="2184" w:type="pct"/>
            <w:gridSpan w:val="4"/>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Wymagane minimalne parametry techniczne</w:t>
            </w:r>
          </w:p>
        </w:tc>
        <w:tc>
          <w:tcPr>
            <w:tcW w:w="1402" w:type="pct"/>
            <w:gridSpan w:val="4"/>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bCs/>
                <w:i/>
                <w:sz w:val="20"/>
                <w:szCs w:val="20"/>
                <w:u w:val="single"/>
                <w:lang w:eastAsia="zh-CN"/>
              </w:rPr>
            </w:pPr>
            <w:r w:rsidRPr="00D5527D">
              <w:rPr>
                <w:rFonts w:ascii="Arial" w:eastAsia="SimSun" w:hAnsi="Arial" w:cs="Arial"/>
                <w:b/>
                <w:bCs/>
                <w:sz w:val="20"/>
                <w:szCs w:val="20"/>
                <w:lang w:eastAsia="zh-CN"/>
              </w:rPr>
              <w:t>PARAMETRY ZAPROPONOWANE PRZEZ WYKONAWCĘ</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bCs/>
                <w:i/>
                <w:sz w:val="20"/>
                <w:szCs w:val="20"/>
                <w:u w:val="single"/>
                <w:lang w:eastAsia="zh-CN"/>
              </w:rPr>
              <w:t>(wypełnia Wykonawca)</w:t>
            </w:r>
          </w:p>
        </w:tc>
      </w:tr>
      <w:tr w:rsidR="001A3B3C" w:rsidRPr="00D5527D" w:rsidTr="00683F5F">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I</w:t>
            </w:r>
          </w:p>
        </w:tc>
      </w:tr>
      <w:tr w:rsidR="001A3B3C" w:rsidRPr="00D5527D" w:rsidTr="00683F5F">
        <w:trPr>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008" w:type="pct"/>
            <w:gridSpan w:val="2"/>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Serwer aplikacyjny</w:t>
            </w:r>
          </w:p>
        </w:tc>
        <w:tc>
          <w:tcPr>
            <w:tcW w:w="2177" w:type="pct"/>
            <w:gridSpan w:val="3"/>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409" w:type="pct"/>
            <w:gridSpan w:val="5"/>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Obudowa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Typu RACK, wysokość nie więcej niż 2U;</w:t>
            </w:r>
          </w:p>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Szyny umożliwiające wysunięcie serwera z szafy stelażowej;</w:t>
            </w:r>
          </w:p>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Ramię porządkujące ułożenie przewodów z tyłu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Płyta główna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Dwuprocesorowa;</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Wyprodukowana i zaprojektowana przez producenta serwera;</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procesorów 28-rdzeniowych;</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moduł TPM 2.0;</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6 złącz PCI Express generacji 3w tym:</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x16,</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x8,</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Możliwość rozbudowy do 8 aktywnych złącz </w:t>
            </w:r>
            <w:proofErr w:type="spellStart"/>
            <w:r w:rsidRPr="00D5527D">
              <w:rPr>
                <w:rFonts w:ascii="Arial" w:eastAsia="SimSun" w:hAnsi="Arial" w:cs="Arial"/>
                <w:sz w:val="20"/>
                <w:szCs w:val="20"/>
                <w:lang w:eastAsia="zh-CN"/>
              </w:rPr>
              <w:t>PCIe</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24 gniazda pamięci RAM;</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minimum 3TB pamięci RAM;</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Wsparcie dla technologii:</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Memory </w:t>
            </w:r>
            <w:proofErr w:type="spellStart"/>
            <w:r w:rsidRPr="00D5527D">
              <w:rPr>
                <w:rFonts w:ascii="Arial" w:eastAsia="SimSun" w:hAnsi="Arial" w:cs="Arial"/>
                <w:sz w:val="20"/>
                <w:szCs w:val="20"/>
                <w:lang w:eastAsia="zh-CN"/>
              </w:rPr>
              <w:t>Scrubbing</w:t>
            </w:r>
            <w:proofErr w:type="spellEnd"/>
            <w:r w:rsidRPr="00D5527D">
              <w:rPr>
                <w:rFonts w:ascii="Arial" w:eastAsia="SimSun" w:hAnsi="Arial" w:cs="Arial"/>
                <w:sz w:val="20"/>
                <w:szCs w:val="20"/>
                <w:lang w:eastAsia="zh-CN"/>
              </w:rPr>
              <w:t>,</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SDDC,</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Advanced ECC,</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proofErr w:type="spellStart"/>
            <w:r w:rsidRPr="00D5527D">
              <w:rPr>
                <w:rFonts w:ascii="Arial" w:eastAsia="SimSun" w:hAnsi="Arial" w:cs="Arial"/>
                <w:sz w:val="20"/>
                <w:szCs w:val="20"/>
                <w:lang w:eastAsia="zh-CN"/>
              </w:rPr>
              <w:t>Rank</w:t>
            </w:r>
            <w:proofErr w:type="spellEnd"/>
            <w:r w:rsidRPr="00D5527D">
              <w:rPr>
                <w:rFonts w:ascii="Arial" w:eastAsia="SimSun" w:hAnsi="Arial" w:cs="Arial"/>
                <w:sz w:val="20"/>
                <w:szCs w:val="20"/>
                <w:lang w:eastAsia="zh-CN"/>
              </w:rPr>
              <w:t xml:space="preserve"> Sparing;</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Minimum 2 sloty dla dysków M.2 na płycie głównej (lub dedykowanej karcie PCI Express)  nie zajmujące klatek dla dysków hot-plug;</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Procesory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Dwa procesory 16-rdzeniowe;</w:t>
            </w:r>
          </w:p>
          <w:p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architektura x86_64;</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osiągające w teście SPEC CPU2017 </w:t>
            </w:r>
            <w:proofErr w:type="spellStart"/>
            <w:r w:rsidRPr="00D5527D">
              <w:rPr>
                <w:rFonts w:ascii="Arial" w:eastAsia="SimSun" w:hAnsi="Arial" w:cs="Arial"/>
                <w:sz w:val="20"/>
                <w:szCs w:val="20"/>
                <w:lang w:eastAsia="zh-CN"/>
              </w:rPr>
              <w:t>Floating</w:t>
            </w:r>
            <w:proofErr w:type="spellEnd"/>
            <w:r w:rsidRPr="00D5527D">
              <w:rPr>
                <w:rFonts w:ascii="Arial" w:eastAsia="SimSun" w:hAnsi="Arial" w:cs="Arial"/>
                <w:sz w:val="20"/>
                <w:szCs w:val="20"/>
                <w:lang w:eastAsia="zh-CN"/>
              </w:rPr>
              <w:t xml:space="preserve"> Point wynik SPECrate2017_fp_base minimum 208 pkt  (wynik dla dwóch procesorów). Wynik musi być opublikowany na stronie https://www.spec.org/cpu2017/results/cpu2017.html</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Pamięć RAM</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512 GB pamięci RAM w  (16 wolnych slotów do dalszej rozbudowy pamięci);</w:t>
            </w:r>
          </w:p>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DDR4 </w:t>
            </w:r>
            <w:proofErr w:type="spellStart"/>
            <w:r w:rsidRPr="00D5527D">
              <w:rPr>
                <w:rFonts w:ascii="Arial" w:eastAsia="SimSun" w:hAnsi="Arial" w:cs="Arial"/>
                <w:sz w:val="20"/>
                <w:szCs w:val="20"/>
                <w:lang w:eastAsia="zh-CN"/>
              </w:rPr>
              <w:t>Registered</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2933Mhz;</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Dyski twarde i napędy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Minimum 4 wnęki dla dysków twardych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3,5”;</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do 8 wnęk;</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wewnętrzny napęd DVD-RW;</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dedykowanej wewnętrznej nagrywarki Blu-Ray;</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wewnętrznego napędu LTO 6/7.</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LAN</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Trwale zintegrowana karta LAN, nie zajmująca żadnego z dostępnych slotów PCI Express, wyposażona minimum w interfejsy: 2x 1Gbit Base-T ze wsparciem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oraz PXE </w:t>
            </w:r>
            <w:proofErr w:type="spellStart"/>
            <w:r w:rsidRPr="00D5527D">
              <w:rPr>
                <w:rFonts w:ascii="Arial" w:eastAsia="SimSun" w:hAnsi="Arial" w:cs="Arial"/>
                <w:sz w:val="20"/>
                <w:szCs w:val="20"/>
                <w:lang w:eastAsia="zh-CN"/>
              </w:rPr>
              <w:t>boot</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karta Dual Port 10Gbit/25Gbit Ethernet:</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 VLAN,</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802.1Qaz (ETS),</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802.1Qbb (PFC),</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IEEE 802.3x Flow ControlIPv4, IPv6 and mixed IPv4/IPv6 network protocols;</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Przepustowość szyny danych 8GT/s.</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I/O</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Możliwość zainstalowania kontrolera RAID obsługującego dyski </w:t>
            </w:r>
            <w:proofErr w:type="spellStart"/>
            <w:r w:rsidRPr="00D5527D">
              <w:rPr>
                <w:rFonts w:ascii="Arial" w:eastAsia="SimSun" w:hAnsi="Arial" w:cs="Arial"/>
                <w:sz w:val="20"/>
                <w:szCs w:val="20"/>
                <w:lang w:eastAsia="zh-CN"/>
              </w:rPr>
              <w:t>NVMe</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Zainstalowany nośniki </w:t>
            </w:r>
            <w:proofErr w:type="spellStart"/>
            <w:r w:rsidRPr="00D5527D">
              <w:rPr>
                <w:rFonts w:ascii="Arial" w:eastAsia="SimSun" w:hAnsi="Arial" w:cs="Arial"/>
                <w:sz w:val="20"/>
                <w:szCs w:val="20"/>
                <w:lang w:eastAsia="zh-CN"/>
              </w:rPr>
              <w:t>flash</w:t>
            </w:r>
            <w:proofErr w:type="spellEnd"/>
            <w:r w:rsidRPr="00D5527D">
              <w:rPr>
                <w:rFonts w:ascii="Arial" w:eastAsia="SimSun" w:hAnsi="Arial" w:cs="Arial"/>
                <w:sz w:val="20"/>
                <w:szCs w:val="20"/>
                <w:lang w:eastAsia="zh-CN"/>
              </w:rPr>
              <w:t xml:space="preserve"> o pojemności 64GB w konfiguracji RAID-1 rozwiązanie dedykowane dla </w:t>
            </w:r>
            <w:proofErr w:type="spellStart"/>
            <w:r w:rsidRPr="00D5527D">
              <w:rPr>
                <w:rFonts w:ascii="Arial" w:eastAsia="SimSun" w:hAnsi="Arial" w:cs="Arial"/>
                <w:sz w:val="20"/>
                <w:szCs w:val="20"/>
                <w:lang w:eastAsia="zh-CN"/>
              </w:rPr>
              <w:t>hypervisora</w:t>
            </w:r>
            <w:proofErr w:type="spellEnd"/>
            <w:r w:rsidRPr="00D5527D">
              <w:rPr>
                <w:rFonts w:ascii="Arial" w:eastAsia="SimSun" w:hAnsi="Arial" w:cs="Arial"/>
                <w:sz w:val="20"/>
                <w:szCs w:val="20"/>
                <w:lang w:eastAsia="zh-CN"/>
              </w:rPr>
              <w:t xml:space="preserve"> oraz niezajmujące zatok dla dysków hot-plug;</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dwuportowa karta FC 16Gb;</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Porty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Zintegrowana karta graficzna ze złączami VGA z tyłu oraz przodu serwera;</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 USB 3.0 na panelu przednim;</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 port USB wewnętrzny;</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porty USB 3.0 dostępne z tyłu serwera;</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jednego portu serial, możliwość wykorzystania portu do zarządzania serwerem;</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Ilość dostępnych złącz USB nie może być osiągnięta poprzez stosowanie zewnętrznych przejściówek, rozgałęziaczy czy </w:t>
            </w:r>
            <w:r w:rsidRPr="00D5527D">
              <w:rPr>
                <w:rFonts w:ascii="Arial" w:eastAsia="SimSun" w:hAnsi="Arial" w:cs="Arial"/>
                <w:sz w:val="20"/>
                <w:szCs w:val="20"/>
                <w:lang w:eastAsia="zh-CN"/>
              </w:rPr>
              <w:lastRenderedPageBreak/>
              <w:t>dodatkowych kart rozszerzeń zajmujących jakikolwiek slot PCI Express i/lub USB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Zasilanie, chłodzenie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Redundantne zasilacze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o sprawności 94% (tzw. klasa Platinum) o mocy minimalnej 800W;</w:t>
            </w:r>
          </w:p>
          <w:p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Redundantne wentylatory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662"/>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Zarządzanie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Wbudowane diody informacyjne lub wyświetlacz informujące o stanie serwera - system przewidywania, rozpoznawania awarii)</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informacja o statusie pracy (poprawny, przewidywana usterka lub usterka) następujących komponentów:</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karty rozszerzeń zainstalowane w dowolnym  slocie PCI Express,</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procesory CPU,</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pamięć RAM z dokładnością umożliwiającą jednoznaczną identyfikację uszkodzonego modułu pamięci RAM,</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wbudowany na płycie głównej nośnik pamięci M.2 SSD,</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status karty zrządzającej serwera,</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wentylatory,</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bateria podtrzymująca ustawienia BIOS płyty główne,</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zasilacze.</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system przewidywania/rozpoznawania awarii musi być niezależny i działać w przypadku odłączenia kabli zasilających serwera (podtrzymywany kondensatorowo </w:t>
            </w:r>
            <w:r w:rsidRPr="00D5527D">
              <w:rPr>
                <w:rFonts w:ascii="Arial" w:eastAsia="SimSun" w:hAnsi="Arial" w:cs="Arial"/>
                <w:sz w:val="20"/>
                <w:szCs w:val="20"/>
                <w:lang w:eastAsia="zh-CN"/>
              </w:rPr>
              <w:lastRenderedPageBreak/>
              <w:t xml:space="preserve">lub bateryjnie w celu uruchomienia przy odłączonym zasilaniu sieciowym); </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Zintegrowany z płytą główną serwera kontroler sprzętowy zdalnego zarządzania zgodny z IPMI 2.0;</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Niezależny od systemu operacyjnego, sprzętowy kontroler umożliwiający pełne zarządzanie, zdalny restart serwera:</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Dedykowana karta LAN 1 </w:t>
            </w:r>
            <w:proofErr w:type="spellStart"/>
            <w:r w:rsidRPr="00D5527D">
              <w:rPr>
                <w:rFonts w:ascii="Arial" w:eastAsia="SimSun" w:hAnsi="Arial" w:cs="Arial"/>
                <w:sz w:val="20"/>
                <w:szCs w:val="20"/>
                <w:lang w:eastAsia="zh-CN"/>
              </w:rPr>
              <w:t>Gb</w:t>
            </w:r>
            <w:proofErr w:type="spellEnd"/>
            <w:r w:rsidRPr="00D5527D">
              <w:rPr>
                <w:rFonts w:ascii="Arial" w:eastAsia="SimSun" w:hAnsi="Arial" w:cs="Arial"/>
                <w:sz w:val="20"/>
                <w:szCs w:val="20"/>
                <w:lang w:eastAsia="zh-CN"/>
              </w:rPr>
              <w:t>/s, dedykowane złącze RJ-45 do komunikacji wyłącznie z kontrolerem zdalnego zarządzania z możliwością przeniesienia tej komunikacji na inną kartę sieciową współdzieloną z systemem operacyjnym;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Dostęp poprzez przeglądarkę Web, SSH;</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mocą i jej zużyciem oraz monitoring zużycia energii;</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alarmami (zdarzenia poprzez SNMP);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przejęcia konsoli tekstowej;</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zarządzania przez 6 administratorów jednocześnie;</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Przekierowanie konsoli graficznej na poziomie sprzętowym oraz możliwość montowania zdalnych napędów i ich obrazów na poziomie sprzętowym (cyfrowy KVM;)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Obsługa serwerów </w:t>
            </w:r>
            <w:proofErr w:type="spellStart"/>
            <w:r w:rsidRPr="00D5527D">
              <w:rPr>
                <w:rFonts w:ascii="Arial" w:eastAsia="SimSun" w:hAnsi="Arial" w:cs="Arial"/>
                <w:sz w:val="20"/>
                <w:szCs w:val="20"/>
                <w:lang w:eastAsia="zh-CN"/>
              </w:rPr>
              <w:t>proxy</w:t>
            </w:r>
            <w:proofErr w:type="spellEnd"/>
            <w:r w:rsidRPr="00D5527D">
              <w:rPr>
                <w:rFonts w:ascii="Arial" w:eastAsia="SimSun" w:hAnsi="Arial" w:cs="Arial"/>
                <w:sz w:val="20"/>
                <w:szCs w:val="20"/>
                <w:lang w:eastAsia="zh-CN"/>
              </w:rPr>
              <w:t xml:space="preserve"> (autentykacja);</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VLAN;</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Możliwość konfiguracji parametru Max. </w:t>
            </w:r>
            <w:proofErr w:type="spellStart"/>
            <w:r w:rsidRPr="00D5527D">
              <w:rPr>
                <w:rFonts w:ascii="Arial" w:eastAsia="SimSun" w:hAnsi="Arial" w:cs="Arial"/>
                <w:sz w:val="20"/>
                <w:szCs w:val="20"/>
                <w:lang w:eastAsia="zh-CN"/>
              </w:rPr>
              <w:t>Transmission</w:t>
            </w:r>
            <w:proofErr w:type="spellEnd"/>
            <w:r w:rsidRPr="00D5527D">
              <w:rPr>
                <w:rFonts w:ascii="Arial" w:eastAsia="SimSun" w:hAnsi="Arial" w:cs="Arial"/>
                <w:sz w:val="20"/>
                <w:szCs w:val="20"/>
                <w:lang w:eastAsia="zh-CN"/>
              </w:rPr>
              <w:t xml:space="preserve"> Unit (MTU);</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Wsparcie dla protokołu SSDP;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protokołów TLS 1.0, TLS 1.1, TLS 1.2, SSL v3;</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protokołu LDAP;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Integracja z HP SIM;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Synchronizacja czasu poprzez protokół NTP;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backupu i odtworzenia ustawień bios serwera oraz ustawień karty zarządzającej;</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Dedykowana, wbudowana w kartę zarządzającą (lub zainstalowana) pamięć </w:t>
            </w:r>
            <w:proofErr w:type="spellStart"/>
            <w:r w:rsidRPr="00D5527D">
              <w:rPr>
                <w:rFonts w:ascii="Arial" w:eastAsia="SimSun" w:hAnsi="Arial" w:cs="Arial"/>
                <w:sz w:val="20"/>
                <w:szCs w:val="20"/>
                <w:lang w:eastAsia="zh-CN"/>
              </w:rPr>
              <w:t>flash</w:t>
            </w:r>
            <w:proofErr w:type="spellEnd"/>
            <w:r w:rsidRPr="00D5527D">
              <w:rPr>
                <w:rFonts w:ascii="Arial" w:eastAsia="SimSun" w:hAnsi="Arial" w:cs="Arial"/>
                <w:sz w:val="20"/>
                <w:szCs w:val="20"/>
                <w:lang w:eastAsia="zh-CN"/>
              </w:rPr>
              <w:t xml:space="preserve"> o pojemności minimum 16 GB;</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Możliwość zdalnej </w:t>
            </w:r>
            <w:proofErr w:type="spellStart"/>
            <w:r w:rsidRPr="00D5527D">
              <w:rPr>
                <w:rFonts w:ascii="Arial" w:eastAsia="SimSun" w:hAnsi="Arial" w:cs="Arial"/>
                <w:sz w:val="20"/>
                <w:szCs w:val="20"/>
                <w:lang w:eastAsia="zh-CN"/>
              </w:rPr>
              <w:t>reinstalacji</w:t>
            </w:r>
            <w:proofErr w:type="spellEnd"/>
            <w:r w:rsidRPr="00D5527D">
              <w:rPr>
                <w:rFonts w:ascii="Arial" w:eastAsia="SimSun" w:hAnsi="Arial" w:cs="Arial"/>
                <w:sz w:val="20"/>
                <w:szCs w:val="20"/>
                <w:lang w:eastAsia="zh-CN"/>
              </w:rPr>
              <w:t xml:space="preserve"> systemu lub aplikacji z obrazów zainstalowanych w obrębie dedykowanej pamięci </w:t>
            </w:r>
            <w:proofErr w:type="spellStart"/>
            <w:r w:rsidRPr="00D5527D">
              <w:rPr>
                <w:rFonts w:ascii="Arial" w:eastAsia="SimSun" w:hAnsi="Arial" w:cs="Arial"/>
                <w:sz w:val="20"/>
                <w:szCs w:val="20"/>
                <w:lang w:eastAsia="zh-CN"/>
              </w:rPr>
              <w:t>flash</w:t>
            </w:r>
            <w:proofErr w:type="spellEnd"/>
            <w:r w:rsidRPr="00D5527D">
              <w:rPr>
                <w:rFonts w:ascii="Arial" w:eastAsia="SimSun" w:hAnsi="Arial" w:cs="Arial"/>
                <w:sz w:val="20"/>
                <w:szCs w:val="20"/>
                <w:lang w:eastAsia="zh-CN"/>
              </w:rPr>
              <w:t xml:space="preserve"> bez użytkowania zewnętrznych nośników lub kopiowania danych poprzez sieć LAN;</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Serwer posiada możliwość konfiguracji i wykonania aktualizacji BIOS, </w:t>
            </w:r>
            <w:proofErr w:type="spellStart"/>
            <w:r w:rsidRPr="00D5527D">
              <w:rPr>
                <w:rFonts w:ascii="Arial" w:eastAsia="SimSun" w:hAnsi="Arial" w:cs="Arial"/>
                <w:sz w:val="20"/>
                <w:szCs w:val="20"/>
                <w:lang w:eastAsia="zh-CN"/>
              </w:rPr>
              <w:t>Firmware</w:t>
            </w:r>
            <w:proofErr w:type="spellEnd"/>
            <w:r w:rsidRPr="00D5527D">
              <w:rPr>
                <w:rFonts w:ascii="Arial" w:eastAsia="SimSun" w:hAnsi="Arial" w:cs="Arial"/>
                <w:sz w:val="20"/>
                <w:szCs w:val="20"/>
                <w:lang w:eastAsia="zh-CN"/>
              </w:rPr>
              <w:t xml:space="preserve">, sterowników serwera bezpośrednio z GUI (graficzny interfejs) karty zarządzającej serwera bez </w:t>
            </w:r>
            <w:r w:rsidRPr="00D5527D">
              <w:rPr>
                <w:rFonts w:ascii="Arial" w:eastAsia="SimSun" w:hAnsi="Arial" w:cs="Arial"/>
                <w:sz w:val="20"/>
                <w:szCs w:val="20"/>
                <w:lang w:eastAsia="zh-CN"/>
              </w:rPr>
              <w:lastRenderedPageBreak/>
              <w:t>pośrednictwa innych nośników zewnętrznych i wewnętrznych poza obrębem karty zarządzającej.</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Wspierane OS</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Microsoft Windows Server 2019, 2016;</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VMWare vSphere 6.7;</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proofErr w:type="spellStart"/>
            <w:r w:rsidRPr="00D5527D">
              <w:rPr>
                <w:rFonts w:ascii="Arial" w:eastAsia="SimSun" w:hAnsi="Arial" w:cs="Arial"/>
                <w:sz w:val="20"/>
                <w:szCs w:val="20"/>
                <w:lang w:val="en-US" w:eastAsia="zh-CN"/>
              </w:rPr>
              <w:t>Suse</w:t>
            </w:r>
            <w:proofErr w:type="spellEnd"/>
            <w:r w:rsidRPr="00D5527D">
              <w:rPr>
                <w:rFonts w:ascii="Arial" w:eastAsia="SimSun" w:hAnsi="Arial" w:cs="Arial"/>
                <w:sz w:val="20"/>
                <w:szCs w:val="20"/>
                <w:lang w:val="en-US" w:eastAsia="zh-CN"/>
              </w:rPr>
              <w:t xml:space="preserve"> Linux Enterprise Server 12;</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Red Hat Enterprise Linux 7, 8;</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proofErr w:type="spellStart"/>
            <w:r w:rsidRPr="00D5527D">
              <w:rPr>
                <w:rFonts w:ascii="Arial" w:eastAsia="SimSun" w:hAnsi="Arial" w:cs="Arial"/>
                <w:sz w:val="20"/>
                <w:szCs w:val="20"/>
                <w:lang w:val="en-US" w:eastAsia="zh-CN"/>
              </w:rPr>
              <w:t>Univention</w:t>
            </w:r>
            <w:proofErr w:type="spellEnd"/>
            <w:r w:rsidRPr="00D5527D">
              <w:rPr>
                <w:rFonts w:ascii="Arial" w:eastAsia="SimSun" w:hAnsi="Arial" w:cs="Arial"/>
                <w:sz w:val="20"/>
                <w:szCs w:val="20"/>
                <w:lang w:val="en-US" w:eastAsia="zh-CN"/>
              </w:rPr>
              <w:t xml:space="preserve"> Corporate Server 4;</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Hyper-V Server.</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Dokumentacja, inne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musi być fabrycznie nowy i pochodzić z oficjalnego kanału dystrybucyjnego w UE – wymagane oświadczenie wykonawcy lub producenta;</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Ogólnopolska, telefoniczna infolinia/linia techniczna producenta serwera, w ofercie należy podać link do strony producenta na </w:t>
            </w:r>
            <w:r w:rsidRPr="00D5527D">
              <w:rPr>
                <w:rFonts w:ascii="Arial" w:eastAsia="SimSun" w:hAnsi="Arial" w:cs="Arial"/>
                <w:sz w:val="20"/>
                <w:szCs w:val="20"/>
                <w:lang w:eastAsia="zh-CN"/>
              </w:rPr>
              <w:lastRenderedPageBreak/>
              <w:t>której znajduje się nr telefonu oraz maila na który można zgłaszać usterki;</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czasie obowiązywania gwarancji na sprzęt, możliwość po podaniu na infolinii numeru seryjnego urządzenia weryfikacji pierwotnej konfiguracji sprzętowej serwera,</w:t>
            </w:r>
            <w:r w:rsidRPr="00D5527D">
              <w:rPr>
                <w:rFonts w:ascii="Arial" w:eastAsia="SimSun" w:hAnsi="Arial" w:cs="Arial"/>
                <w:sz w:val="20"/>
                <w:szCs w:val="20"/>
                <w:lang w:eastAsia="zh-CN"/>
              </w:rPr>
              <w:br/>
              <w:t>w tym model i typ dysków twardych, procesora, ilość fabrycznie zainstalowanej pamięci operacyjnej, czasu obowiązywania i typ udzielonej gwarancji;</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aktualizacji i pobrania sterowników do oferowanego modelu serwera w najnowszych certyfikowanych wersjach bezpośrednio z sieci Internet za pośrednictwem strony www producenta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14.</w:t>
            </w: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Instalacja platformy </w:t>
            </w:r>
            <w:proofErr w:type="spellStart"/>
            <w:r w:rsidRPr="00D5527D">
              <w:rPr>
                <w:rFonts w:ascii="Arial" w:eastAsia="SimSun" w:hAnsi="Arial" w:cs="Arial"/>
                <w:sz w:val="20"/>
                <w:szCs w:val="20"/>
                <w:lang w:eastAsia="zh-CN"/>
              </w:rPr>
              <w:t>wirtualizacyjnej</w:t>
            </w:r>
            <w:proofErr w:type="spellEnd"/>
            <w:r w:rsidRPr="00D5527D">
              <w:rPr>
                <w:rFonts w:ascii="Arial" w:eastAsia="SimSun" w:hAnsi="Arial" w:cs="Arial"/>
                <w:sz w:val="20"/>
                <w:szCs w:val="20"/>
                <w:lang w:eastAsia="zh-CN"/>
              </w:rPr>
              <w:t>.</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systemu składowania danych z uwzględnieniem wydzielenia zasobów na wirtualne serwery.</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sieci SAN i LAN w infrastrukturze wirtualnej.</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Montaż oraz uruchomienie 4 serwerów które </w:t>
            </w:r>
            <w:proofErr w:type="spellStart"/>
            <w:r w:rsidRPr="00D5527D">
              <w:rPr>
                <w:rFonts w:ascii="Arial" w:eastAsia="SimSun" w:hAnsi="Arial" w:cs="Arial"/>
                <w:sz w:val="20"/>
                <w:szCs w:val="20"/>
                <w:lang w:eastAsia="zh-CN"/>
              </w:rPr>
              <w:t>zakupowane</w:t>
            </w:r>
            <w:proofErr w:type="spellEnd"/>
            <w:r w:rsidRPr="00D5527D">
              <w:rPr>
                <w:rFonts w:ascii="Arial" w:eastAsia="SimSun" w:hAnsi="Arial" w:cs="Arial"/>
                <w:sz w:val="20"/>
                <w:szCs w:val="20"/>
                <w:lang w:eastAsia="zh-CN"/>
              </w:rPr>
              <w:t xml:space="preserve"> są w tym postępowaniu .</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Instalacja i konfiguracja platformy do zarządzania maszynami wirtualnymi.</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klastra wysokiej dostępności.</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wydajności i optymalizacja.</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Przygotowanie dokumentacji powykonawczej.</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Macierz dyskowa</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Ogólne</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(System) musi być dostarczona ze wszystkimi komponentami do instalacji w standardowej szafie </w:t>
            </w:r>
            <w:proofErr w:type="spellStart"/>
            <w:r w:rsidRPr="00D5527D">
              <w:rPr>
                <w:rFonts w:ascii="Arial" w:eastAsia="SimSun" w:hAnsi="Arial" w:cs="Arial"/>
                <w:sz w:val="20"/>
                <w:szCs w:val="20"/>
                <w:lang w:eastAsia="zh-CN"/>
              </w:rPr>
              <w:t>rack</w:t>
            </w:r>
            <w:proofErr w:type="spellEnd"/>
            <w:r w:rsidRPr="00D5527D">
              <w:rPr>
                <w:rFonts w:ascii="Arial" w:eastAsia="SimSun" w:hAnsi="Arial" w:cs="Arial"/>
                <w:sz w:val="20"/>
                <w:szCs w:val="20"/>
                <w:lang w:eastAsia="zh-CN"/>
              </w:rPr>
              <w:t xml:space="preserve"> 19” z zajętością maks. 2U w tej szafie.</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skonfigurowany moduł/obudowa musi posiadać układ nadmiarowy zasilania i chłodzenia, zapewniający bezprzerwową pracę macierzy bez ograniczeń czasowych w przypadku utraty redundancji w danym układzie (zasilania lub chłodzenia).</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moduł/obudowa powinien posiadać widoczne elementy sygnalizacyjne do informowania o stanie poprawnej pracy lub awarii.</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Dostarczana macierz musi umożliwiać takie podłączenie półek aby awaria lub/i usunięcie jednej z półek nie powodowało utraty dostępu do danych znajdujących się na pozostałych modułach.</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obsługiwać  min. 260 dysków wykonanych w technologii hot-plug. Wszystkie zainstalowane dyski hot-plug, z wyłączeniem dysków SSD stosowanych jako rozszerzenie pamięci Cache kontrolerów,  muszą być dostępne dla zapisu danych Użytkownika.</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Macierz musi umożliwiać rozbudowę i jednoczesne podłączenie i używanie modułów (tzw. „półek dyskowych”) w rozmiarze 2U pozwalająca umieścić do 24 dysków 2,5” typu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dla dysków NL-SAS SAS i SSD oraz w rozmiarze 2U dla 12 dysków 3,5” typu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SAS, NL-SAS,SSD oraz 3U/4U dla 60 dysków typu </w:t>
            </w:r>
            <w:proofErr w:type="spellStart"/>
            <w:r w:rsidRPr="00D5527D">
              <w:rPr>
                <w:rFonts w:ascii="Arial" w:eastAsia="SimSun" w:hAnsi="Arial" w:cs="Arial"/>
                <w:sz w:val="20"/>
                <w:szCs w:val="20"/>
                <w:lang w:eastAsia="zh-CN"/>
              </w:rPr>
              <w:t>hotplug</w:t>
            </w:r>
            <w:proofErr w:type="spellEnd"/>
            <w:r w:rsidRPr="00D5527D">
              <w:rPr>
                <w:rFonts w:ascii="Arial" w:eastAsia="SimSun" w:hAnsi="Arial" w:cs="Arial"/>
                <w:sz w:val="20"/>
                <w:szCs w:val="20"/>
                <w:lang w:eastAsia="zh-CN"/>
              </w:rPr>
              <w:t xml:space="preserve"> SAS, NL-SAS, SSD-SAS; Wymaga się aby macierz umożliwiała jednoczesne podłączenie i użycie dowolnego rodzaju i kombinacji wyżej wymienionych półek dyskowych (tj. 24 HDD 2,5” + 12 HDD 3,5 + 60HDD).</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umożliwiać uruchomienie replikacji synchronicznej i asynchronicznej z posiadaną przez Zamawiającego macierzą Fujitsu </w:t>
            </w:r>
            <w:proofErr w:type="spellStart"/>
            <w:r w:rsidRPr="00D5527D">
              <w:rPr>
                <w:rFonts w:ascii="Arial" w:eastAsia="SimSun" w:hAnsi="Arial" w:cs="Arial"/>
                <w:sz w:val="20"/>
                <w:szCs w:val="20"/>
                <w:lang w:eastAsia="zh-CN"/>
              </w:rPr>
              <w:t>Eternus</w:t>
            </w:r>
            <w:proofErr w:type="spellEnd"/>
            <w:r w:rsidRPr="00D5527D">
              <w:rPr>
                <w:rFonts w:ascii="Arial" w:eastAsia="SimSun" w:hAnsi="Arial" w:cs="Arial"/>
                <w:sz w:val="20"/>
                <w:szCs w:val="20"/>
                <w:lang w:eastAsia="zh-CN"/>
              </w:rPr>
              <w:t xml:space="preserve"> DX90 S2.</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Pojemność</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dostarczonej macierzy RAW:</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91,2TB realizowana na dyskach SSD-SAS</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Kontrolery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tryb pracy</w:t>
            </w:r>
            <w:r w:rsidRPr="00D5527D">
              <w:rPr>
                <w:rFonts w:ascii="Arial" w:eastAsia="SimSun" w:hAnsi="Arial" w:cs="Arial"/>
                <w:sz w:val="20"/>
                <w:szCs w:val="20"/>
                <w:lang w:eastAsia="zh-CN"/>
              </w:rPr>
              <w:br/>
              <w:t xml:space="preserve">w układzie </w:t>
            </w:r>
            <w:proofErr w:type="spellStart"/>
            <w:r w:rsidRPr="00D5527D">
              <w:rPr>
                <w:rFonts w:ascii="Arial" w:eastAsia="SimSun" w:hAnsi="Arial" w:cs="Arial"/>
                <w:sz w:val="20"/>
                <w:szCs w:val="20"/>
                <w:lang w:eastAsia="zh-CN"/>
              </w:rPr>
              <w:t>active-active</w:t>
            </w:r>
            <w:proofErr w:type="spellEnd"/>
            <w:r w:rsidRPr="00D5527D">
              <w:rPr>
                <w:rFonts w:ascii="Arial" w:eastAsia="SimSun" w:hAnsi="Arial" w:cs="Arial"/>
                <w:sz w:val="20"/>
                <w:szCs w:val="20"/>
                <w:lang w:eastAsia="zh-CN"/>
              </w:rPr>
              <w:t xml:space="preserve"> lub </w:t>
            </w:r>
            <w:proofErr w:type="spellStart"/>
            <w:r w:rsidRPr="00D5527D">
              <w:rPr>
                <w:rFonts w:ascii="Arial" w:eastAsia="SimSun" w:hAnsi="Arial" w:cs="Arial"/>
                <w:sz w:val="20"/>
                <w:szCs w:val="20"/>
                <w:lang w:eastAsia="zh-CN"/>
              </w:rPr>
              <w:t>mesh-active</w:t>
            </w:r>
            <w:proofErr w:type="spellEnd"/>
            <w:r w:rsidRPr="00D5527D">
              <w:rPr>
                <w:rFonts w:ascii="Arial" w:eastAsia="SimSun" w:hAnsi="Arial" w:cs="Arial"/>
                <w:sz w:val="20"/>
                <w:szCs w:val="20"/>
                <w:lang w:eastAsia="zh-CN"/>
              </w:rPr>
              <w:t>,  macierz musi być dostarczona z zainstalowanymi minimum 2 kontrolerami;</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macierzy musi posiadać po minimum 64 GB pamięci podręcznej Cache – kontrolery muszą obsługiwać między sobą mechanizm lustrzanej kopii danych (cache mirror) przeznaczonych do zapisu;</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rozbudowę pamięci podręcznej cache dla operacji  odczytu o minimum 800GB poprzez instalację dodatkowych modułów pamięci w kontrolerach lub wykorzystanie pojemności zainstalowanych dysków SSD;</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przypadku awarii zasilania dane nie zapisane na dyski, przechowywane w pamięci podręcznej Cache dla zapisów muszą być zabezpieczone metodą trwałego zapisu na dysk;</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muszą posiadać możliwość ich wymiany bez konieczności wyłączania zasilania całego urządzenia;</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obsługują funkcjonalność kompresji danych;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Kontrolery macierzy obsługują funkcjonalność </w:t>
            </w:r>
            <w:proofErr w:type="spellStart"/>
            <w:r w:rsidRPr="00D5527D">
              <w:rPr>
                <w:rFonts w:ascii="Arial" w:eastAsia="SimSun" w:hAnsi="Arial" w:cs="Arial"/>
                <w:sz w:val="20"/>
                <w:szCs w:val="20"/>
                <w:lang w:eastAsia="zh-CN"/>
              </w:rPr>
              <w:t>deduplikacji</w:t>
            </w:r>
            <w:proofErr w:type="spellEnd"/>
            <w:r w:rsidRPr="00D5527D">
              <w:rPr>
                <w:rFonts w:ascii="Arial" w:eastAsia="SimSun" w:hAnsi="Arial" w:cs="Arial"/>
                <w:sz w:val="20"/>
                <w:szCs w:val="20"/>
                <w:lang w:eastAsia="zh-CN"/>
              </w:rPr>
              <w:t xml:space="preserve"> w trybie in-</w:t>
            </w:r>
            <w:proofErr w:type="spellStart"/>
            <w:r w:rsidRPr="00D5527D">
              <w:rPr>
                <w:rFonts w:ascii="Arial" w:eastAsia="SimSun" w:hAnsi="Arial" w:cs="Arial"/>
                <w:sz w:val="20"/>
                <w:szCs w:val="20"/>
                <w:lang w:eastAsia="zh-CN"/>
              </w:rPr>
              <w:t>line</w:t>
            </w:r>
            <w:proofErr w:type="spellEnd"/>
            <w:r w:rsidRPr="00D5527D">
              <w:rPr>
                <w:rFonts w:ascii="Arial" w:eastAsia="SimSun" w:hAnsi="Arial" w:cs="Arial"/>
                <w:sz w:val="20"/>
                <w:szCs w:val="20"/>
                <w:lang w:eastAsia="zh-CN"/>
              </w:rPr>
              <w:t>;</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wymianę kontrolera RAID bez utraty danych zapisanych na dyskach;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RAID powinien posiadać dedykowany minimum 2 interfejsy RJ-45 Ethernet obsługujący połączenia z prędkością minimum 1Gb/s dla zdalnej  komunikacji z oprogramowaniem zarządzającym i konfiguracyjnym macierzy;</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być oparte o procesor wykonany w technologii wielordzeniowej z minimum 4 rdzeniami;</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do 130 grup dyskowych w całym rozwiązaniu, bez konieczności wymiany dostarczonych kontrolerów;</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mieć wyprowadzone 4 porty FC 16Gb/s do dołączenia serwerów bezpośrednio lub do dołączenia do sieci SAN, na każdy kontroler RAID;</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dołożenie dodatkowych portów do transmisji danych:</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4 x FC 16Gb/s,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16Gb/s,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32Gb/s,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2 x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1Gb/s,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2 x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10Gb/s,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SAS 12GB/s.</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Poziomy RAID</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zapewniać poziom zabezpieczenia danych na dyskach definiowany poziomami RAID:</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Raid-6</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Dyski</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Oferowana macierz musi wspierać dyski hot-plug:</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dyski elektroniczne SSD i mechaniczne HDD z interfejsami SAS12Gb/s’</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dyski mechaniczne HDD o prędkości obrotowej 7,2 </w:t>
            </w:r>
            <w:proofErr w:type="spellStart"/>
            <w:r w:rsidRPr="00D5527D">
              <w:rPr>
                <w:rFonts w:ascii="Arial" w:eastAsia="SimSun" w:hAnsi="Arial" w:cs="Arial"/>
                <w:sz w:val="20"/>
                <w:szCs w:val="20"/>
                <w:lang w:eastAsia="zh-CN"/>
              </w:rPr>
              <w:t>krpm</w:t>
            </w:r>
            <w:proofErr w:type="spellEnd"/>
            <w:r w:rsidRPr="00D5527D">
              <w:rPr>
                <w:rFonts w:ascii="Arial" w:eastAsia="SimSun" w:hAnsi="Arial" w:cs="Arial"/>
                <w:sz w:val="20"/>
                <w:szCs w:val="20"/>
                <w:lang w:eastAsia="zh-CN"/>
              </w:rPr>
              <w:t xml:space="preserve">, 10 </w:t>
            </w:r>
            <w:proofErr w:type="spellStart"/>
            <w:r w:rsidRPr="00D5527D">
              <w:rPr>
                <w:rFonts w:ascii="Arial" w:eastAsia="SimSun" w:hAnsi="Arial" w:cs="Arial"/>
                <w:sz w:val="20"/>
                <w:szCs w:val="20"/>
                <w:lang w:eastAsia="zh-CN"/>
              </w:rPr>
              <w:t>krpm</w:t>
            </w:r>
            <w:proofErr w:type="spellEnd"/>
            <w:r w:rsidRPr="00D5527D">
              <w:rPr>
                <w:rFonts w:ascii="Arial" w:eastAsia="SimSun" w:hAnsi="Arial" w:cs="Arial"/>
                <w:sz w:val="20"/>
                <w:szCs w:val="20"/>
                <w:lang w:eastAsia="zh-CN"/>
              </w:rPr>
              <w:t xml:space="preserve"> oraz 15k </w:t>
            </w:r>
            <w:proofErr w:type="spellStart"/>
            <w:r w:rsidRPr="00D5527D">
              <w:rPr>
                <w:rFonts w:ascii="Arial" w:eastAsia="SimSun" w:hAnsi="Arial" w:cs="Arial"/>
                <w:sz w:val="20"/>
                <w:szCs w:val="20"/>
                <w:lang w:eastAsia="zh-CN"/>
              </w:rPr>
              <w:t>rpm</w:t>
            </w:r>
            <w:proofErr w:type="spellEnd"/>
            <w:r w:rsidRPr="00D5527D">
              <w:rPr>
                <w:rFonts w:ascii="Arial" w:eastAsia="SimSun" w:hAnsi="Arial" w:cs="Arial"/>
                <w:sz w:val="20"/>
                <w:szCs w:val="20"/>
                <w:lang w:eastAsia="zh-CN"/>
              </w:rPr>
              <w:t>,</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mieszaną konfigurację dysków hot-plug SSD i HDD w rozmiarach 2,5” i 3,5” zainstalowanych w dowolnym module rozwiązania;</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Wszystkie dyski wspierane przez oferowany model macierzy muszą być wykonane w technologii hot-plug i posiadać podwójne porty SAS obsługujące tryb pracy </w:t>
            </w:r>
            <w:proofErr w:type="spellStart"/>
            <w:r w:rsidRPr="00D5527D">
              <w:rPr>
                <w:rFonts w:ascii="Arial" w:eastAsia="SimSun" w:hAnsi="Arial" w:cs="Arial"/>
                <w:sz w:val="20"/>
                <w:szCs w:val="20"/>
                <w:lang w:eastAsia="zh-CN"/>
              </w:rPr>
              <w:t>full</w:t>
            </w:r>
            <w:proofErr w:type="spellEnd"/>
            <w:r w:rsidRPr="00D5527D">
              <w:rPr>
                <w:rFonts w:ascii="Arial" w:eastAsia="SimSun" w:hAnsi="Arial" w:cs="Arial"/>
                <w:sz w:val="20"/>
                <w:szCs w:val="20"/>
                <w:lang w:eastAsia="zh-CN"/>
              </w:rPr>
              <w:t>-duplex;</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min. 260 dysków SAS SSD w całym rozwiązaniu, bez konieczności dokupowania/wymiany żadnych innych elementów sprzętowych czy licencyjnych innych niż same półki dyskowe wraz z dyskami;</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Macierz musi umożliwiać skonfigurowanie każdego zainstalowanego dysku hot-plug jako dysk hot-</w:t>
            </w:r>
            <w:proofErr w:type="spellStart"/>
            <w:r w:rsidRPr="00D5527D">
              <w:rPr>
                <w:rFonts w:ascii="Arial" w:eastAsia="SimSun" w:hAnsi="Arial" w:cs="Arial"/>
                <w:bCs/>
                <w:sz w:val="20"/>
                <w:szCs w:val="20"/>
                <w:lang w:eastAsia="zh-CN"/>
              </w:rPr>
              <w:t>spare</w:t>
            </w:r>
            <w:proofErr w:type="spellEnd"/>
            <w:r w:rsidRPr="00D5527D">
              <w:rPr>
                <w:rFonts w:ascii="Arial" w:eastAsia="SimSun" w:hAnsi="Arial" w:cs="Arial"/>
                <w:bCs/>
                <w:sz w:val="20"/>
                <w:szCs w:val="20"/>
                <w:lang w:eastAsia="zh-CN"/>
              </w:rPr>
              <w:t xml:space="preserve"> (dysk zapasowy)</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 xml:space="preserve">Macierz posiada możliwość konfiguracji dysku </w:t>
            </w:r>
            <w:r w:rsidRPr="00D5527D">
              <w:rPr>
                <w:rFonts w:ascii="Arial" w:eastAsia="SimSun" w:hAnsi="Arial" w:cs="Arial"/>
                <w:bCs/>
                <w:sz w:val="20"/>
                <w:szCs w:val="20"/>
                <w:lang w:eastAsia="zh-CN"/>
              </w:rPr>
              <w:t>hot-</w:t>
            </w:r>
            <w:proofErr w:type="spellStart"/>
            <w:r w:rsidRPr="00D5527D">
              <w:rPr>
                <w:rFonts w:ascii="Arial" w:eastAsia="SimSun" w:hAnsi="Arial" w:cs="Arial"/>
                <w:bCs/>
                <w:sz w:val="20"/>
                <w:szCs w:val="20"/>
                <w:lang w:eastAsia="zh-CN"/>
              </w:rPr>
              <w:t>spare</w:t>
            </w:r>
            <w:proofErr w:type="spellEnd"/>
            <w:r w:rsidRPr="00D5527D">
              <w:rPr>
                <w:rFonts w:ascii="Arial" w:eastAsia="SimSun" w:hAnsi="Arial" w:cs="Arial"/>
                <w:bCs/>
                <w:sz w:val="20"/>
                <w:szCs w:val="20"/>
                <w:lang w:eastAsia="zh-CN"/>
              </w:rPr>
              <w:t xml:space="preserve"> dla zabezpieczenia dowolnej grupy dyskowej RAID,</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lastRenderedPageBreak/>
              <w:t>Macierz posiada możliwość konfiguracji dysku hot-</w:t>
            </w:r>
            <w:proofErr w:type="spellStart"/>
            <w:r w:rsidRPr="00D5527D">
              <w:rPr>
                <w:rFonts w:ascii="Arial" w:eastAsia="SimSun" w:hAnsi="Arial" w:cs="Arial"/>
                <w:sz w:val="20"/>
                <w:szCs w:val="20"/>
                <w:lang w:eastAsia="zh-CN"/>
              </w:rPr>
              <w:t>spare</w:t>
            </w:r>
            <w:proofErr w:type="spellEnd"/>
            <w:r w:rsidRPr="00D5527D">
              <w:rPr>
                <w:rFonts w:ascii="Arial" w:eastAsia="SimSun" w:hAnsi="Arial" w:cs="Arial"/>
                <w:sz w:val="20"/>
                <w:szCs w:val="20"/>
                <w:lang w:eastAsia="zh-CN"/>
              </w:rPr>
              <w:t xml:space="preserve"> dedykowanego dla zabezpieczenia tylko wybranej grupy dyskowej RAID.</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 przypadku awarii dysku fizycznego i wykorzystania wcześniej skonfigurowanego  dysku zapasowego wymiana uszkodzonego dysku na sprawny nie może powodować powrotnego kopiowania danych z dysku hot-</w:t>
            </w:r>
            <w:proofErr w:type="spellStart"/>
            <w:r w:rsidRPr="00D5527D">
              <w:rPr>
                <w:rFonts w:ascii="Arial" w:eastAsia="SimSun" w:hAnsi="Arial" w:cs="Arial"/>
                <w:bCs/>
                <w:sz w:val="20"/>
                <w:szCs w:val="20"/>
                <w:lang w:eastAsia="zh-CN"/>
              </w:rPr>
              <w:t>spare</w:t>
            </w:r>
            <w:proofErr w:type="spellEnd"/>
            <w:r w:rsidRPr="00D5527D">
              <w:rPr>
                <w:rFonts w:ascii="Arial" w:eastAsia="SimSun" w:hAnsi="Arial" w:cs="Arial"/>
                <w:bCs/>
                <w:sz w:val="20"/>
                <w:szCs w:val="20"/>
                <w:lang w:eastAsia="zh-CN"/>
              </w:rPr>
              <w:t xml:space="preserve"> na wymieniony dysk (tzw. </w:t>
            </w:r>
            <w:proofErr w:type="spellStart"/>
            <w:r w:rsidRPr="00D5527D">
              <w:rPr>
                <w:rFonts w:ascii="Arial" w:eastAsia="SimSun" w:hAnsi="Arial" w:cs="Arial"/>
                <w:bCs/>
                <w:sz w:val="20"/>
                <w:szCs w:val="20"/>
                <w:lang w:eastAsia="zh-CN"/>
              </w:rPr>
              <w:t>CopyBackLess</w:t>
            </w:r>
            <w:proofErr w:type="spellEnd"/>
            <w:r w:rsidRPr="00D5527D">
              <w:rPr>
                <w:rFonts w:ascii="Arial" w:eastAsia="SimSun" w:hAnsi="Arial" w:cs="Arial"/>
                <w:bCs/>
                <w:sz w:val="20"/>
                <w:szCs w:val="20"/>
                <w:lang w:eastAsia="zh-CN"/>
              </w:rPr>
              <w:t>);</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Opcje programowe</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być wyposażona w system kopii migawkowych umożliwiających wykonanie minimum 2048 kopii migawkowych;</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umożliwiać zdefiniowanie min. 8000 woluminów  (LUN); </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powinna umożliwiać podłączenie logiczne z serwerami i stacjami poprzez min. 1024 ścieżek logicznych FC;</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aktualizację oprogramowania wewnętrznego kontrolerów RAID i dysków bez konieczności wyłączania macierzy oraz bez konieczności wyłączania ścieżek logicznych FC/</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dla podłączonych stacji/serwerów;</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umożliwiać dokonywanie w trybie on-line (tj. bez wyłączania zasilania i bez przerywania przetwarzania danych w macierzy) operacje: powiększanie grup dyskowych, zwiększanie rozmiaru woluminu, migrowanie woluminu na inną grupę dyskową;</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val="en-US" w:eastAsia="zh-CN"/>
              </w:rPr>
            </w:pPr>
            <w:proofErr w:type="spellStart"/>
            <w:r w:rsidRPr="00D5527D">
              <w:rPr>
                <w:rFonts w:ascii="Arial" w:eastAsia="SimSun" w:hAnsi="Arial" w:cs="Arial"/>
                <w:sz w:val="20"/>
                <w:szCs w:val="20"/>
                <w:lang w:val="en-US" w:eastAsia="zh-CN"/>
              </w:rPr>
              <w:t>Macierz</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musi</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posiadać</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wsparcie</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dla</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systemów</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operacyjnych</w:t>
            </w:r>
            <w:proofErr w:type="spellEnd"/>
            <w:r w:rsidRPr="00D5527D">
              <w:rPr>
                <w:rFonts w:ascii="Arial" w:eastAsia="SimSun" w:hAnsi="Arial" w:cs="Arial"/>
                <w:sz w:val="20"/>
                <w:szCs w:val="20"/>
                <w:lang w:val="en-US" w:eastAsia="zh-CN"/>
              </w:rPr>
              <w:t xml:space="preserve"> : Microsoft Windows Server 2012R2, 2016, 2019, </w:t>
            </w:r>
            <w:proofErr w:type="spellStart"/>
            <w:r w:rsidRPr="00D5527D">
              <w:rPr>
                <w:rFonts w:ascii="Arial" w:eastAsia="SimSun" w:hAnsi="Arial" w:cs="Arial"/>
                <w:sz w:val="20"/>
                <w:szCs w:val="20"/>
                <w:lang w:val="en-US" w:eastAsia="zh-CN"/>
              </w:rPr>
              <w:t>SuSE</w:t>
            </w:r>
            <w:proofErr w:type="spellEnd"/>
            <w:r w:rsidRPr="00D5527D">
              <w:rPr>
                <w:rFonts w:ascii="Arial" w:eastAsia="SimSun" w:hAnsi="Arial" w:cs="Arial"/>
                <w:sz w:val="20"/>
                <w:szCs w:val="20"/>
                <w:lang w:val="en-US" w:eastAsia="zh-CN"/>
              </w:rPr>
              <w:t xml:space="preserve"> Linux Enterprise Server, Red Hat Linux Enterprise Server, HP-UNIX, IBM AIX, SUN Solaris, </w:t>
            </w:r>
            <w:proofErr w:type="spellStart"/>
            <w:r w:rsidRPr="00D5527D">
              <w:rPr>
                <w:rFonts w:ascii="Arial" w:eastAsia="SimSun" w:hAnsi="Arial" w:cs="Arial"/>
                <w:sz w:val="20"/>
                <w:szCs w:val="20"/>
                <w:lang w:val="en-US" w:eastAsia="zh-CN"/>
              </w:rPr>
              <w:t>Vmware</w:t>
            </w:r>
            <w:proofErr w:type="spellEnd"/>
            <w:r w:rsidRPr="00D5527D">
              <w:rPr>
                <w:rFonts w:ascii="Arial" w:eastAsia="SimSun" w:hAnsi="Arial" w:cs="Arial"/>
                <w:sz w:val="20"/>
                <w:szCs w:val="20"/>
                <w:lang w:val="en-US" w:eastAsia="zh-CN"/>
              </w:rPr>
              <w:t xml:space="preserve"> </w:t>
            </w:r>
            <w:proofErr w:type="spellStart"/>
            <w:r w:rsidRPr="00D5527D">
              <w:rPr>
                <w:rFonts w:ascii="Arial" w:eastAsia="SimSun" w:hAnsi="Arial" w:cs="Arial"/>
                <w:sz w:val="20"/>
                <w:szCs w:val="20"/>
                <w:lang w:val="en-US" w:eastAsia="zh-CN"/>
              </w:rPr>
              <w:t>Vsphere</w:t>
            </w:r>
            <w:proofErr w:type="spellEnd"/>
            <w:r w:rsidRPr="00D5527D">
              <w:rPr>
                <w:rFonts w:ascii="Arial" w:eastAsia="SimSun" w:hAnsi="Arial" w:cs="Arial"/>
                <w:sz w:val="20"/>
                <w:szCs w:val="20"/>
                <w:lang w:val="en-US" w:eastAsia="zh-CN"/>
              </w:rPr>
              <w:t>;</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być dostarczona z licencją na oprogramowanie wspierające  technologię typu </w:t>
            </w:r>
            <w:proofErr w:type="spellStart"/>
            <w:r w:rsidRPr="00D5527D">
              <w:rPr>
                <w:rFonts w:ascii="Arial" w:eastAsia="SimSun" w:hAnsi="Arial" w:cs="Arial"/>
                <w:sz w:val="20"/>
                <w:szCs w:val="20"/>
                <w:lang w:eastAsia="zh-CN"/>
              </w:rPr>
              <w:t>multipath</w:t>
            </w:r>
            <w:proofErr w:type="spellEnd"/>
            <w:r w:rsidRPr="00D5527D">
              <w:rPr>
                <w:rFonts w:ascii="Arial" w:eastAsia="SimSun" w:hAnsi="Arial" w:cs="Arial"/>
                <w:sz w:val="20"/>
                <w:szCs w:val="20"/>
                <w:lang w:eastAsia="zh-CN"/>
              </w:rPr>
              <w:t xml:space="preserve"> (obsługa nadmiarowości dla ścieżek transmisji danych pomiędzy macierzą i serwerem)  dla połączeń FC i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posiadać możliwość uruchamiania mechanizmów zdalnej replikacji danych, w trybie synchronicznym i asynchronicznym, po protokołach FC oraz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D5527D">
              <w:rPr>
                <w:rFonts w:ascii="Arial" w:eastAsia="SimSun" w:hAnsi="Arial" w:cs="Arial"/>
                <w:sz w:val="20"/>
                <w:szCs w:val="20"/>
                <w:lang w:eastAsia="zh-CN"/>
              </w:rPr>
              <w:t>storage-based</w:t>
            </w:r>
            <w:proofErr w:type="spellEnd"/>
            <w:r w:rsidRPr="00D5527D">
              <w:rPr>
                <w:rFonts w:ascii="Arial" w:eastAsia="SimSun" w:hAnsi="Arial" w:cs="Arial"/>
                <w:sz w:val="20"/>
                <w:szCs w:val="20"/>
                <w:lang w:eastAsia="zh-CN"/>
              </w:rPr>
              <w:t xml:space="preserve"> data </w:t>
            </w:r>
            <w:proofErr w:type="spellStart"/>
            <w:r w:rsidRPr="00D5527D">
              <w:rPr>
                <w:rFonts w:ascii="Arial" w:eastAsia="SimSun" w:hAnsi="Arial" w:cs="Arial"/>
                <w:sz w:val="20"/>
                <w:szCs w:val="20"/>
                <w:lang w:eastAsia="zh-CN"/>
              </w:rPr>
              <w:t>replication</w:t>
            </w:r>
            <w:proofErr w:type="spellEnd"/>
            <w:r w:rsidRPr="00D5527D">
              <w:rPr>
                <w:rFonts w:ascii="Arial" w:eastAsia="SimSun" w:hAnsi="Arial" w:cs="Arial"/>
                <w:sz w:val="20"/>
                <w:szCs w:val="20"/>
                <w:lang w:eastAsia="zh-CN"/>
              </w:rPr>
              <w:t>. Replikacja danych musi być obsługiwana w połączeniu z każdą macierzą z tej samej rodziny urządzeń wspierającą obsługę zdalnej replikacji danych. – wymagane jest dostarczenie licencji tej funkcjonalności  – jeżeli taka jest wymagana;</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posiadać możliwość tworzenia lokalnych tj. w obrębie zasobów macierzy, pełnych kopii danych (tzw. klony danych), kopii przyrostowych oraz kopii lustrzanych (mirror) – wymagane jest dostarczenie licencji tej funkcjonalności  – jeżeli taka jest wymagana;</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obsługiwać mechanizm ochrony priorytetów obsługi wybranych zasobów – za taki mechanizm uznaje się funkcję typu ‘cache </w:t>
            </w:r>
            <w:proofErr w:type="spellStart"/>
            <w:r w:rsidRPr="00D5527D">
              <w:rPr>
                <w:rFonts w:ascii="Arial" w:eastAsia="SimSun" w:hAnsi="Arial" w:cs="Arial"/>
                <w:sz w:val="20"/>
                <w:szCs w:val="20"/>
                <w:lang w:eastAsia="zh-CN"/>
              </w:rPr>
              <w:t>partitioning</w:t>
            </w:r>
            <w:proofErr w:type="spellEnd"/>
            <w:r w:rsidRPr="00D5527D">
              <w:rPr>
                <w:rFonts w:ascii="Arial" w:eastAsia="SimSun" w:hAnsi="Arial" w:cs="Arial"/>
                <w:sz w:val="20"/>
                <w:szCs w:val="20"/>
                <w:lang w:eastAsia="zh-CN"/>
              </w:rPr>
              <w:t>’ lub ‘</w:t>
            </w:r>
            <w:proofErr w:type="spellStart"/>
            <w:r w:rsidRPr="00D5527D">
              <w:rPr>
                <w:rFonts w:ascii="Arial" w:eastAsia="SimSun" w:hAnsi="Arial" w:cs="Arial"/>
                <w:sz w:val="20"/>
                <w:szCs w:val="20"/>
                <w:lang w:eastAsia="zh-CN"/>
              </w:rPr>
              <w:t>storage</w:t>
            </w:r>
            <w:proofErr w:type="spellEnd"/>
            <w:r w:rsidRPr="00D5527D">
              <w:rPr>
                <w:rFonts w:ascii="Arial" w:eastAsia="SimSun" w:hAnsi="Arial" w:cs="Arial"/>
                <w:sz w:val="20"/>
                <w:szCs w:val="20"/>
                <w:lang w:eastAsia="zh-CN"/>
              </w:rPr>
              <w:t xml:space="preserve"> </w:t>
            </w:r>
            <w:proofErr w:type="spellStart"/>
            <w:r w:rsidRPr="00D5527D">
              <w:rPr>
                <w:rFonts w:ascii="Arial" w:eastAsia="SimSun" w:hAnsi="Arial" w:cs="Arial"/>
                <w:sz w:val="20"/>
                <w:szCs w:val="20"/>
                <w:lang w:eastAsia="zh-CN"/>
              </w:rPr>
              <w:t>partitioning</w:t>
            </w:r>
            <w:proofErr w:type="spellEnd"/>
            <w:r w:rsidRPr="00D5527D">
              <w:rPr>
                <w:rFonts w:ascii="Arial" w:eastAsia="SimSun" w:hAnsi="Arial" w:cs="Arial"/>
                <w:sz w:val="20"/>
                <w:szCs w:val="20"/>
                <w:lang w:eastAsia="zh-CN"/>
              </w:rPr>
              <w:t>’;</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adresację IP v.4 i IP v.6;</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D5527D">
              <w:rPr>
                <w:rFonts w:ascii="Arial" w:eastAsia="SimSun" w:hAnsi="Arial" w:cs="Arial"/>
                <w:sz w:val="20"/>
                <w:szCs w:val="20"/>
                <w:lang w:eastAsia="zh-CN"/>
              </w:rPr>
              <w:t>MultiPath</w:t>
            </w:r>
            <w:proofErr w:type="spellEnd"/>
            <w:r w:rsidRPr="00D5527D">
              <w:rPr>
                <w:rFonts w:ascii="Arial" w:eastAsia="SimSun" w:hAnsi="Arial" w:cs="Arial"/>
                <w:sz w:val="20"/>
                <w:szCs w:val="20"/>
                <w:lang w:eastAsia="zh-CN"/>
              </w:rPr>
              <w:t xml:space="preserve"> IO – z subskrypcją do bezpłatnej aktualizacji w całym okresie obowiązywania gwarancji;</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obsługiwać mechanizmy </w:t>
            </w:r>
            <w:proofErr w:type="spellStart"/>
            <w:r w:rsidRPr="00D5527D">
              <w:rPr>
                <w:rFonts w:ascii="Arial" w:eastAsia="SimSun" w:hAnsi="Arial" w:cs="Arial"/>
                <w:sz w:val="20"/>
                <w:szCs w:val="20"/>
                <w:lang w:eastAsia="zh-CN"/>
              </w:rPr>
              <w:t>Thin</w:t>
            </w:r>
            <w:proofErr w:type="spellEnd"/>
            <w:r w:rsidRPr="00D5527D">
              <w:rPr>
                <w:rFonts w:ascii="Arial" w:eastAsia="SimSun" w:hAnsi="Arial" w:cs="Arial"/>
                <w:sz w:val="20"/>
                <w:szCs w:val="20"/>
                <w:lang w:eastAsia="zh-CN"/>
              </w:rPr>
              <w:t xml:space="preserve"> </w:t>
            </w:r>
            <w:proofErr w:type="spellStart"/>
            <w:r w:rsidRPr="00D5527D">
              <w:rPr>
                <w:rFonts w:ascii="Arial" w:eastAsia="SimSun" w:hAnsi="Arial" w:cs="Arial"/>
                <w:sz w:val="20"/>
                <w:szCs w:val="20"/>
                <w:lang w:eastAsia="zh-CN"/>
              </w:rPr>
              <w:t>Provisioning</w:t>
            </w:r>
            <w:proofErr w:type="spellEnd"/>
            <w:r w:rsidRPr="00D5527D">
              <w:rPr>
                <w:rFonts w:ascii="Arial" w:eastAsia="SimSun" w:hAnsi="Arial" w:cs="Arial"/>
                <w:sz w:val="20"/>
                <w:szCs w:val="20"/>
                <w:lang w:eastAsia="zh-CN"/>
              </w:rPr>
              <w:t xml:space="preserve">, czyli przydziału dla obsługiwanych środowisk woluminów logicznych o sumarycznej pojemności większej od sumy pojemności dysków fizycznych zainstalowanych w macierzy; </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wspierać usługi VSS (Volume </w:t>
            </w:r>
            <w:proofErr w:type="spellStart"/>
            <w:r w:rsidRPr="00D5527D">
              <w:rPr>
                <w:rFonts w:ascii="Arial" w:eastAsia="SimSun" w:hAnsi="Arial" w:cs="Arial"/>
                <w:sz w:val="20"/>
                <w:szCs w:val="20"/>
                <w:lang w:eastAsia="zh-CN"/>
              </w:rPr>
              <w:t>ShadowCopy</w:t>
            </w:r>
            <w:proofErr w:type="spellEnd"/>
            <w:r w:rsidRPr="00D5527D">
              <w:rPr>
                <w:rFonts w:ascii="Arial" w:eastAsia="SimSun" w:hAnsi="Arial" w:cs="Arial"/>
                <w:sz w:val="20"/>
                <w:szCs w:val="20"/>
                <w:lang w:eastAsia="zh-CN"/>
              </w:rPr>
              <w:t xml:space="preserve"> Services) w systemach klasy Microsoft Windows </w:t>
            </w:r>
            <w:proofErr w:type="spellStart"/>
            <w:r w:rsidRPr="00D5527D">
              <w:rPr>
                <w:rFonts w:ascii="Arial" w:eastAsia="SimSun" w:hAnsi="Arial" w:cs="Arial"/>
                <w:sz w:val="20"/>
                <w:szCs w:val="20"/>
                <w:lang w:eastAsia="zh-CN"/>
              </w:rPr>
              <w:t>Sever</w:t>
            </w:r>
            <w:proofErr w:type="spellEnd"/>
            <w:r w:rsidRPr="00D5527D">
              <w:rPr>
                <w:rFonts w:ascii="Arial" w:eastAsia="SimSun" w:hAnsi="Arial" w:cs="Arial"/>
                <w:sz w:val="20"/>
                <w:szCs w:val="20"/>
                <w:lang w:eastAsia="zh-CN"/>
              </w:rPr>
              <w:t xml:space="preserve"> – wymagane jest dostarczenie niezbędnego oprogramowania / sterowników VSS pozwalających na obsługę VSS przy maksymalnej pojemności i liczbie dysków obsługiwanych przez oferowaną. W czasie trwania gwarancji wymaga się </w:t>
            </w:r>
            <w:r w:rsidRPr="00D5527D">
              <w:rPr>
                <w:rFonts w:ascii="Arial" w:eastAsia="SimSun" w:hAnsi="Arial" w:cs="Arial"/>
                <w:sz w:val="20"/>
                <w:szCs w:val="20"/>
                <w:lang w:eastAsia="zh-CN"/>
              </w:rPr>
              <w:lastRenderedPageBreak/>
              <w:t>bezpłatnego dostępu do nowych wersji  oprogramowania  i sterowników;</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mechanizmy migracji danych w  trybie online  z innej macierzy tej klasy, z zachowaniem obsługi operacji I/O dla serwerów podłączonych do migrowanej macierzy tj. do migrowanych zasobów LUN;</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Mechanizm klastra macierzowego musi być obsługiwany dla protokołów FC oraz </w:t>
            </w:r>
            <w:proofErr w:type="spellStart"/>
            <w:r w:rsidRPr="00D5527D">
              <w:rPr>
                <w:rFonts w:ascii="Arial" w:eastAsia="SimSun" w:hAnsi="Arial" w:cs="Arial"/>
                <w:sz w:val="20"/>
                <w:szCs w:val="20"/>
                <w:lang w:eastAsia="zh-CN"/>
              </w:rPr>
              <w:t>iSCSI</w:t>
            </w:r>
            <w:proofErr w:type="spellEnd"/>
            <w:r w:rsidRPr="00D5527D">
              <w:rPr>
                <w:rFonts w:ascii="Arial" w:eastAsia="SimSun" w:hAnsi="Arial" w:cs="Arial"/>
                <w:sz w:val="20"/>
                <w:szCs w:val="20"/>
                <w:lang w:eastAsia="zh-CN"/>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D5527D">
              <w:rPr>
                <w:rFonts w:ascii="Arial" w:eastAsia="SimSun" w:hAnsi="Arial" w:cs="Arial"/>
                <w:bCs/>
                <w:sz w:val="20"/>
                <w:szCs w:val="20"/>
                <w:lang w:eastAsia="zh-CN"/>
              </w:rPr>
              <w:t xml:space="preserve">Funkcjonalność ‘klastra macierzowego’ musi pozwalać na automatyczne i ręczne przełączanie obsługi środowisk produkcyjnych z macierzy podstawowej na zapasową w przypadku awarii macierzy </w:t>
            </w:r>
            <w:r w:rsidRPr="00D5527D">
              <w:rPr>
                <w:rFonts w:ascii="Arial" w:eastAsia="SimSun" w:hAnsi="Arial" w:cs="Arial"/>
                <w:bCs/>
                <w:sz w:val="20"/>
                <w:szCs w:val="20"/>
                <w:lang w:eastAsia="zh-CN"/>
              </w:rPr>
              <w:lastRenderedPageBreak/>
              <w:t xml:space="preserve">podstawowej (tzw. </w:t>
            </w:r>
            <w:proofErr w:type="spellStart"/>
            <w:r w:rsidRPr="00D5527D">
              <w:rPr>
                <w:rFonts w:ascii="Arial" w:eastAsia="SimSun" w:hAnsi="Arial" w:cs="Arial"/>
                <w:bCs/>
                <w:sz w:val="20"/>
                <w:szCs w:val="20"/>
                <w:lang w:eastAsia="zh-CN"/>
              </w:rPr>
              <w:t>Automated</w:t>
            </w:r>
            <w:proofErr w:type="spellEnd"/>
            <w:r w:rsidRPr="00D5527D">
              <w:rPr>
                <w:rFonts w:ascii="Arial" w:eastAsia="SimSun" w:hAnsi="Arial" w:cs="Arial"/>
                <w:bCs/>
                <w:sz w:val="20"/>
                <w:szCs w:val="20"/>
                <w:lang w:eastAsia="zh-CN"/>
              </w:rPr>
              <w:t xml:space="preserve">/manual </w:t>
            </w:r>
            <w:proofErr w:type="spellStart"/>
            <w:r w:rsidRPr="00D5527D">
              <w:rPr>
                <w:rFonts w:ascii="Arial" w:eastAsia="SimSun" w:hAnsi="Arial" w:cs="Arial"/>
                <w:bCs/>
                <w:sz w:val="20"/>
                <w:szCs w:val="20"/>
                <w:lang w:eastAsia="zh-CN"/>
              </w:rPr>
              <w:t>failover</w:t>
            </w:r>
            <w:proofErr w:type="spellEnd"/>
            <w:r w:rsidRPr="00D5527D">
              <w:rPr>
                <w:rFonts w:ascii="Arial" w:eastAsia="SimSun" w:hAnsi="Arial" w:cs="Arial"/>
                <w:bCs/>
                <w:sz w:val="20"/>
                <w:szCs w:val="20"/>
                <w:lang w:eastAsia="zh-CN"/>
              </w:rPr>
              <w:t xml:space="preserve">). </w:t>
            </w:r>
            <w:r w:rsidRPr="00D5527D">
              <w:rPr>
                <w:rFonts w:ascii="Arial" w:eastAsia="SimSun" w:hAnsi="Arial" w:cs="Arial"/>
                <w:sz w:val="20"/>
                <w:szCs w:val="20"/>
                <w:lang w:eastAsia="zh-CN"/>
              </w:rPr>
              <w:t>– nie jest wymagane dostarczenie tej funkcjonalności – opcja rozbudowy;</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w dostarczonej konfiguracji musi obsługiwać </w:t>
            </w:r>
            <w:proofErr w:type="spellStart"/>
            <w:r w:rsidRPr="00D5527D">
              <w:rPr>
                <w:rFonts w:ascii="Arial" w:eastAsia="SimSun" w:hAnsi="Arial" w:cs="Arial"/>
                <w:sz w:val="20"/>
                <w:szCs w:val="20"/>
                <w:lang w:eastAsia="zh-CN"/>
              </w:rPr>
              <w:t>deduplikację</w:t>
            </w:r>
            <w:proofErr w:type="spellEnd"/>
            <w:r w:rsidRPr="00D5527D">
              <w:rPr>
                <w:rFonts w:ascii="Arial" w:eastAsia="SimSun" w:hAnsi="Arial" w:cs="Arial"/>
                <w:sz w:val="20"/>
                <w:szCs w:val="20"/>
                <w:lang w:eastAsia="zh-CN"/>
              </w:rPr>
              <w:t xml:space="preserve"> i kompresję danych na dyskach wbudowanych w macierzy (nie dopuszcza się główek, kompresji zewnętrznej, programowej itp.) w następujących trybach równocześnie oraz niezależnie na poziomie każdego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Sama </w:t>
            </w:r>
            <w:proofErr w:type="spellStart"/>
            <w:r w:rsidRPr="00D5527D">
              <w:rPr>
                <w:rFonts w:ascii="Arial" w:eastAsia="SimSun" w:hAnsi="Arial" w:cs="Arial"/>
                <w:sz w:val="20"/>
                <w:szCs w:val="20"/>
                <w:lang w:eastAsia="zh-CN"/>
              </w:rPr>
              <w:t>deduplikacja</w:t>
            </w:r>
            <w:proofErr w:type="spellEnd"/>
            <w:r w:rsidRPr="00D5527D">
              <w:rPr>
                <w:rFonts w:ascii="Arial" w:eastAsia="SimSun" w:hAnsi="Arial" w:cs="Arial"/>
                <w:sz w:val="20"/>
                <w:szCs w:val="20"/>
                <w:lang w:eastAsia="zh-CN"/>
              </w:rPr>
              <w:t xml:space="preserve">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Sama kompresja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Kombinacja technologii kompresji i </w:t>
            </w:r>
            <w:proofErr w:type="spellStart"/>
            <w:r w:rsidRPr="00D5527D">
              <w:rPr>
                <w:rFonts w:ascii="Arial" w:eastAsia="SimSun" w:hAnsi="Arial" w:cs="Arial"/>
                <w:sz w:val="20"/>
                <w:szCs w:val="20"/>
                <w:lang w:eastAsia="zh-CN"/>
              </w:rPr>
              <w:t>deduplikacji</w:t>
            </w:r>
            <w:proofErr w:type="spellEnd"/>
            <w:r w:rsidRPr="00D5527D">
              <w:rPr>
                <w:rFonts w:ascii="Arial" w:eastAsia="SimSun" w:hAnsi="Arial" w:cs="Arial"/>
                <w:sz w:val="20"/>
                <w:szCs w:val="20"/>
                <w:lang w:eastAsia="zh-CN"/>
              </w:rPr>
              <w:t xml:space="preserve">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Brak użycia technologii kompresji i </w:t>
            </w:r>
            <w:proofErr w:type="spellStart"/>
            <w:r w:rsidRPr="00D5527D">
              <w:rPr>
                <w:rFonts w:ascii="Arial" w:eastAsia="SimSun" w:hAnsi="Arial" w:cs="Arial"/>
                <w:sz w:val="20"/>
                <w:szCs w:val="20"/>
                <w:lang w:eastAsia="zh-CN"/>
              </w:rPr>
              <w:t>deduplikacji</w:t>
            </w:r>
            <w:proofErr w:type="spellEnd"/>
            <w:r w:rsidRPr="00D5527D">
              <w:rPr>
                <w:rFonts w:ascii="Arial" w:eastAsia="SimSun" w:hAnsi="Arial" w:cs="Arial"/>
                <w:sz w:val="20"/>
                <w:szCs w:val="20"/>
                <w:lang w:eastAsia="zh-CN"/>
              </w:rPr>
              <w:t xml:space="preserve"> dla wybranego LUN;</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Oprogramowanie do zarządzania musi być zintegrowane z systemem operacyjnym systemu pamięci masowej; </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Komunikacja z wbudowanym oprogramowaniem zarządzającym macierzą musi być możliwa w trybie graficznym np. poprzez przeglądarkę WWW oraz w trybie tekstowym;</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Musi być możliwe zdalne zarządzanie macierzą z wykorzystaniem standardowej przeglądarki internetowej (np. Internet Explorer, Google Chrome, Mozilla </w:t>
            </w:r>
            <w:proofErr w:type="spellStart"/>
            <w:r w:rsidRPr="00D5527D">
              <w:rPr>
                <w:rFonts w:ascii="Arial" w:eastAsia="SimSun" w:hAnsi="Arial" w:cs="Arial"/>
                <w:sz w:val="20"/>
                <w:szCs w:val="20"/>
                <w:lang w:eastAsia="zh-CN"/>
              </w:rPr>
              <w:t>Firefox</w:t>
            </w:r>
            <w:proofErr w:type="spellEnd"/>
            <w:r w:rsidRPr="00D5527D">
              <w:rPr>
                <w:rFonts w:ascii="Arial" w:eastAsia="SimSun" w:hAnsi="Arial" w:cs="Arial"/>
                <w:sz w:val="20"/>
                <w:szCs w:val="20"/>
                <w:lang w:eastAsia="zh-CN"/>
              </w:rPr>
              <w:t>) bez konieczności instalacji  żadnych dodatkowych aplikacji na stacji administratora;</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Wbudowane oprogramowanie macierzy musi obsługiwać połączenia z modułem zarządzania macierzy poprzez szyfrowanie komunikacji protokołami: SSL dla komunikacji </w:t>
            </w:r>
            <w:r w:rsidRPr="00D5527D">
              <w:rPr>
                <w:rFonts w:ascii="Arial" w:eastAsia="SimSun" w:hAnsi="Arial" w:cs="Arial"/>
                <w:sz w:val="20"/>
                <w:szCs w:val="20"/>
                <w:lang w:eastAsia="zh-CN"/>
              </w:rPr>
              <w:lastRenderedPageBreak/>
              <w:t>poprzez przeglądarkę WWW i protokołem SSH dla komunikacji poprzez CLI;</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ofercie należy uwzględnić 1 dzień asysty inżyniera wdrożeniowego, w zakresie którego musi być zawarta konfiguracja sprzętowa macierzy, weryfikacja podłączenia do oferowanego serwera, konfiguracja LUN, zapoznanie z obsługą GUI (interfejsu graficznego macierzy), weryfikacja poprawności konfiguracji sprzętowej, rejestracji wszystkich wymaganych licencji jak i opcji gwarancyjnych.</w:t>
            </w:r>
          </w:p>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Realizacja w miejscu wskazanym przez Zamawiającego, we wskazanej lokalizacji Szpitala, data ustalona z Zamawiającym z minimum 14 dniowym wyprzedzeniem.</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Półka macierzy dyskowej</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9"/>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Dodatkowa Półka macierzy dyskowej powinna zostać dostarczona razem z Macierzą;</w:t>
            </w:r>
          </w:p>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nie mniej niż 200 TB.</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 xml:space="preserve">Oprogramowanie </w:t>
            </w:r>
            <w:proofErr w:type="spellStart"/>
            <w:r w:rsidRPr="00D5527D">
              <w:rPr>
                <w:rFonts w:ascii="Arial" w:eastAsia="SimSun" w:hAnsi="Arial" w:cs="Arial"/>
                <w:b/>
                <w:sz w:val="20"/>
                <w:szCs w:val="20"/>
                <w:lang w:eastAsia="zh-CN"/>
              </w:rPr>
              <w:t>wirtualizacyjne</w:t>
            </w:r>
            <w:proofErr w:type="spellEnd"/>
            <w:r w:rsidRPr="00D5527D">
              <w:rPr>
                <w:rFonts w:ascii="Arial" w:eastAsia="SimSun" w:hAnsi="Arial" w:cs="Arial"/>
                <w:b/>
                <w:sz w:val="20"/>
                <w:szCs w:val="20"/>
                <w:lang w:eastAsia="zh-CN"/>
              </w:rPr>
              <w:t>, backup</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w:t>
            </w:r>
            <w:proofErr w:type="spellStart"/>
            <w:r w:rsidRPr="00D5527D">
              <w:rPr>
                <w:rFonts w:ascii="Arial" w:eastAsia="SimSun" w:hAnsi="Arial" w:cs="Arial"/>
                <w:b/>
                <w:sz w:val="20"/>
                <w:szCs w:val="20"/>
                <w:lang w:eastAsia="zh-CN"/>
              </w:rPr>
              <w:t>soprogramowania</w:t>
            </w:r>
            <w:proofErr w:type="spellEnd"/>
            <w:r w:rsidRPr="00D5527D">
              <w:rPr>
                <w:rFonts w:ascii="Arial" w:eastAsia="SimSun" w:hAnsi="Arial" w:cs="Arial"/>
                <w:b/>
                <w:sz w:val="20"/>
                <w:szCs w:val="20"/>
                <w:lang w:eastAsia="zh-CN"/>
              </w:rPr>
              <w:t xml:space="preserve">: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Licencje dla 4 serwerów kupowanych w tym samym postępowaniu;</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wraz z niezbędnymi licencjami (jeżeli dostarczane oprogramowanie ich wymaga) musi być przypisane do każdego rdzenia wszystkich procesorów fizycznych;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serwerze lub do każdego procesora fizycznego w serwerze (zgodnie z modelem licencjonowania producenta), w ramach wszystkich dostarczanych serwerów (Serwery Blade);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Warstwa wirtualizacji musi być zainstalowana bezpośrednio na sprzęcie fizycznym bez dodatkowych pośredniczących systemów operacyjnych;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obsługi wielu instancji systemów operacyjnych na jednym serwerze fizycznym i powinno się charakteryzować maksymalnym możliwym stopniem konsolidacji sprzętowej;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Pojedynczy klaster może się skalować do 64 fizycznych hostów (serwerów) z zainstalowaną warstwą wirtualizacji;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zainstalowane na serwerze fizycznym potrafi obsłużyć i wykorzystać procesory fizyczne;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1-64 procesorowych;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zapewniać możliwość stworzenia dysku maszyny wirtualnej o wielkości min. 32 TB;</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musi umożliwiać udostępnienie maszynie wirtualnej większej ilości zasobów dyskowych niż jest fizycznie zarezerwowane na dyskach lokalnych serwera lub na macierzy;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możliwością przydzielenia min. 4 TB pamięci operacyjnej RAM;</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przydzielenie większej ilości pamięci RAM dla maszyn wirtualnych niż fizyczne zasoby RAM serwera w celu osiągnięcia maksymalnego współczynnika konsolidacji;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których każda może mieć 1-8 wirtualnych kart sieciowych;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łatwą i szybką rozbudowę infrastruktury o nowe usługi bez spadku wydajności i dostępności pozostałych wybranych usług;</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powinno w możliwie największym stopniu być niezależne od producenta platformy sprzętowej;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Polityka licencjonowania musi umożliwiać przenoszenie licencji na oprogramowanie do wirtualizacji pomiędzy serwerami różnych producentów z zachowaniem wsparcia technicznego i zmianą wersji oprogramowania na niższą (</w:t>
            </w:r>
            <w:proofErr w:type="spellStart"/>
            <w:r w:rsidRPr="00D5527D">
              <w:rPr>
                <w:rFonts w:ascii="Arial" w:eastAsia="SimSun" w:hAnsi="Arial" w:cs="Arial"/>
                <w:sz w:val="20"/>
                <w:szCs w:val="20"/>
                <w:lang w:eastAsia="zh-CN"/>
              </w:rPr>
              <w:t>downgrade</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Rozwiązanie musi wspierać następujące systemy operacyjne: Microsoft Windows, </w:t>
            </w:r>
            <w:proofErr w:type="spellStart"/>
            <w:r w:rsidRPr="00D5527D">
              <w:rPr>
                <w:rFonts w:ascii="Arial" w:eastAsia="SimSun" w:hAnsi="Arial" w:cs="Arial"/>
                <w:sz w:val="20"/>
                <w:szCs w:val="20"/>
                <w:lang w:eastAsia="zh-CN"/>
              </w:rPr>
              <w:t>Redhat</w:t>
            </w:r>
            <w:proofErr w:type="spellEnd"/>
            <w:r w:rsidRPr="00D5527D">
              <w:rPr>
                <w:rFonts w:ascii="Arial" w:eastAsia="SimSun" w:hAnsi="Arial" w:cs="Arial"/>
                <w:sz w:val="20"/>
                <w:szCs w:val="20"/>
                <w:lang w:eastAsia="zh-CN"/>
              </w:rPr>
              <w:t xml:space="preserve">, </w:t>
            </w:r>
            <w:proofErr w:type="spellStart"/>
            <w:r w:rsidRPr="00D5527D">
              <w:rPr>
                <w:rFonts w:ascii="Arial" w:eastAsia="SimSun" w:hAnsi="Arial" w:cs="Arial"/>
                <w:sz w:val="20"/>
                <w:szCs w:val="20"/>
                <w:lang w:eastAsia="zh-CN"/>
              </w:rPr>
              <w:t>SuSE</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powinno posiadać centralną konsolę graficzną do zarządzania maszynami wirtualnymi i do konfigurowania innych funkcjonalności;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bieżącego monitorowania wykorzystania zasobów fizycznych infrastruktury wirtualnej (np. wykorzystanie procesorów, pamięci RAM, wykorzystanie przestrzeni na dyskach/wolumenach);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Oprogramowanie do wirtualizacji powinno zapewnić możliwość wykonywania kopii migawkowych instancji systemów operacyjnych (tzw. </w:t>
            </w:r>
            <w:proofErr w:type="spellStart"/>
            <w:r w:rsidRPr="00D5527D">
              <w:rPr>
                <w:rFonts w:ascii="Arial" w:eastAsia="SimSun" w:hAnsi="Arial" w:cs="Arial"/>
                <w:sz w:val="20"/>
                <w:szCs w:val="20"/>
                <w:lang w:eastAsia="zh-CN"/>
              </w:rPr>
              <w:t>snapshot</w:t>
            </w:r>
            <w:proofErr w:type="spellEnd"/>
            <w:r w:rsidRPr="00D5527D">
              <w:rPr>
                <w:rFonts w:ascii="Arial" w:eastAsia="SimSun" w:hAnsi="Arial" w:cs="Arial"/>
                <w:sz w:val="20"/>
                <w:szCs w:val="20"/>
                <w:lang w:eastAsia="zh-CN"/>
              </w:rPr>
              <w:t>) na potrzeby tworzenia kopii zapasowych bez przerywania ich pracy;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klonowania systemów operacyjnych wraz z ich pełną konfiguracją i danymi;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Rozwiązanie musi zapewniać mechanizm bezpiecznego uaktualniania warstwy </w:t>
            </w:r>
            <w:proofErr w:type="spellStart"/>
            <w:r w:rsidRPr="00D5527D">
              <w:rPr>
                <w:rFonts w:ascii="Arial" w:eastAsia="SimSun" w:hAnsi="Arial" w:cs="Arial"/>
                <w:sz w:val="20"/>
                <w:szCs w:val="20"/>
                <w:lang w:eastAsia="zh-CN"/>
              </w:rPr>
              <w:t>wirtualizacyjnej</w:t>
            </w:r>
            <w:proofErr w:type="spellEnd"/>
            <w:r w:rsidRPr="00D5527D">
              <w:rPr>
                <w:rFonts w:ascii="Arial" w:eastAsia="SimSun" w:hAnsi="Arial" w:cs="Arial"/>
                <w:sz w:val="20"/>
                <w:szCs w:val="20"/>
                <w:lang w:eastAsia="zh-CN"/>
              </w:rPr>
              <w:t xml:space="preserve"> (hosta, maszyny wirtualnej) bez potrzeby wyłączania wirtualnych maszyn;</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mieć możliwość przenoszenia maszyn wirtualnych w czasie ich pracy pomiędzy serwerami fizycznymi;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Rozwiązanie musi mieć możliwość przenoszenia </w:t>
            </w:r>
            <w:proofErr w:type="spellStart"/>
            <w:r w:rsidRPr="00D5527D">
              <w:rPr>
                <w:rFonts w:ascii="Arial" w:eastAsia="SimSun" w:hAnsi="Arial" w:cs="Arial"/>
                <w:sz w:val="20"/>
                <w:szCs w:val="20"/>
                <w:lang w:eastAsia="zh-CN"/>
              </w:rPr>
              <w:t>zwirtualizowanych</w:t>
            </w:r>
            <w:proofErr w:type="spellEnd"/>
            <w:r w:rsidRPr="00D5527D">
              <w:rPr>
                <w:rFonts w:ascii="Arial" w:eastAsia="SimSun" w:hAnsi="Arial" w:cs="Arial"/>
                <w:sz w:val="20"/>
                <w:szCs w:val="20"/>
                <w:lang w:eastAsia="zh-CN"/>
              </w:rPr>
              <w:t xml:space="preserve"> dysków maszyn wirtualnych w czasie ich pracy pomiędzy fizycznymi zasobami dyskowymi;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Musi zostać zapewniona odpowiednia redundancja i mechanizm (wysokiej dostępności HA), aby w przypadku awarii lub niedostępności serwera fizycznego wybrane przez administratora i uruchomione na nim wirtualne maszyny zostały </w:t>
            </w:r>
            <w:r w:rsidRPr="00D5527D">
              <w:rPr>
                <w:rFonts w:ascii="Arial" w:eastAsia="SimSun" w:hAnsi="Arial" w:cs="Arial"/>
                <w:sz w:val="20"/>
                <w:szCs w:val="20"/>
                <w:lang w:eastAsia="zh-CN"/>
              </w:rPr>
              <w:lastRenderedPageBreak/>
              <w:t xml:space="preserve">uruchomione na innych serwerach z zainstalowanym oprogramowaniem </w:t>
            </w:r>
            <w:proofErr w:type="spellStart"/>
            <w:r w:rsidRPr="00D5527D">
              <w:rPr>
                <w:rFonts w:ascii="Arial" w:eastAsia="SimSun" w:hAnsi="Arial" w:cs="Arial"/>
                <w:sz w:val="20"/>
                <w:szCs w:val="20"/>
                <w:lang w:eastAsia="zh-CN"/>
              </w:rPr>
              <w:t>wirtualizacyjnym</w:t>
            </w:r>
            <w:proofErr w:type="spellEnd"/>
            <w:r w:rsidRPr="00D5527D">
              <w:rPr>
                <w:rFonts w:ascii="Arial" w:eastAsia="SimSun" w:hAnsi="Arial" w:cs="Arial"/>
                <w:sz w:val="20"/>
                <w:szCs w:val="20"/>
                <w:lang w:eastAsia="zh-CN"/>
              </w:rPr>
              <w:t>;</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D5527D">
              <w:rPr>
                <w:rFonts w:ascii="Arial" w:eastAsia="SimSun" w:hAnsi="Arial" w:cs="Arial"/>
                <w:sz w:val="20"/>
                <w:szCs w:val="20"/>
                <w:lang w:eastAsia="zh-CN"/>
              </w:rPr>
              <w:t>wirtualizacyjnym</w:t>
            </w:r>
            <w:proofErr w:type="spellEnd"/>
            <w:r w:rsidRPr="00D5527D">
              <w:rPr>
                <w:rFonts w:ascii="Arial" w:eastAsia="SimSun" w:hAnsi="Arial" w:cs="Arial"/>
                <w:sz w:val="20"/>
                <w:szCs w:val="20"/>
                <w:lang w:eastAsia="zh-CN"/>
              </w:rPr>
              <w:t>. Mechanizm ten umożliwia zabezpieczenie maszyn wirtualnych wyposażonych w minimum 2 wirtualne procesory;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System musi posiadać funkcjonalność wirtualnego przełącznika (ang. </w:t>
            </w:r>
            <w:proofErr w:type="spellStart"/>
            <w:r w:rsidRPr="00D5527D">
              <w:rPr>
                <w:rFonts w:ascii="Arial" w:eastAsia="SimSun" w:hAnsi="Arial" w:cs="Arial"/>
                <w:sz w:val="20"/>
                <w:szCs w:val="20"/>
                <w:lang w:eastAsia="zh-CN"/>
              </w:rPr>
              <w:t>virtual</w:t>
            </w:r>
            <w:proofErr w:type="spellEnd"/>
            <w:r w:rsidRPr="00D5527D">
              <w:rPr>
                <w:rFonts w:ascii="Arial" w:eastAsia="SimSun" w:hAnsi="Arial" w:cs="Arial"/>
                <w:sz w:val="20"/>
                <w:szCs w:val="20"/>
                <w:lang w:eastAsia="zh-CN"/>
              </w:rPr>
              <w:t xml:space="preserve"> </w:t>
            </w:r>
            <w:proofErr w:type="spellStart"/>
            <w:r w:rsidRPr="00D5527D">
              <w:rPr>
                <w:rFonts w:ascii="Arial" w:eastAsia="SimSun" w:hAnsi="Arial" w:cs="Arial"/>
                <w:sz w:val="20"/>
                <w:szCs w:val="20"/>
                <w:lang w:eastAsia="zh-CN"/>
              </w:rPr>
              <w:t>switch</w:t>
            </w:r>
            <w:proofErr w:type="spellEnd"/>
            <w:r w:rsidRPr="00D5527D">
              <w:rPr>
                <w:rFonts w:ascii="Arial" w:eastAsia="SimSun" w:hAnsi="Arial" w:cs="Arial"/>
                <w:sz w:val="20"/>
                <w:szCs w:val="20"/>
                <w:lang w:eastAsia="zh-CN"/>
              </w:rPr>
              <w:t>) umożliwiającego tworzenie sieci wirtualnej w obszarze hosta i pozwalającego połączyć maszyny wirtualne w obszarze jednego hosta, a także na zewnątrz sieci fizycznej;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Pojedynczy wirtualny przełącznik musi posiadać możliwość przyłączania do niego dwóch i więcej fizycznych kart sieciowych, aby zapewnić bezpieczeństwo połączenia </w:t>
            </w:r>
            <w:proofErr w:type="spellStart"/>
            <w:r w:rsidRPr="00D5527D">
              <w:rPr>
                <w:rFonts w:ascii="Arial" w:eastAsia="SimSun" w:hAnsi="Arial" w:cs="Arial"/>
                <w:sz w:val="20"/>
                <w:szCs w:val="20"/>
                <w:lang w:eastAsia="zh-CN"/>
              </w:rPr>
              <w:t>ethernetowego</w:t>
            </w:r>
            <w:proofErr w:type="spellEnd"/>
            <w:r w:rsidRPr="00D5527D">
              <w:rPr>
                <w:rFonts w:ascii="Arial" w:eastAsia="SimSun" w:hAnsi="Arial" w:cs="Arial"/>
                <w:sz w:val="20"/>
                <w:szCs w:val="20"/>
                <w:lang w:eastAsia="zh-CN"/>
              </w:rPr>
              <w:t xml:space="preserve"> w razie awarii karty sieciowe;.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Wirtualne przełączniki musza obsługiwać wirtualne sieci lokalne (VLAN);</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obsługiwać przełączenie ścieżek SAN (bez utraty komunikacji) w przypadku awarii jednej z kilku dostępnych ścieżek;</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Backup</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Zakup rozszerzenia systemu Backup &amp; </w:t>
            </w:r>
            <w:proofErr w:type="spellStart"/>
            <w:r w:rsidRPr="00D5527D">
              <w:rPr>
                <w:rFonts w:ascii="Arial" w:eastAsia="SimSun" w:hAnsi="Arial" w:cs="Arial"/>
                <w:sz w:val="20"/>
                <w:szCs w:val="20"/>
                <w:lang w:eastAsia="zh-CN"/>
              </w:rPr>
              <w:t>Recovery</w:t>
            </w:r>
            <w:proofErr w:type="spellEnd"/>
            <w:r w:rsidRPr="00D5527D">
              <w:rPr>
                <w:rFonts w:ascii="Arial" w:eastAsia="SimSun" w:hAnsi="Arial" w:cs="Arial"/>
                <w:sz w:val="20"/>
                <w:szCs w:val="20"/>
                <w:lang w:eastAsia="zh-CN"/>
              </w:rPr>
              <w:t xml:space="preserve"> dla istniejącego już systemu u Zamawiającego o dodatkowe licencje dla serwerów oraz macierzy </w:t>
            </w:r>
            <w:proofErr w:type="spellStart"/>
            <w:r w:rsidRPr="00D5527D">
              <w:rPr>
                <w:rFonts w:ascii="Arial" w:eastAsia="SimSun" w:hAnsi="Arial" w:cs="Arial"/>
                <w:sz w:val="20"/>
                <w:szCs w:val="20"/>
                <w:lang w:eastAsia="zh-CN"/>
              </w:rPr>
              <w:t>zakupowanych</w:t>
            </w:r>
            <w:proofErr w:type="spellEnd"/>
            <w:r w:rsidRPr="00D5527D">
              <w:rPr>
                <w:rFonts w:ascii="Arial" w:eastAsia="SimSun" w:hAnsi="Arial" w:cs="Arial"/>
                <w:sz w:val="20"/>
                <w:szCs w:val="20"/>
                <w:lang w:eastAsia="zh-CN"/>
              </w:rPr>
              <w:t xml:space="preserve"> przez Zamawiającego w tym przetargu, </w:t>
            </w:r>
            <w:r w:rsidRPr="00D5527D">
              <w:rPr>
                <w:rFonts w:ascii="Arial" w:eastAsia="SimSun" w:hAnsi="Arial" w:cs="Arial"/>
                <w:sz w:val="20"/>
                <w:szCs w:val="20"/>
                <w:lang w:eastAsia="zh-CN"/>
              </w:rPr>
              <w:lastRenderedPageBreak/>
              <w:t xml:space="preserve">łącznie z wdrożeniem i weryfikacją całego środowiska kopii (Aktualnie działający system Backupu </w:t>
            </w:r>
            <w:proofErr w:type="spellStart"/>
            <w:r w:rsidRPr="00D5527D">
              <w:rPr>
                <w:rFonts w:ascii="Arial" w:eastAsia="SimSun" w:hAnsi="Arial" w:cs="Arial"/>
                <w:sz w:val="20"/>
                <w:szCs w:val="20"/>
                <w:lang w:eastAsia="zh-CN"/>
              </w:rPr>
              <w:t>Commvault</w:t>
            </w:r>
            <w:proofErr w:type="spellEnd"/>
            <w:r w:rsidRPr="00D5527D">
              <w:rPr>
                <w:rFonts w:ascii="Arial" w:eastAsia="SimSun" w:hAnsi="Arial" w:cs="Arial"/>
                <w:sz w:val="20"/>
                <w:szCs w:val="20"/>
                <w:lang w:eastAsia="zh-CN"/>
              </w:rPr>
              <w:t>).</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System operacyjny</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oprogramowania: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Stan licencji</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Licencje fabrycznie nowe tj. nieużywane i nieaktywowane przed dniem dostarczenia. Licencje muszą pochodzić z oficjalnych kanałów dystrybucyjnych producenta obejmujących rynek polski, zapewniających w szczególności realizację uprawnień gwarancyjnych.</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rsidTr="00683F5F">
        <w:trPr>
          <w:gridAfter w:val="2"/>
          <w:wAfter w:w="1282" w:type="pct"/>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bCs/>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 xml:space="preserve">Rodzaj licencji </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MOLP</w:t>
            </w:r>
          </w:p>
        </w:tc>
        <w:tc>
          <w:tcPr>
            <w:tcW w:w="61" w:type="pct"/>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 w:type="pct"/>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hideMark/>
          </w:tcPr>
          <w:p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hideMark/>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System operacyjny</w:t>
            </w:r>
          </w:p>
        </w:tc>
        <w:tc>
          <w:tcPr>
            <w:tcW w:w="2184" w:type="pct"/>
            <w:gridSpan w:val="4"/>
            <w:tcBorders>
              <w:top w:val="single" w:sz="4" w:space="0" w:color="auto"/>
              <w:left w:val="single" w:sz="4" w:space="0" w:color="auto"/>
              <w:bottom w:val="single" w:sz="4" w:space="0" w:color="auto"/>
              <w:right w:val="single" w:sz="4" w:space="0" w:color="auto"/>
            </w:tcBorders>
            <w:hideMark/>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Windows Server 2019 Data Center 12 </w:t>
            </w:r>
            <w:proofErr w:type="spellStart"/>
            <w:r w:rsidRPr="00D5527D">
              <w:rPr>
                <w:rFonts w:ascii="Arial" w:eastAsia="SimSun" w:hAnsi="Arial" w:cs="Arial"/>
                <w:sz w:val="20"/>
                <w:szCs w:val="20"/>
                <w:lang w:eastAsia="zh-CN"/>
              </w:rPr>
              <w:t>core</w:t>
            </w:r>
            <w:proofErr w:type="spellEnd"/>
            <w:r w:rsidRPr="00D5527D">
              <w:rPr>
                <w:rFonts w:ascii="Arial" w:eastAsia="SimSun" w:hAnsi="Arial" w:cs="Arial"/>
                <w:sz w:val="20"/>
                <w:szCs w:val="20"/>
                <w:lang w:eastAsia="zh-CN"/>
              </w:rPr>
              <w:t xml:space="preserve"> lub równoważny*  (licencje konieczne dla 4 serwerów kupowanych w tym samym postępowaniu, musi spełniać wymogi licencyjne producenta oprogramowania systemowego i może uwzględniać edukacyjny charakter szpitali klinicznych, jeżeli jest to zgodne z wytycznymi producenta)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Okres licencji</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bCs/>
                <w:sz w:val="20"/>
                <w:szCs w:val="20"/>
                <w:lang w:eastAsia="zh-CN"/>
              </w:rPr>
              <w:t>Bezterminowa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After w:val="1"/>
          <w:wAfter w:w="11" w:type="pct"/>
          <w:trHeight w:val="3570"/>
        </w:trPr>
        <w:tc>
          <w:tcPr>
            <w:tcW w:w="680" w:type="pct"/>
            <w:gridSpan w:val="2"/>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Wymagania do Pakietu nr I</w:t>
            </w:r>
          </w:p>
        </w:tc>
        <w:tc>
          <w:tcPr>
            <w:tcW w:w="2897" w:type="pct"/>
            <w:gridSpan w:val="2"/>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Do zadań Wykonawcy należeć będzie: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istniejącej konfiguracji w celu doboru odpowiednich rozwiązań w ofercie. Zamawiający umożliwia zapoznanie się na miejscu w lokalizacjach DC Szpitala ze stanem obecnym infrastruktury, przed złożeniem oferty.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Sprawdzenie dotychczasowych ścieżek podpięć pod względem komunikacji sieciowej ETH oraz FC.</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możliwość istniejącej linii prądowej do podłączenia oferowanych nowych urządzeń.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Montaż nowych urządzeń w szafach RACK oraz podpięcie ich do zasilania w dwóch lokalizacjach Zamawiającego.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Podłączanie nowej infrastruktury sieciowej (bez podpięcia do działającej produkcji) celem sprawdzenia aktualnych wersji oraz skonfigurowanie wstępne na odpowiednich urządzeniach sieciowych sieci adresacji itp. LAN oraz FC po uzgodnieniu z Zamawiającym.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Uruchomienie testowe serwerów oraz macierzy wraz z weryfikacją ich poprawnego działania oraz oprogramowania i sterowników. W razie konieczności podniesienie wersji </w:t>
            </w:r>
            <w:proofErr w:type="spellStart"/>
            <w:r w:rsidRPr="00D5527D">
              <w:rPr>
                <w:rFonts w:ascii="Arial" w:eastAsia="SimSun" w:hAnsi="Arial" w:cs="Arial"/>
                <w:sz w:val="20"/>
                <w:szCs w:val="20"/>
                <w:lang w:eastAsia="zh-CN"/>
              </w:rPr>
              <w:t>firmware</w:t>
            </w:r>
            <w:proofErr w:type="spellEnd"/>
            <w:r w:rsidRPr="00D5527D">
              <w:rPr>
                <w:rFonts w:ascii="Arial" w:eastAsia="SimSun" w:hAnsi="Arial" w:cs="Arial"/>
                <w:sz w:val="20"/>
                <w:szCs w:val="20"/>
                <w:lang w:eastAsia="zh-CN"/>
              </w:rPr>
              <w:t xml:space="preserve"> urządzeń do najnowszych wersji. Ustalenie adresów IP i konfiguracja </w:t>
            </w:r>
            <w:proofErr w:type="spellStart"/>
            <w:r w:rsidRPr="00D5527D">
              <w:rPr>
                <w:rFonts w:ascii="Arial" w:eastAsia="SimSun" w:hAnsi="Arial" w:cs="Arial"/>
                <w:sz w:val="20"/>
                <w:szCs w:val="20"/>
                <w:lang w:eastAsia="zh-CN"/>
              </w:rPr>
              <w:t>Hypervisora</w:t>
            </w:r>
            <w:proofErr w:type="spellEnd"/>
            <w:r w:rsidRPr="00D5527D">
              <w:rPr>
                <w:rFonts w:ascii="Arial" w:eastAsia="SimSun" w:hAnsi="Arial" w:cs="Arial"/>
                <w:sz w:val="20"/>
                <w:szCs w:val="20"/>
                <w:lang w:eastAsia="zh-CN"/>
              </w:rPr>
              <w:t xml:space="preserve">.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Konfiguracja na dostarczonej macierzy nowych RAID Grup, stworzenie konfiguracji LUN i uruchomienie z nowymi serwerami.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Utworzenie Klastra wysokiej wydajności na wskazanych nowych serwerach.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prawidłowego działania nowej infrastruktury z testami wydajnościowymi oraz testami na wypadek awarii. </w:t>
            </w:r>
          </w:p>
          <w:p w:rsidR="001A3B3C" w:rsidRPr="00D5527D" w:rsidRDefault="001A3B3C" w:rsidP="001A3B3C">
            <w:pPr>
              <w:numPr>
                <w:ilvl w:val="0"/>
                <w:numId w:val="3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Przekonfigurowanie Infrastruktury w sposób umożliwiający bezawaryjne działanie starych macierzy oraz serwerów w systemie blade przez nowe urządzenia sieciowe w Klastrze o wysokim stopniu wydajności oraz bezawaryjności.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Uruchomienie kompletnej infrastruktury.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Podniesienie wersji </w:t>
            </w:r>
            <w:proofErr w:type="spellStart"/>
            <w:r w:rsidRPr="00D5527D">
              <w:rPr>
                <w:rFonts w:ascii="Arial" w:eastAsia="SimSun" w:hAnsi="Arial" w:cs="Arial"/>
                <w:sz w:val="20"/>
                <w:szCs w:val="20"/>
                <w:lang w:eastAsia="zh-CN"/>
              </w:rPr>
              <w:t>Hypervisora</w:t>
            </w:r>
            <w:proofErr w:type="spellEnd"/>
            <w:r w:rsidRPr="00D5527D">
              <w:rPr>
                <w:rFonts w:ascii="Arial" w:eastAsia="SimSun" w:hAnsi="Arial" w:cs="Arial"/>
                <w:sz w:val="20"/>
                <w:szCs w:val="20"/>
                <w:lang w:eastAsia="zh-CN"/>
              </w:rPr>
              <w:t xml:space="preserve"> do najnowszych możliwych wersji na wszystkich serwerach.  </w:t>
            </w:r>
          </w:p>
          <w:p w:rsidR="001A3B3C" w:rsidRPr="00D5527D" w:rsidRDefault="001A3B3C" w:rsidP="001A3B3C">
            <w:pPr>
              <w:numPr>
                <w:ilvl w:val="0"/>
                <w:numId w:val="35"/>
              </w:numPr>
              <w:tabs>
                <w:tab w:val="clear" w:pos="553"/>
              </w:tabs>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Rekonfiguracja systemu Backupu do nowych warunków pracy. </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i weryfikacja prawidłowego działania.</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Przygotowanie dokumentacji wdrożeniowej oraz dokumentacji końcowej. </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Wszelkie prace będą prowadzone na miejscu u Zamawiającego. Nie ma możliwości realizacji prac zdalnie</w:t>
            </w:r>
          </w:p>
        </w:tc>
        <w:tc>
          <w:tcPr>
            <w:tcW w:w="1412"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 </w:t>
            </w:r>
          </w:p>
        </w:tc>
      </w:tr>
    </w:tbl>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p>
    <w:sectPr w:rsidR="001A3B3C" w:rsidRPr="00D5527D" w:rsidSect="001A3B3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EB" w:rsidRDefault="00207AEB" w:rsidP="00FA3A46">
      <w:pPr>
        <w:spacing w:after="0" w:line="240" w:lineRule="auto"/>
      </w:pPr>
      <w:r>
        <w:separator/>
      </w:r>
    </w:p>
  </w:endnote>
  <w:endnote w:type="continuationSeparator" w:id="0">
    <w:p w:rsidR="00207AEB" w:rsidRDefault="00207AEB"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C" w:rsidRDefault="001A3B3C">
    <w:pPr>
      <w:pStyle w:val="Stopka"/>
    </w:pPr>
    <w:r>
      <w:rPr>
        <w:noProof/>
        <w:lang w:eastAsia="pl-PL"/>
      </w:rPr>
      <w:drawing>
        <wp:inline distT="0" distB="0" distL="0" distR="0">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pPr>
      <w:pStyle w:val="Stopka"/>
    </w:pPr>
    <w:r>
      <w:rPr>
        <w:noProof/>
        <w:lang w:eastAsia="pl-PL"/>
      </w:rPr>
      <w:drawing>
        <wp:inline distT="0" distB="0" distL="0" distR="0">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EB" w:rsidRDefault="00207AEB" w:rsidP="00FA3A46">
      <w:pPr>
        <w:spacing w:after="0" w:line="240" w:lineRule="auto"/>
      </w:pPr>
      <w:r>
        <w:separator/>
      </w:r>
    </w:p>
  </w:footnote>
  <w:footnote w:type="continuationSeparator" w:id="0">
    <w:p w:rsidR="00207AEB" w:rsidRDefault="00207AEB" w:rsidP="00F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C" w:rsidRDefault="001A3B3C" w:rsidP="001A3B3C">
    <w:pPr>
      <w:pStyle w:val="Nagwek"/>
    </w:pPr>
    <w:r>
      <w:rPr>
        <w:noProof/>
        <w:lang w:eastAsia="pl-PL"/>
      </w:rPr>
      <w:drawing>
        <wp:inline distT="0" distB="0" distL="0" distR="0">
          <wp:extent cx="1457325" cy="713103"/>
          <wp:effectExtent l="0" t="0" r="0"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1A3B3C" w:rsidRDefault="001A3B3C" w:rsidP="001A3B3C">
    <w:pPr>
      <w:pStyle w:val="Nagwek"/>
    </w:pPr>
  </w:p>
  <w:p w:rsidR="001A3B3C" w:rsidRPr="001A3B3C" w:rsidRDefault="001A3B3C" w:rsidP="001A3B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rsidP="00FA3A46">
    <w:pPr>
      <w:pStyle w:val="Nagwek"/>
    </w:pPr>
    <w:r>
      <w:rPr>
        <w:noProof/>
        <w:lang w:eastAsia="pl-PL"/>
      </w:rPr>
      <w:drawing>
        <wp:inline distT="0" distB="0" distL="0" distR="0">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FA3A46" w:rsidRDefault="00FA3A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F7"/>
    <w:multiLevelType w:val="hybridMultilevel"/>
    <w:tmpl w:val="042ECECA"/>
    <w:lvl w:ilvl="0" w:tplc="04150001">
      <w:start w:val="1"/>
      <w:numFmt w:val="bullet"/>
      <w:lvlText w:val=""/>
      <w:lvlJc w:val="left"/>
      <w:pPr>
        <w:ind w:left="575" w:hanging="360"/>
      </w:pPr>
      <w:rPr>
        <w:rFonts w:ascii="Symbol" w:hAnsi="Symbol" w:hint="default"/>
      </w:rPr>
    </w:lvl>
    <w:lvl w:ilvl="1" w:tplc="04150003">
      <w:start w:val="1"/>
      <w:numFmt w:val="bullet"/>
      <w:lvlText w:val="o"/>
      <w:lvlJc w:val="left"/>
      <w:pPr>
        <w:ind w:left="1295" w:hanging="360"/>
      </w:pPr>
      <w:rPr>
        <w:rFonts w:ascii="Courier New" w:hAnsi="Courier New" w:cs="Courier New" w:hint="default"/>
      </w:rPr>
    </w:lvl>
    <w:lvl w:ilvl="2" w:tplc="04150005" w:tentative="1">
      <w:start w:val="1"/>
      <w:numFmt w:val="bullet"/>
      <w:lvlText w:val=""/>
      <w:lvlJc w:val="left"/>
      <w:pPr>
        <w:ind w:left="2015" w:hanging="360"/>
      </w:pPr>
      <w:rPr>
        <w:rFonts w:ascii="Wingdings" w:hAnsi="Wingdings" w:hint="default"/>
      </w:rPr>
    </w:lvl>
    <w:lvl w:ilvl="3" w:tplc="04150001" w:tentative="1">
      <w:start w:val="1"/>
      <w:numFmt w:val="bullet"/>
      <w:lvlText w:val=""/>
      <w:lvlJc w:val="left"/>
      <w:pPr>
        <w:ind w:left="2735" w:hanging="360"/>
      </w:pPr>
      <w:rPr>
        <w:rFonts w:ascii="Symbol" w:hAnsi="Symbol" w:hint="default"/>
      </w:rPr>
    </w:lvl>
    <w:lvl w:ilvl="4" w:tplc="04150003" w:tentative="1">
      <w:start w:val="1"/>
      <w:numFmt w:val="bullet"/>
      <w:lvlText w:val="o"/>
      <w:lvlJc w:val="left"/>
      <w:pPr>
        <w:ind w:left="3455" w:hanging="360"/>
      </w:pPr>
      <w:rPr>
        <w:rFonts w:ascii="Courier New" w:hAnsi="Courier New" w:cs="Courier New" w:hint="default"/>
      </w:rPr>
    </w:lvl>
    <w:lvl w:ilvl="5" w:tplc="04150005" w:tentative="1">
      <w:start w:val="1"/>
      <w:numFmt w:val="bullet"/>
      <w:lvlText w:val=""/>
      <w:lvlJc w:val="left"/>
      <w:pPr>
        <w:ind w:left="4175" w:hanging="360"/>
      </w:pPr>
      <w:rPr>
        <w:rFonts w:ascii="Wingdings" w:hAnsi="Wingdings" w:hint="default"/>
      </w:rPr>
    </w:lvl>
    <w:lvl w:ilvl="6" w:tplc="04150001" w:tentative="1">
      <w:start w:val="1"/>
      <w:numFmt w:val="bullet"/>
      <w:lvlText w:val=""/>
      <w:lvlJc w:val="left"/>
      <w:pPr>
        <w:ind w:left="4895" w:hanging="360"/>
      </w:pPr>
      <w:rPr>
        <w:rFonts w:ascii="Symbol" w:hAnsi="Symbol" w:hint="default"/>
      </w:rPr>
    </w:lvl>
    <w:lvl w:ilvl="7" w:tplc="04150003" w:tentative="1">
      <w:start w:val="1"/>
      <w:numFmt w:val="bullet"/>
      <w:lvlText w:val="o"/>
      <w:lvlJc w:val="left"/>
      <w:pPr>
        <w:ind w:left="5615" w:hanging="360"/>
      </w:pPr>
      <w:rPr>
        <w:rFonts w:ascii="Courier New" w:hAnsi="Courier New" w:cs="Courier New" w:hint="default"/>
      </w:rPr>
    </w:lvl>
    <w:lvl w:ilvl="8" w:tplc="04150005" w:tentative="1">
      <w:start w:val="1"/>
      <w:numFmt w:val="bullet"/>
      <w:lvlText w:val=""/>
      <w:lvlJc w:val="left"/>
      <w:pPr>
        <w:ind w:left="6335" w:hanging="360"/>
      </w:pPr>
      <w:rPr>
        <w:rFonts w:ascii="Wingdings" w:hAnsi="Wingdings" w:hint="default"/>
      </w:rPr>
    </w:lvl>
  </w:abstractNum>
  <w:abstractNum w:abstractNumId="1" w15:restartNumberingAfterBreak="0">
    <w:nsid w:val="07BE2198"/>
    <w:multiLevelType w:val="hybridMultilevel"/>
    <w:tmpl w:val="FD149FEE"/>
    <w:lvl w:ilvl="0" w:tplc="3FE47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20A09"/>
    <w:multiLevelType w:val="hybridMultilevel"/>
    <w:tmpl w:val="7D9C3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D6612F2"/>
    <w:multiLevelType w:val="hybridMultilevel"/>
    <w:tmpl w:val="C5D8A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24ADFB4">
      <w:start w:val="1"/>
      <w:numFmt w:val="decimal"/>
      <w:lvlText w:val="%3."/>
      <w:lvlJc w:val="left"/>
      <w:pPr>
        <w:ind w:left="92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9D46F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DA2705"/>
    <w:multiLevelType w:val="hybridMultilevel"/>
    <w:tmpl w:val="52C0F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C7FA9"/>
    <w:multiLevelType w:val="hybridMultilevel"/>
    <w:tmpl w:val="4BCA0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64BA3"/>
    <w:multiLevelType w:val="multilevel"/>
    <w:tmpl w:val="CB38E0BE"/>
    <w:lvl w:ilvl="0">
      <w:start w:val="12"/>
      <w:numFmt w:val="decimal"/>
      <w:lvlText w:val="%1."/>
      <w:lvlJc w:val="left"/>
      <w:pPr>
        <w:tabs>
          <w:tab w:val="num" w:pos="553"/>
        </w:tabs>
        <w:ind w:left="553" w:hanging="340"/>
      </w:pPr>
      <w:rPr>
        <w:rFonts w:hint="default"/>
        <w:sz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0"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857BA"/>
    <w:multiLevelType w:val="hybridMultilevel"/>
    <w:tmpl w:val="6FD8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FEC6764"/>
    <w:multiLevelType w:val="hybridMultilevel"/>
    <w:tmpl w:val="4DB0E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81F4E"/>
    <w:multiLevelType w:val="hybridMultilevel"/>
    <w:tmpl w:val="4844A6A8"/>
    <w:lvl w:ilvl="0" w:tplc="EEC815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21A4BB6"/>
    <w:multiLevelType w:val="hybridMultilevel"/>
    <w:tmpl w:val="9406267E"/>
    <w:lvl w:ilvl="0" w:tplc="A2E6CCC2">
      <w:start w:val="10"/>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7B73427"/>
    <w:multiLevelType w:val="hybridMultilevel"/>
    <w:tmpl w:val="084C8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F1CEB"/>
    <w:multiLevelType w:val="hybridMultilevel"/>
    <w:tmpl w:val="438A7EA8"/>
    <w:lvl w:ilvl="0" w:tplc="5BC8819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E4101DC"/>
    <w:multiLevelType w:val="multilevel"/>
    <w:tmpl w:val="E6AE4600"/>
    <w:lvl w:ilvl="0">
      <w:start w:val="1"/>
      <w:numFmt w:val="decimal"/>
      <w:lvlText w:val="%1."/>
      <w:lvlJc w:val="left"/>
      <w:pPr>
        <w:tabs>
          <w:tab w:val="num" w:pos="553"/>
        </w:tabs>
        <w:ind w:left="553" w:hanging="340"/>
      </w:pPr>
      <w:rPr>
        <w:sz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3" w15:restartNumberingAfterBreak="0">
    <w:nsid w:val="711867A6"/>
    <w:multiLevelType w:val="hybridMultilevel"/>
    <w:tmpl w:val="5A1C6F54"/>
    <w:lvl w:ilvl="0" w:tplc="6D14218C">
      <w:start w:val="1"/>
      <w:numFmt w:val="decimal"/>
      <w:lvlText w:val="%1."/>
      <w:lvlJc w:val="left"/>
      <w:pPr>
        <w:ind w:left="643"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5"/>
  </w:num>
  <w:num w:numId="3">
    <w:abstractNumId w:val="22"/>
  </w:num>
  <w:num w:numId="4">
    <w:abstractNumId w:val="34"/>
  </w:num>
  <w:num w:numId="5">
    <w:abstractNumId w:val="26"/>
  </w:num>
  <w:num w:numId="6">
    <w:abstractNumId w:val="16"/>
  </w:num>
  <w:num w:numId="7">
    <w:abstractNumId w:val="28"/>
  </w:num>
  <w:num w:numId="8">
    <w:abstractNumId w:val="32"/>
  </w:num>
  <w:num w:numId="9">
    <w:abstractNumId w:val="8"/>
  </w:num>
  <w:num w:numId="10">
    <w:abstractNumId w:val="18"/>
  </w:num>
  <w:num w:numId="11">
    <w:abstractNumId w:val="5"/>
  </w:num>
  <w:num w:numId="12">
    <w:abstractNumId w:val="33"/>
  </w:num>
  <w:num w:numId="13">
    <w:abstractNumId w:val="30"/>
  </w:num>
  <w:num w:numId="14">
    <w:abstractNumId w:val="3"/>
  </w:num>
  <w:num w:numId="15">
    <w:abstractNumId w:val="24"/>
  </w:num>
  <w:num w:numId="16">
    <w:abstractNumId w:val="17"/>
  </w:num>
  <w:num w:numId="17">
    <w:abstractNumId w:val="27"/>
  </w:num>
  <w:num w:numId="18">
    <w:abstractNumId w:val="14"/>
  </w:num>
  <w:num w:numId="19">
    <w:abstractNumId w:val="20"/>
  </w:num>
  <w:num w:numId="20">
    <w:abstractNumId w:val="4"/>
  </w:num>
  <w:num w:numId="21">
    <w:abstractNumId w:val="6"/>
  </w:num>
  <w:num w:numId="22">
    <w:abstractNumId w:val="23"/>
  </w:num>
  <w:num w:numId="23">
    <w:abstractNumId w:val="31"/>
  </w:num>
  <w:num w:numId="24">
    <w:abstractNumId w:val="11"/>
  </w:num>
  <w:num w:numId="25">
    <w:abstractNumId w:val="10"/>
  </w:num>
  <w:num w:numId="26">
    <w:abstractNumId w:val="0"/>
  </w:num>
  <w:num w:numId="27">
    <w:abstractNumId w:val="13"/>
  </w:num>
  <w:num w:numId="28">
    <w:abstractNumId w:val="12"/>
  </w:num>
  <w:num w:numId="29">
    <w:abstractNumId w:val="7"/>
  </w:num>
  <w:num w:numId="30">
    <w:abstractNumId w:val="2"/>
  </w:num>
  <w:num w:numId="31">
    <w:abstractNumId w:val="29"/>
  </w:num>
  <w:num w:numId="32">
    <w:abstractNumId w:val="1"/>
  </w:num>
  <w:num w:numId="33">
    <w:abstractNumId w:val="19"/>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75816"/>
    <w:rsid w:val="000A51F1"/>
    <w:rsid w:val="001962F5"/>
    <w:rsid w:val="001A3B3C"/>
    <w:rsid w:val="001D481B"/>
    <w:rsid w:val="00207AEB"/>
    <w:rsid w:val="003A3E3E"/>
    <w:rsid w:val="004136EB"/>
    <w:rsid w:val="00452428"/>
    <w:rsid w:val="00473964"/>
    <w:rsid w:val="004C7245"/>
    <w:rsid w:val="005039D3"/>
    <w:rsid w:val="007A3BC5"/>
    <w:rsid w:val="00954586"/>
    <w:rsid w:val="009A480C"/>
    <w:rsid w:val="00A239E0"/>
    <w:rsid w:val="00C51C95"/>
    <w:rsid w:val="00CB43AF"/>
    <w:rsid w:val="00DC3BA3"/>
    <w:rsid w:val="00EE7E80"/>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CE42"/>
  <w15:docId w15:val="{36570CFA-34F1-40A4-90CF-509F6131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semiHidden/>
    <w:unhideWhenUsed/>
    <w:rsid w:val="00452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4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4680</Words>
  <Characters>28082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2020-06-24T09:08:00Z</cp:lastPrinted>
  <dcterms:created xsi:type="dcterms:W3CDTF">2020-06-24T09:08:00Z</dcterms:created>
  <dcterms:modified xsi:type="dcterms:W3CDTF">2020-06-24T09:11:00Z</dcterms:modified>
</cp:coreProperties>
</file>