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5.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 ile nie wskazano inaczej, oferty składa się w cenie brutto.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4140DE" w:rsidRDefault="004140DE" w:rsidP="00263C10">
      <w:pPr>
        <w:autoSpaceDE w:val="0"/>
        <w:autoSpaceDN w:val="0"/>
        <w:adjustRightInd w:val="0"/>
      </w:pPr>
      <w:r>
        <w:rPr>
          <w:rFonts w:cs="TimesNewRoman"/>
        </w:rPr>
        <w:t>15.</w:t>
      </w:r>
      <w:r>
        <w:rPr>
          <w:rFonts w:cs="TimesNewRoman"/>
        </w:rPr>
        <w:tab/>
      </w:r>
      <w:r>
        <w:rPr>
          <w:rFonts w:cs="TimesNewRoman"/>
        </w:rPr>
        <w:tab/>
      </w:r>
      <w:bookmarkStart w:id="0" w:name="_GoBack"/>
      <w:bookmarkEnd w:id="0"/>
      <w:r>
        <w:rPr>
          <w:rFonts w:cs="TimesNewRoman"/>
        </w:rPr>
        <w:t xml:space="preserve">Wykonawca zobowiązuje się do zawarcia umowy w miejscu i czasie wyznaczonym przez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  <w:t>Zamawiającego.</w:t>
      </w:r>
    </w:p>
    <w:sectPr w:rsidR="004140DE" w:rsidRPr="0041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263C10"/>
    <w:rsid w:val="00373BA7"/>
    <w:rsid w:val="004140DE"/>
    <w:rsid w:val="004D6060"/>
    <w:rsid w:val="006753EA"/>
    <w:rsid w:val="006E5C7B"/>
    <w:rsid w:val="008A2E43"/>
    <w:rsid w:val="00957402"/>
    <w:rsid w:val="00AB42F0"/>
    <w:rsid w:val="00BC4468"/>
    <w:rsid w:val="00C77D01"/>
    <w:rsid w:val="00E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2016-03-18T08:56:00Z</dcterms:created>
  <dcterms:modified xsi:type="dcterms:W3CDTF">2016-09-21T09:47:00Z</dcterms:modified>
</cp:coreProperties>
</file>