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97" w:rsidRDefault="00533897" w:rsidP="00533897">
      <w:pPr>
        <w:pStyle w:val="Tytu"/>
        <w:spacing w:after="0" w:line="360" w:lineRule="auto"/>
        <w:ind w:left="1656" w:hanging="1656"/>
        <w:jc w:val="left"/>
        <w:rPr>
          <w:color w:val="auto"/>
          <w:sz w:val="48"/>
          <w:szCs w:val="48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jc w:val="center"/>
        <w:rPr>
          <w:color w:val="auto"/>
          <w:sz w:val="48"/>
          <w:szCs w:val="48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jc w:val="center"/>
        <w:rPr>
          <w:color w:val="auto"/>
          <w:sz w:val="48"/>
          <w:szCs w:val="48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jc w:val="center"/>
        <w:rPr>
          <w:color w:val="auto"/>
          <w:sz w:val="48"/>
          <w:szCs w:val="48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jc w:val="center"/>
        <w:rPr>
          <w:color w:val="auto"/>
          <w:sz w:val="48"/>
          <w:szCs w:val="48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jc w:val="center"/>
        <w:rPr>
          <w:color w:val="auto"/>
          <w:sz w:val="48"/>
          <w:szCs w:val="48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jc w:val="center"/>
        <w:rPr>
          <w:color w:val="auto"/>
          <w:sz w:val="48"/>
          <w:szCs w:val="48"/>
        </w:rPr>
      </w:pPr>
    </w:p>
    <w:p w:rsidR="00533897" w:rsidRPr="00EB3C98" w:rsidRDefault="00533897" w:rsidP="00533897">
      <w:pPr>
        <w:pStyle w:val="Tytu"/>
        <w:spacing w:after="0" w:line="360" w:lineRule="auto"/>
        <w:ind w:left="1656" w:hanging="1656"/>
        <w:jc w:val="center"/>
        <w:outlineLvl w:val="0"/>
        <w:rPr>
          <w:color w:val="auto"/>
          <w:sz w:val="52"/>
          <w:szCs w:val="52"/>
        </w:rPr>
      </w:pPr>
      <w:r w:rsidRPr="00EB3C98">
        <w:rPr>
          <w:color w:val="auto"/>
          <w:sz w:val="52"/>
          <w:szCs w:val="52"/>
        </w:rPr>
        <w:t>D-08.03.01</w:t>
      </w:r>
    </w:p>
    <w:p w:rsidR="00533897" w:rsidRPr="00EB3C98" w:rsidRDefault="00533897" w:rsidP="00533897">
      <w:pPr>
        <w:pStyle w:val="Tytu"/>
        <w:spacing w:after="0" w:line="360" w:lineRule="auto"/>
        <w:ind w:left="1656" w:hanging="1656"/>
        <w:jc w:val="center"/>
        <w:rPr>
          <w:color w:val="auto"/>
          <w:sz w:val="52"/>
          <w:szCs w:val="52"/>
        </w:rPr>
      </w:pPr>
    </w:p>
    <w:p w:rsidR="00533897" w:rsidRPr="00EB3C98" w:rsidRDefault="00533897" w:rsidP="00533897">
      <w:pPr>
        <w:pStyle w:val="Tytu"/>
        <w:spacing w:after="0" w:line="360" w:lineRule="auto"/>
        <w:ind w:left="1656" w:hanging="1656"/>
        <w:jc w:val="center"/>
        <w:outlineLvl w:val="0"/>
        <w:rPr>
          <w:color w:val="auto"/>
          <w:sz w:val="52"/>
          <w:szCs w:val="52"/>
        </w:rPr>
      </w:pPr>
      <w:r w:rsidRPr="00EB3C98">
        <w:rPr>
          <w:caps w:val="0"/>
          <w:color w:val="auto"/>
          <w:sz w:val="52"/>
          <w:szCs w:val="52"/>
        </w:rPr>
        <w:t xml:space="preserve">Obrzeża </w:t>
      </w:r>
      <w:r w:rsidR="00ED18DF">
        <w:rPr>
          <w:caps w:val="0"/>
          <w:color w:val="auto"/>
          <w:sz w:val="52"/>
          <w:szCs w:val="52"/>
        </w:rPr>
        <w:t>b</w:t>
      </w:r>
      <w:r w:rsidRPr="00EB3C98">
        <w:rPr>
          <w:caps w:val="0"/>
          <w:color w:val="auto"/>
          <w:sz w:val="52"/>
          <w:szCs w:val="52"/>
        </w:rPr>
        <w:t>etonowe</w:t>
      </w:r>
    </w:p>
    <w:p w:rsidR="00533897" w:rsidRPr="005A2BA1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Pr="005A2BA1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Pr="005A2BA1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Pr="005A2BA1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Pr="005A2BA1" w:rsidRDefault="00533897" w:rsidP="00533897">
      <w:pPr>
        <w:pStyle w:val="Tytu"/>
        <w:spacing w:after="0" w:line="360" w:lineRule="auto"/>
        <w:ind w:left="1656" w:hanging="1656"/>
        <w:rPr>
          <w:rFonts w:ascii="Cambria" w:hAnsi="Cambria"/>
          <w:color w:val="auto"/>
          <w:sz w:val="20"/>
        </w:rPr>
      </w:pPr>
    </w:p>
    <w:p w:rsidR="00533897" w:rsidRDefault="00533897">
      <w:pPr>
        <w:tabs>
          <w:tab w:val="clear" w:pos="284"/>
        </w:tabs>
        <w:spacing w:before="0" w:after="200" w:line="276" w:lineRule="auto"/>
        <w:jc w:val="left"/>
        <w:rPr>
          <w:rFonts w:ascii="Calibri" w:eastAsia="Times New Roman" w:hAnsi="Calibri" w:cs="Times New Roman"/>
          <w:b/>
          <w:sz w:val="22"/>
          <w:lang w:eastAsia="pl-PL"/>
        </w:rPr>
      </w:pPr>
      <w:r>
        <w:rPr>
          <w:rFonts w:ascii="Calibri" w:hAnsi="Calibri"/>
          <w:sz w:val="22"/>
        </w:rPr>
        <w:br w:type="page"/>
      </w:r>
    </w:p>
    <w:p w:rsidR="009B60EB" w:rsidRPr="009B60EB" w:rsidRDefault="009B60EB" w:rsidP="009B60EB">
      <w:pPr>
        <w:rPr>
          <w:sz w:val="2"/>
          <w:szCs w:val="2"/>
        </w:rPr>
      </w:pPr>
    </w:p>
    <w:p w:rsidR="00533897" w:rsidRPr="005114AF" w:rsidRDefault="00533897" w:rsidP="005114AF">
      <w:pPr>
        <w:pStyle w:val="Nagwek1"/>
      </w:pPr>
      <w:r w:rsidRPr="005114AF">
        <w:t>WSTĘP</w:t>
      </w:r>
    </w:p>
    <w:p w:rsidR="00533897" w:rsidRPr="005114AF" w:rsidRDefault="00533897" w:rsidP="005114AF">
      <w:pPr>
        <w:pStyle w:val="Nagwek2"/>
      </w:pPr>
      <w:r w:rsidRPr="005114AF">
        <w:t xml:space="preserve">Przedmiot </w:t>
      </w:r>
      <w:r w:rsidR="002175DF">
        <w:t>SST</w:t>
      </w:r>
    </w:p>
    <w:p w:rsidR="00533897" w:rsidRPr="005114AF" w:rsidRDefault="00533897" w:rsidP="005114AF">
      <w:pPr>
        <w:pStyle w:val="tekst"/>
      </w:pPr>
      <w:r w:rsidRPr="005114AF">
        <w:t>Przedmiotem n/n Szczegółowej Specyfikacji Technicznej są wymagania dotyczące wykonania i odbioru robót związanych z ustawieniem obrzeży betonowych</w:t>
      </w:r>
    </w:p>
    <w:p w:rsidR="00533897" w:rsidRPr="005D5694" w:rsidRDefault="00533897" w:rsidP="005114AF">
      <w:pPr>
        <w:pStyle w:val="Nagwek2"/>
      </w:pPr>
      <w:r w:rsidRPr="005D5694">
        <w:t>Zakres stosowania SST</w:t>
      </w:r>
    </w:p>
    <w:p w:rsidR="00533897" w:rsidRPr="005D5694" w:rsidRDefault="00533897" w:rsidP="00533897">
      <w:pPr>
        <w:pStyle w:val="tekst"/>
      </w:pPr>
      <w:r w:rsidRPr="005D5694">
        <w:t>Szczegółowa Specyfikacja Techniczna jest stosowana jako dokument przetargowy i kontraktowy przy zlecaniu i realizacji robót</w:t>
      </w:r>
    </w:p>
    <w:p w:rsidR="00533897" w:rsidRPr="005D5694" w:rsidRDefault="00533897" w:rsidP="005114AF">
      <w:pPr>
        <w:pStyle w:val="Nagwek2"/>
      </w:pPr>
      <w:r w:rsidRPr="005D5694">
        <w:t>Zakres robót objętych SST</w:t>
      </w:r>
    </w:p>
    <w:p w:rsidR="00533897" w:rsidRPr="005D5694" w:rsidRDefault="00533897" w:rsidP="00533897">
      <w:pPr>
        <w:pStyle w:val="tekst"/>
      </w:pPr>
      <w:r w:rsidRPr="005D5694">
        <w:t>Ustalenia zawarte w n/n Szczegółowej Specyfikacji Technicznej dotycz</w:t>
      </w:r>
      <w:r w:rsidR="005114AF">
        <w:t>ą ustawienia obrzeży betonowych</w:t>
      </w:r>
      <w:r w:rsidRPr="005D5694">
        <w:t xml:space="preserve"> na podsypce cementowo-piaskowej</w:t>
      </w:r>
    </w:p>
    <w:p w:rsidR="00533897" w:rsidRPr="005114AF" w:rsidRDefault="00533897" w:rsidP="005114AF">
      <w:pPr>
        <w:pStyle w:val="Nagwek2"/>
      </w:pPr>
      <w:r w:rsidRPr="005114AF">
        <w:t>Określenia podstawowe</w:t>
      </w:r>
    </w:p>
    <w:p w:rsidR="00533897" w:rsidRPr="00533897" w:rsidRDefault="00533897" w:rsidP="00721715">
      <w:pPr>
        <w:pStyle w:val="tekst"/>
        <w:numPr>
          <w:ilvl w:val="0"/>
          <w:numId w:val="3"/>
        </w:numPr>
      </w:pPr>
      <w:r w:rsidRPr="00533897">
        <w:rPr>
          <w:b/>
        </w:rPr>
        <w:t xml:space="preserve">Obrzeża betonowe </w:t>
      </w:r>
      <w:r w:rsidRPr="00533897">
        <w:t>- prefabrykowane belki betonowe rozgraniczające jednostronnie lub dwustronnie ciągi komunikacyjne od terenów nie przeznaczonych dla komunikacji.</w:t>
      </w:r>
    </w:p>
    <w:p w:rsidR="00533897" w:rsidRPr="005D5694" w:rsidRDefault="00533897" w:rsidP="00721715">
      <w:pPr>
        <w:pStyle w:val="tekst"/>
        <w:numPr>
          <w:ilvl w:val="0"/>
          <w:numId w:val="3"/>
        </w:numPr>
      </w:pPr>
      <w:r w:rsidRPr="00533897">
        <w:rPr>
          <w:b/>
        </w:rPr>
        <w:t>Podsypka</w:t>
      </w:r>
      <w:r w:rsidRPr="005D5694">
        <w:t xml:space="preserve"> - warstwa wyrównawcza ułożona bezpośrednio na podłożu ziemnym lub ławie.</w:t>
      </w:r>
    </w:p>
    <w:p w:rsidR="00533897" w:rsidRPr="005D5694" w:rsidRDefault="00533897" w:rsidP="00533897">
      <w:pPr>
        <w:pStyle w:val="tekst"/>
      </w:pPr>
      <w:r w:rsidRPr="005D5694">
        <w:t>Pozostałe określenia są zgodne z obowiązującymi, odpowiednimi polskimi normami i definicjami podanymi w SST D.M.00.00.00 „Wymagania ogólne”.</w:t>
      </w:r>
    </w:p>
    <w:p w:rsidR="00533897" w:rsidRPr="005D5694" w:rsidRDefault="00533897" w:rsidP="005114AF">
      <w:pPr>
        <w:pStyle w:val="Nagwek2"/>
      </w:pPr>
      <w:r w:rsidRPr="005D5694">
        <w:t>Ogólne wymagania dotyczące robót</w:t>
      </w:r>
    </w:p>
    <w:p w:rsidR="00533897" w:rsidRPr="005D5694" w:rsidRDefault="00533897" w:rsidP="00533897">
      <w:pPr>
        <w:pStyle w:val="tekst"/>
      </w:pPr>
      <w:r w:rsidRPr="005D5694">
        <w:t>Wykonawca robót jest odpowiedzialny za jakość ich wykonania oraz za zgodność z Dokumentacją Projektową, SST i poleceniami Inspektora Nadzoru.</w:t>
      </w:r>
    </w:p>
    <w:p w:rsidR="00533897" w:rsidRPr="00533897" w:rsidRDefault="00533897" w:rsidP="00533897">
      <w:pPr>
        <w:pStyle w:val="tekst"/>
      </w:pPr>
      <w:r w:rsidRPr="005D5694">
        <w:t>Ogólne wymagania dotyczące robót podano w SST D.M.00.00.00 „Wymagania ogólne”.</w:t>
      </w:r>
    </w:p>
    <w:p w:rsidR="00533897" w:rsidRPr="005D5694" w:rsidRDefault="00533897" w:rsidP="005114AF">
      <w:pPr>
        <w:pStyle w:val="Nagwek1"/>
      </w:pPr>
      <w:r w:rsidRPr="005D5694">
        <w:t>MATERIAŁY</w:t>
      </w:r>
    </w:p>
    <w:p w:rsidR="00533897" w:rsidRPr="005D5694" w:rsidRDefault="00533897" w:rsidP="005114AF">
      <w:pPr>
        <w:pStyle w:val="Nagwek2"/>
      </w:pPr>
      <w:r w:rsidRPr="005D5694">
        <w:t>Wymagania ogólne dotyczące materiałów</w:t>
      </w:r>
    </w:p>
    <w:p w:rsidR="00533897" w:rsidRPr="005D5694" w:rsidRDefault="00533897" w:rsidP="00533897">
      <w:pPr>
        <w:pStyle w:val="tekst"/>
      </w:pPr>
      <w:r w:rsidRPr="005D5694">
        <w:t>Wymagania ogólne dotyczące materiałów podano w SST D.M.00.00.00 „Wymagania ogólne”.</w:t>
      </w:r>
    </w:p>
    <w:p w:rsidR="00533897" w:rsidRPr="005D5694" w:rsidRDefault="00533897" w:rsidP="005114AF">
      <w:pPr>
        <w:pStyle w:val="Nagwek2"/>
      </w:pPr>
      <w:r w:rsidRPr="005D5694">
        <w:t>Obrzeża betonowe</w:t>
      </w:r>
    </w:p>
    <w:p w:rsidR="00533897" w:rsidRPr="005D5694" w:rsidRDefault="00533897" w:rsidP="00533897">
      <w:pPr>
        <w:pStyle w:val="tekst"/>
      </w:pPr>
      <w:r w:rsidRPr="005D5694">
        <w:t>Obrzeża betonowe o wymiarach 8x30x100 cm powinny odpowiadać wymaganiom normy PN-EN 1340.</w:t>
      </w:r>
      <w:r>
        <w:t xml:space="preserve"> </w:t>
      </w:r>
      <w:r w:rsidR="005114AF">
        <w:t>Nasiąkliwość wg PN-EN 1340</w:t>
      </w:r>
      <w:r w:rsidRPr="005D5694">
        <w:t xml:space="preserve"> nie powinna być większa niż 5 %.</w:t>
      </w:r>
    </w:p>
    <w:p w:rsidR="00533897" w:rsidRPr="005D5694" w:rsidRDefault="00533897" w:rsidP="00533897">
      <w:pPr>
        <w:pStyle w:val="tekst"/>
      </w:pPr>
      <w:r w:rsidRPr="005D5694">
        <w:t xml:space="preserve">Odporność na zamrażanie/rozmrażanie z udziałem soli odladzających zgodnie z PN-EN 1340 </w:t>
      </w:r>
      <w:r w:rsidRPr="005D5694">
        <w:sym w:font="Symbol" w:char="F0A3"/>
      </w:r>
      <w:r w:rsidRPr="005D5694">
        <w:t xml:space="preserve"> 1,0 kg/m</w:t>
      </w:r>
      <w:r w:rsidRPr="005D5694">
        <w:rPr>
          <w:vertAlign w:val="superscript"/>
        </w:rPr>
        <w:t>2</w:t>
      </w:r>
      <w:r w:rsidRPr="005D5694">
        <w:t xml:space="preserve"> przy czym żaden pojedynczy wynik nie powinien być większy od 1,5 kg/m</w:t>
      </w:r>
      <w:r w:rsidRPr="005D5694">
        <w:rPr>
          <w:vertAlign w:val="superscript"/>
        </w:rPr>
        <w:t>2</w:t>
      </w:r>
      <w:r w:rsidRPr="005D5694">
        <w:t>.</w:t>
      </w:r>
    </w:p>
    <w:p w:rsidR="00533897" w:rsidRPr="005D5694" w:rsidRDefault="00533897" w:rsidP="009C3F6F">
      <w:pPr>
        <w:pStyle w:val="tekst"/>
      </w:pPr>
      <w:r w:rsidRPr="005D5694">
        <w:t xml:space="preserve">Wartość charakterystycznej wytrzymałości na zginanie </w:t>
      </w:r>
      <w:r w:rsidR="009C3F6F">
        <w:t xml:space="preserve">Klasa 2, znakowanie T – wytrzymałość charakterystyczna: 4,0 </w:t>
      </w:r>
      <w:proofErr w:type="spellStart"/>
      <w:r w:rsidR="009C3F6F">
        <w:t>MPa</w:t>
      </w:r>
      <w:proofErr w:type="spellEnd"/>
      <w:r w:rsidR="009C3F6F">
        <w:t>.</w:t>
      </w:r>
    </w:p>
    <w:p w:rsidR="00533897" w:rsidRPr="005D5694" w:rsidRDefault="00533897" w:rsidP="00533897">
      <w:pPr>
        <w:pStyle w:val="tekst"/>
      </w:pPr>
      <w:r w:rsidRPr="005D5694">
        <w:t>Ścieralność na szerokiej tarczy ściernej według PN-EN 1340 nie powinna przekraczać 20 mm /przy badaniu wykonywanym zgodnie z metodą z załącznika G/ lub 18000mm</w:t>
      </w:r>
      <w:r w:rsidRPr="005D5694">
        <w:rPr>
          <w:vertAlign w:val="superscript"/>
        </w:rPr>
        <w:t>3</w:t>
      </w:r>
      <w:r w:rsidRPr="005D5694">
        <w:t>/5000mm</w:t>
      </w:r>
      <w:r w:rsidRPr="005D5694">
        <w:rPr>
          <w:vertAlign w:val="superscript"/>
        </w:rPr>
        <w:t>2</w:t>
      </w:r>
      <w:r w:rsidRPr="005D5694">
        <w:t xml:space="preserve"> /przy badaniu wykonywanym zgodnie z metodą alternatywną na tarczy </w:t>
      </w:r>
      <w:proofErr w:type="spellStart"/>
      <w:r w:rsidRPr="005D5694">
        <w:t>Böhmego</w:t>
      </w:r>
      <w:proofErr w:type="spellEnd"/>
      <w:r w:rsidRPr="005D5694">
        <w:t xml:space="preserve"> opisaną w załączniku H/.</w:t>
      </w:r>
    </w:p>
    <w:p w:rsidR="00533897" w:rsidRPr="00533897" w:rsidRDefault="00533897" w:rsidP="00721715">
      <w:pPr>
        <w:pStyle w:val="Akapitzlist"/>
        <w:numPr>
          <w:ilvl w:val="0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533897" w:rsidRPr="00533897" w:rsidRDefault="00533897" w:rsidP="00721715">
      <w:pPr>
        <w:pStyle w:val="Akapitzlist"/>
        <w:numPr>
          <w:ilvl w:val="0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533897" w:rsidRPr="00533897" w:rsidRDefault="00533897" w:rsidP="00721715">
      <w:pPr>
        <w:pStyle w:val="Akapitzlist"/>
        <w:numPr>
          <w:ilvl w:val="1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533897" w:rsidRPr="00533897" w:rsidRDefault="00533897" w:rsidP="00721715">
      <w:pPr>
        <w:pStyle w:val="Akapitzlist"/>
        <w:numPr>
          <w:ilvl w:val="1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533897" w:rsidRPr="00533897" w:rsidRDefault="00533897" w:rsidP="00721715">
      <w:pPr>
        <w:pStyle w:val="Akapitzlist"/>
        <w:numPr>
          <w:ilvl w:val="2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533897" w:rsidRPr="005D5694" w:rsidRDefault="00533897" w:rsidP="005114AF">
      <w:pPr>
        <w:pStyle w:val="Nagwek3"/>
      </w:pPr>
      <w:r w:rsidRPr="005D5694">
        <w:t>Dopuszczalne odchyłki wymiarów obrzeży</w:t>
      </w:r>
    </w:p>
    <w:p w:rsidR="00533897" w:rsidRPr="005D5694" w:rsidRDefault="00533897" w:rsidP="00533897">
      <w:pPr>
        <w:pStyle w:val="tekst"/>
      </w:pPr>
      <w:r w:rsidRPr="005D5694">
        <w:t xml:space="preserve">Dopuszczalne odchyłki wymiarów obrzeży betonowych, zgodnie z </w:t>
      </w:r>
      <w:proofErr w:type="spellStart"/>
      <w:r w:rsidRPr="005D5694">
        <w:t>PN</w:t>
      </w:r>
      <w:r w:rsidRPr="005D5694">
        <w:noBreakHyphen/>
        <w:t>EN</w:t>
      </w:r>
      <w:proofErr w:type="spellEnd"/>
      <w:r w:rsidRPr="005D5694">
        <w:t xml:space="preserve"> 1340 powinny wynosić:</w:t>
      </w:r>
    </w:p>
    <w:p w:rsidR="00533897" w:rsidRPr="005114AF" w:rsidRDefault="00533897" w:rsidP="00533897">
      <w:pPr>
        <w:pStyle w:val="tekst"/>
        <w:numPr>
          <w:ilvl w:val="0"/>
          <w:numId w:val="5"/>
        </w:numPr>
        <w:rPr>
          <w:rFonts w:ascii="Calibri" w:hAnsi="Calibri"/>
        </w:rPr>
      </w:pPr>
      <w:r w:rsidRPr="005114AF">
        <w:rPr>
          <w:rFonts w:ascii="Calibri" w:hAnsi="Calibri"/>
        </w:rPr>
        <w:t xml:space="preserve">długość: </w:t>
      </w:r>
      <w:r w:rsidRPr="005D5694">
        <w:rPr>
          <w:rFonts w:ascii="Calibri" w:hAnsi="Calibri"/>
        </w:rPr>
        <w:sym w:font="Symbol" w:char="F0B1"/>
      </w:r>
      <w:r w:rsidRPr="005114AF">
        <w:rPr>
          <w:rFonts w:ascii="Calibri" w:hAnsi="Calibri"/>
        </w:rPr>
        <w:t xml:space="preserve"> 1% z dokładnością do milimetra, nie mniej niż 4 mm i nie więcej niż 10 </w:t>
      </w:r>
      <w:proofErr w:type="spellStart"/>
      <w:r w:rsidRPr="005114AF">
        <w:rPr>
          <w:rFonts w:ascii="Calibri" w:hAnsi="Calibri"/>
        </w:rPr>
        <w:t>mm</w:t>
      </w:r>
      <w:proofErr w:type="spellEnd"/>
      <w:r w:rsidRPr="005114AF">
        <w:rPr>
          <w:rFonts w:ascii="Calibri" w:hAnsi="Calibri"/>
        </w:rPr>
        <w:t>.</w:t>
      </w:r>
    </w:p>
    <w:p w:rsidR="00533897" w:rsidRPr="005D5694" w:rsidRDefault="00533897" w:rsidP="00721715">
      <w:pPr>
        <w:pStyle w:val="tekst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I</w:t>
      </w:r>
      <w:r w:rsidRPr="005D5694">
        <w:rPr>
          <w:rFonts w:ascii="Calibri" w:hAnsi="Calibri"/>
        </w:rPr>
        <w:t>nne wymiary z wyjątkiem promienia:</w:t>
      </w:r>
    </w:p>
    <w:p w:rsidR="00533897" w:rsidRPr="005D5694" w:rsidRDefault="00533897" w:rsidP="00721715">
      <w:pPr>
        <w:pStyle w:val="tekst"/>
        <w:numPr>
          <w:ilvl w:val="0"/>
          <w:numId w:val="4"/>
        </w:numPr>
        <w:ind w:left="714" w:hanging="357"/>
        <w:rPr>
          <w:rFonts w:ascii="Calibri" w:hAnsi="Calibri"/>
        </w:rPr>
      </w:pPr>
      <w:r w:rsidRPr="005D5694">
        <w:rPr>
          <w:rFonts w:ascii="Calibri" w:hAnsi="Calibri"/>
        </w:rPr>
        <w:t xml:space="preserve">dla powierzchni:    </w:t>
      </w:r>
      <w:r w:rsidRPr="005D5694">
        <w:rPr>
          <w:rFonts w:ascii="Calibri" w:hAnsi="Calibri"/>
        </w:rPr>
        <w:sym w:font="Symbol" w:char="F0B1"/>
      </w:r>
      <w:r w:rsidRPr="005D5694">
        <w:rPr>
          <w:rFonts w:ascii="Calibri" w:hAnsi="Calibri"/>
        </w:rPr>
        <w:t xml:space="preserve"> 3% z dokładnością do milimetra, nie mniej niż 3 mm i nie więcej niż 5 </w:t>
      </w:r>
      <w:proofErr w:type="spellStart"/>
      <w:r w:rsidRPr="005D5694">
        <w:rPr>
          <w:rFonts w:ascii="Calibri" w:hAnsi="Calibri"/>
        </w:rPr>
        <w:t>mm</w:t>
      </w:r>
      <w:proofErr w:type="spellEnd"/>
      <w:r w:rsidRPr="005D5694">
        <w:rPr>
          <w:rFonts w:ascii="Calibri" w:hAnsi="Calibri"/>
        </w:rPr>
        <w:t>.</w:t>
      </w:r>
    </w:p>
    <w:p w:rsidR="00533897" w:rsidRPr="005D5694" w:rsidRDefault="00533897" w:rsidP="00721715">
      <w:pPr>
        <w:pStyle w:val="tekst"/>
        <w:numPr>
          <w:ilvl w:val="0"/>
          <w:numId w:val="4"/>
        </w:numPr>
        <w:ind w:left="714" w:hanging="357"/>
        <w:rPr>
          <w:rFonts w:ascii="Calibri" w:hAnsi="Calibri"/>
        </w:rPr>
      </w:pPr>
      <w:r w:rsidRPr="005D5694">
        <w:rPr>
          <w:rFonts w:ascii="Calibri" w:hAnsi="Calibri"/>
        </w:rPr>
        <w:t xml:space="preserve">dla innych części:  </w:t>
      </w:r>
      <w:r w:rsidRPr="005D5694">
        <w:rPr>
          <w:rFonts w:ascii="Calibri" w:hAnsi="Calibri"/>
        </w:rPr>
        <w:sym w:font="Symbol" w:char="F0B1"/>
      </w:r>
      <w:r w:rsidRPr="005D5694">
        <w:rPr>
          <w:rFonts w:ascii="Calibri" w:hAnsi="Calibri"/>
        </w:rPr>
        <w:t xml:space="preserve"> 5% z dokładnością do milimetra, nie mniej niż 3 mm i nie więcej niż 10 </w:t>
      </w:r>
      <w:proofErr w:type="spellStart"/>
      <w:r w:rsidRPr="005D5694">
        <w:rPr>
          <w:rFonts w:ascii="Calibri" w:hAnsi="Calibri"/>
        </w:rPr>
        <w:t>mm</w:t>
      </w:r>
      <w:proofErr w:type="spellEnd"/>
      <w:r w:rsidRPr="005D5694">
        <w:rPr>
          <w:rFonts w:ascii="Calibri" w:hAnsi="Calibri"/>
        </w:rPr>
        <w:t>.</w:t>
      </w:r>
    </w:p>
    <w:p w:rsidR="00533897" w:rsidRPr="00533897" w:rsidRDefault="00533897" w:rsidP="00533897">
      <w:pPr>
        <w:pStyle w:val="tekst"/>
      </w:pPr>
      <w:r w:rsidRPr="00533897">
        <w:t xml:space="preserve">Różnica pomiędzy wynikami pomiarów tego samego wymiaru obrzeża nie powinna przekraczać 5 </w:t>
      </w:r>
      <w:proofErr w:type="spellStart"/>
      <w:r w:rsidRPr="00533897">
        <w:t>mm</w:t>
      </w:r>
      <w:proofErr w:type="spellEnd"/>
      <w:r w:rsidRPr="00533897">
        <w:t>.</w:t>
      </w:r>
    </w:p>
    <w:p w:rsidR="00533897" w:rsidRPr="005D5694" w:rsidRDefault="00533897" w:rsidP="00533897">
      <w:pPr>
        <w:pStyle w:val="tekst"/>
      </w:pPr>
      <w:r w:rsidRPr="005D5694">
        <w:t>Dla powierzchni określonych jako płaskie i dla krawędzi określonych jako proste dopuszczalne odchyłki od płaskości i prostoliniowości podano w tablicy 1.</w:t>
      </w:r>
    </w:p>
    <w:p w:rsidR="00533897" w:rsidRPr="00533897" w:rsidRDefault="00533897" w:rsidP="00533897">
      <w:pPr>
        <w:pStyle w:val="tekst"/>
        <w:jc w:val="center"/>
      </w:pPr>
      <w:r w:rsidRPr="00533897">
        <w:lastRenderedPageBreak/>
        <w:t>Tablica 1.   Dopuszczalne odchyłki płaskości i prostoliniowości</w:t>
      </w:r>
    </w:p>
    <w:tbl>
      <w:tblPr>
        <w:tblW w:w="0" w:type="auto"/>
        <w:tblInd w:w="1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08"/>
        <w:gridCol w:w="3696"/>
      </w:tblGrid>
      <w:tr w:rsidR="00533897" w:rsidRPr="005114AF" w:rsidTr="00E36BFC">
        <w:tc>
          <w:tcPr>
            <w:tcW w:w="3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t>Długość pomiarowa</w:t>
            </w:r>
          </w:p>
          <w:p w:rsidR="00533897" w:rsidRPr="005114AF" w:rsidRDefault="00533897" w:rsidP="005114AF">
            <w:pPr>
              <w:pStyle w:val="tekst"/>
              <w:rPr>
                <w:sz w:val="16"/>
              </w:rPr>
            </w:pPr>
          </w:p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t>mm</w:t>
            </w:r>
          </w:p>
        </w:tc>
        <w:tc>
          <w:tcPr>
            <w:tcW w:w="3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t>Dopuszczalna odchyłka płaskości</w:t>
            </w:r>
          </w:p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t>i prostoliniowości</w:t>
            </w:r>
          </w:p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t>mm</w:t>
            </w:r>
          </w:p>
        </w:tc>
      </w:tr>
      <w:tr w:rsidR="00533897" w:rsidRPr="005114AF" w:rsidTr="00E36BFC">
        <w:tc>
          <w:tcPr>
            <w:tcW w:w="310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t>300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sym w:font="Symbol" w:char="F0B1"/>
            </w:r>
            <w:r w:rsidRPr="005114AF">
              <w:rPr>
                <w:sz w:val="16"/>
              </w:rPr>
              <w:t xml:space="preserve"> 1,5</w:t>
            </w:r>
          </w:p>
        </w:tc>
      </w:tr>
      <w:tr w:rsidR="00533897" w:rsidRPr="005114AF" w:rsidTr="00E36BFC">
        <w:tc>
          <w:tcPr>
            <w:tcW w:w="310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t>400</w:t>
            </w:r>
          </w:p>
        </w:tc>
        <w:tc>
          <w:tcPr>
            <w:tcW w:w="369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sym w:font="Symbol" w:char="F0B1"/>
            </w:r>
            <w:r w:rsidRPr="005114AF">
              <w:rPr>
                <w:sz w:val="16"/>
              </w:rPr>
              <w:t xml:space="preserve"> 2,0</w:t>
            </w:r>
          </w:p>
        </w:tc>
      </w:tr>
      <w:tr w:rsidR="00533897" w:rsidRPr="005114AF" w:rsidTr="00E36BFC">
        <w:tc>
          <w:tcPr>
            <w:tcW w:w="310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t>500</w:t>
            </w:r>
          </w:p>
        </w:tc>
        <w:tc>
          <w:tcPr>
            <w:tcW w:w="369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sym w:font="Symbol" w:char="F0B1"/>
            </w:r>
            <w:r w:rsidRPr="005114AF">
              <w:rPr>
                <w:sz w:val="16"/>
              </w:rPr>
              <w:t xml:space="preserve"> 2,5</w:t>
            </w:r>
          </w:p>
        </w:tc>
      </w:tr>
      <w:tr w:rsidR="00533897" w:rsidRPr="005114AF" w:rsidTr="00E36BFC">
        <w:tc>
          <w:tcPr>
            <w:tcW w:w="310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t>800</w:t>
            </w:r>
          </w:p>
        </w:tc>
        <w:tc>
          <w:tcPr>
            <w:tcW w:w="369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33897" w:rsidRPr="005114AF" w:rsidRDefault="00533897" w:rsidP="005114AF">
            <w:pPr>
              <w:pStyle w:val="tekst"/>
              <w:rPr>
                <w:sz w:val="16"/>
              </w:rPr>
            </w:pPr>
            <w:r w:rsidRPr="005114AF">
              <w:rPr>
                <w:sz w:val="16"/>
              </w:rPr>
              <w:sym w:font="Symbol" w:char="F0B1"/>
            </w:r>
            <w:r w:rsidRPr="005114AF">
              <w:rPr>
                <w:sz w:val="16"/>
              </w:rPr>
              <w:t xml:space="preserve"> 4,0</w:t>
            </w:r>
          </w:p>
        </w:tc>
      </w:tr>
    </w:tbl>
    <w:p w:rsidR="005114AF" w:rsidRDefault="005114AF" w:rsidP="005114AF">
      <w:pPr>
        <w:pStyle w:val="Nagwek3"/>
        <w:numPr>
          <w:ilvl w:val="0"/>
          <w:numId w:val="0"/>
        </w:numPr>
        <w:ind w:left="1560"/>
      </w:pPr>
    </w:p>
    <w:p w:rsidR="00533897" w:rsidRPr="005D5694" w:rsidRDefault="00533897" w:rsidP="005114AF">
      <w:pPr>
        <w:pStyle w:val="Nagwek3"/>
      </w:pPr>
      <w:r w:rsidRPr="005D5694">
        <w:t>Wymagania normy PN-EN 1340 w zakresie aspektów wizualnych</w:t>
      </w:r>
    </w:p>
    <w:p w:rsidR="00533897" w:rsidRPr="005D5694" w:rsidRDefault="00533897" w:rsidP="00721715">
      <w:pPr>
        <w:pStyle w:val="tekst"/>
        <w:numPr>
          <w:ilvl w:val="0"/>
          <w:numId w:val="6"/>
        </w:numPr>
      </w:pPr>
      <w:r w:rsidRPr="005D5694">
        <w:t>Wygląd</w:t>
      </w:r>
    </w:p>
    <w:p w:rsidR="00533897" w:rsidRPr="005D5694" w:rsidRDefault="00533897" w:rsidP="00533897">
      <w:pPr>
        <w:pStyle w:val="tekst"/>
      </w:pPr>
      <w:r w:rsidRPr="005D5694">
        <w:t>Powierzchnia obrzeży oceniana zgodnie z załącznikiem J nie powinna wykazywać defektów, takich jak rysy lub odpryski.</w:t>
      </w:r>
    </w:p>
    <w:p w:rsidR="00533897" w:rsidRPr="005D5694" w:rsidRDefault="00533897" w:rsidP="00533897">
      <w:pPr>
        <w:pStyle w:val="tekst"/>
      </w:pPr>
      <w:r w:rsidRPr="005D5694">
        <w:t>W obrzeżach dwuwarstwowych, ocenianych zgodnie z załącznikiem J, nie dopuszcza się występowania rozwarstwienia.</w:t>
      </w:r>
    </w:p>
    <w:p w:rsidR="00533897" w:rsidRPr="005D5694" w:rsidRDefault="00533897" w:rsidP="00533897">
      <w:pPr>
        <w:pStyle w:val="tekst"/>
      </w:pPr>
      <w:r w:rsidRPr="005D5694">
        <w:t>UWAGA: Ewentualne wykwity nie mają szkodliwego wpływu na właściwości użytkowe obrzeży i nie są uważane za istotne.</w:t>
      </w:r>
    </w:p>
    <w:p w:rsidR="00533897" w:rsidRPr="005D5694" w:rsidRDefault="00533897" w:rsidP="00721715">
      <w:pPr>
        <w:pStyle w:val="tekst"/>
        <w:numPr>
          <w:ilvl w:val="0"/>
          <w:numId w:val="6"/>
        </w:numPr>
      </w:pPr>
      <w:r w:rsidRPr="005D5694">
        <w:t>Tekstura</w:t>
      </w:r>
    </w:p>
    <w:p w:rsidR="00533897" w:rsidRPr="005D5694" w:rsidRDefault="00533897" w:rsidP="00533897">
      <w:pPr>
        <w:pStyle w:val="tekst"/>
      </w:pPr>
      <w:r w:rsidRPr="005D5694">
        <w:t>Jeżeli obrzeża produkowane są z powierzchnią o specjalnej teksturze, to taka tekstura powinna być określona przez producenta.</w:t>
      </w:r>
    </w:p>
    <w:p w:rsidR="00533897" w:rsidRPr="005D5694" w:rsidRDefault="00533897" w:rsidP="00533897">
      <w:pPr>
        <w:pStyle w:val="tekst"/>
      </w:pPr>
      <w:r w:rsidRPr="005D5694">
        <w:t>Zgodność elementów ocenianych na podstawie załącznika J powinna być ustalona, o ile nie ma znaczących różnic tekstury, przez porównanie z próbkami dostarczonymi przez producenta i zatwierdzonymi przez odbiorcę.</w:t>
      </w:r>
    </w:p>
    <w:p w:rsidR="00533897" w:rsidRPr="005D5694" w:rsidRDefault="00533897" w:rsidP="00533897">
      <w:pPr>
        <w:pStyle w:val="tekst"/>
      </w:pPr>
      <w:r w:rsidRPr="005D5694">
        <w:t>UWAGA: Różnice w jednolitości tekstury obrzeży, które mogą być spowodowane nieuniknionymi zmianami we właściwościach surowców i warunków twardnienia, nie są uważane za istotne.</w:t>
      </w:r>
    </w:p>
    <w:p w:rsidR="00533897" w:rsidRPr="005D5694" w:rsidRDefault="00533897" w:rsidP="00721715">
      <w:pPr>
        <w:pStyle w:val="tekst"/>
        <w:numPr>
          <w:ilvl w:val="0"/>
          <w:numId w:val="6"/>
        </w:numPr>
      </w:pPr>
      <w:r w:rsidRPr="005D5694">
        <w:t>Zabarwienie</w:t>
      </w:r>
    </w:p>
    <w:p w:rsidR="00533897" w:rsidRPr="005D5694" w:rsidRDefault="00533897" w:rsidP="00533897">
      <w:pPr>
        <w:pStyle w:val="tekst"/>
      </w:pPr>
      <w:r w:rsidRPr="005D5694">
        <w:t>W zależności od decyzji producenta barwić można warstwę ścieralną lub cały element.</w:t>
      </w:r>
    </w:p>
    <w:p w:rsidR="00533897" w:rsidRPr="005D5694" w:rsidRDefault="00533897" w:rsidP="00533897">
      <w:pPr>
        <w:pStyle w:val="tekst"/>
      </w:pPr>
      <w:r w:rsidRPr="005D5694">
        <w:t>Jeśli nie ma znaczących różnic w zabarwieniu, zgodność elementów ocenianych wg załącznika J powinna być ustalona przez porównanie z próbkami dostarczonymi przez producenta i zatwierdzonymi przez odbiorcę.</w:t>
      </w:r>
    </w:p>
    <w:p w:rsidR="00533897" w:rsidRPr="005D5694" w:rsidRDefault="00533897" w:rsidP="00533897">
      <w:pPr>
        <w:pStyle w:val="tekst"/>
      </w:pPr>
      <w:r w:rsidRPr="005D5694">
        <w:t>UWAGA: Różnice w jednolitości zabarwienia obrzeży, które mogą być spowodowane nieuniknionymi zmianami właściwości surowców lub warunków dojrzewania betonu, nie są uważane za istotne.</w:t>
      </w:r>
    </w:p>
    <w:p w:rsidR="00533897" w:rsidRPr="005D5694" w:rsidRDefault="00533897" w:rsidP="005114AF">
      <w:pPr>
        <w:pStyle w:val="Nagwek3"/>
      </w:pPr>
      <w:r w:rsidRPr="005D5694">
        <w:t>Składowanie</w:t>
      </w:r>
    </w:p>
    <w:p w:rsidR="00533897" w:rsidRPr="005D5694" w:rsidRDefault="00533897" w:rsidP="00533897">
      <w:pPr>
        <w:pStyle w:val="tekst"/>
      </w:pPr>
      <w:r w:rsidRPr="005D5694">
        <w:t>Obrzeża betonowe powinny być składowane w pozycji wbudowania na otwartej przestrzeni, na podłożu wyrównanym i odwodnionym z zastosowaniem podkładek i przekładek ułożonych w pionie jedna nad drugą.</w:t>
      </w:r>
    </w:p>
    <w:p w:rsidR="00533897" w:rsidRPr="005D5694" w:rsidRDefault="00533897" w:rsidP="00533897">
      <w:pPr>
        <w:pStyle w:val="tekst"/>
      </w:pPr>
      <w:r w:rsidRPr="005D5694">
        <w:t>Wymiary przekroju poprzecznego podkładek i przekładek nie powinny być mniejsze niż: grubość 2,5 cm, szerokość 5 cm, a długość przekładek powinna być minimum 5 cm większa niż szerokość obrzeża.</w:t>
      </w:r>
    </w:p>
    <w:p w:rsidR="00533897" w:rsidRPr="005D5694" w:rsidRDefault="00533897" w:rsidP="005114AF">
      <w:pPr>
        <w:pStyle w:val="Nagwek2"/>
      </w:pPr>
      <w:r w:rsidRPr="005D5694">
        <w:t>Kruszywo</w:t>
      </w:r>
    </w:p>
    <w:p w:rsidR="00533897" w:rsidRPr="005D5694" w:rsidRDefault="00533897" w:rsidP="00FE15F8">
      <w:pPr>
        <w:pStyle w:val="tekst"/>
      </w:pPr>
      <w:r w:rsidRPr="005D5694">
        <w:t>Kruszywo na podsypkę i do wypełnienia spoin powinno odpowiadać wymaganiom norm PN-EN 13043:2004. Na podsypkę powinno się stosować piasek gatunku 1, natomiast do wypełnienia spoin przez zamulenie - piasek gatunku 1, lecz o zawartości pyłów mineralnych w granicach od 3 do 8%.</w:t>
      </w:r>
    </w:p>
    <w:p w:rsidR="00533897" w:rsidRPr="005D5694" w:rsidRDefault="00533897" w:rsidP="005114AF">
      <w:pPr>
        <w:pStyle w:val="Nagwek2"/>
      </w:pPr>
      <w:r w:rsidRPr="005D5694">
        <w:t>Cement</w:t>
      </w:r>
    </w:p>
    <w:p w:rsidR="00533897" w:rsidRPr="005D5694" w:rsidRDefault="00533897" w:rsidP="00FE15F8">
      <w:pPr>
        <w:pStyle w:val="tekst"/>
      </w:pPr>
      <w:r w:rsidRPr="005D5694">
        <w:t>Cement stosowany na podsypkę cementowo-piaskową powinien być cementem portlandzkim klasy 32,5, odpowiadający wymaganiom normy PN-EN 197-1.</w:t>
      </w:r>
    </w:p>
    <w:p w:rsidR="00533897" w:rsidRPr="005D5694" w:rsidRDefault="00533897" w:rsidP="005114AF">
      <w:pPr>
        <w:pStyle w:val="Nagwek2"/>
      </w:pPr>
      <w:r w:rsidRPr="005D5694">
        <w:lastRenderedPageBreak/>
        <w:t>Woda</w:t>
      </w:r>
    </w:p>
    <w:p w:rsidR="00533897" w:rsidRPr="00FE15F8" w:rsidRDefault="00533897" w:rsidP="00FE15F8">
      <w:pPr>
        <w:pStyle w:val="tekst"/>
      </w:pPr>
      <w:r w:rsidRPr="005D5694">
        <w:t>Woda stosowana do podsypki powinna odpowiadać wymaganiom PN-EN 1008.</w:t>
      </w:r>
    </w:p>
    <w:p w:rsidR="00533897" w:rsidRPr="005D5694" w:rsidRDefault="00533897" w:rsidP="005114AF">
      <w:pPr>
        <w:pStyle w:val="Nagwek1"/>
      </w:pPr>
      <w:r w:rsidRPr="005D5694">
        <w:t>SPRZĘT</w:t>
      </w:r>
    </w:p>
    <w:p w:rsidR="00533897" w:rsidRPr="005D5694" w:rsidRDefault="00533897" w:rsidP="005114AF">
      <w:pPr>
        <w:pStyle w:val="Nagwek2"/>
      </w:pPr>
      <w:r w:rsidRPr="005D5694">
        <w:t>Wymagania ogólne dotyczące sprzętu</w:t>
      </w:r>
    </w:p>
    <w:p w:rsidR="00533897" w:rsidRPr="005D5694" w:rsidRDefault="00533897" w:rsidP="00FE15F8">
      <w:pPr>
        <w:pStyle w:val="tekst"/>
      </w:pPr>
      <w:r w:rsidRPr="005D5694">
        <w:t>Wymagania ogólne dotyczące sprzętu podano w SST D.M.00.00.00 „Wymagania ogólne”.</w:t>
      </w:r>
    </w:p>
    <w:p w:rsidR="00533897" w:rsidRPr="005D5694" w:rsidRDefault="00533897" w:rsidP="005114AF">
      <w:pPr>
        <w:pStyle w:val="Nagwek2"/>
      </w:pPr>
      <w:r w:rsidRPr="005D5694">
        <w:t>Sprzęt do ustawiania obrzeży</w:t>
      </w:r>
    </w:p>
    <w:p w:rsidR="00533897" w:rsidRPr="005D5694" w:rsidRDefault="00533897" w:rsidP="00FE15F8">
      <w:pPr>
        <w:pStyle w:val="tekst"/>
      </w:pPr>
      <w:r w:rsidRPr="005D5694">
        <w:t>Wykonawca przystępujący do ustawiania obrzeży betonowych powinien wykazać się możliwością korzystania z następującego sprzętu:</w:t>
      </w:r>
    </w:p>
    <w:p w:rsidR="00533897" w:rsidRPr="005D5694" w:rsidRDefault="00533897" w:rsidP="00FE15F8">
      <w:pPr>
        <w:pStyle w:val="tekst"/>
        <w:spacing w:after="0"/>
      </w:pPr>
      <w:r w:rsidRPr="005D5694">
        <w:t>-  betoniarki, do przygotowywania podsypki cementowo-piaskowej,</w:t>
      </w:r>
    </w:p>
    <w:p w:rsidR="00533897" w:rsidRPr="00FE15F8" w:rsidRDefault="00533897" w:rsidP="00FE15F8">
      <w:pPr>
        <w:pStyle w:val="tekst"/>
        <w:spacing w:after="0"/>
      </w:pPr>
      <w:r w:rsidRPr="005D5694">
        <w:t>-  innego drobnego sprzętu zaakceptowanego przez Inspektora Nadzoru.</w:t>
      </w:r>
    </w:p>
    <w:p w:rsidR="00533897" w:rsidRPr="005D5694" w:rsidRDefault="00533897" w:rsidP="005114AF">
      <w:pPr>
        <w:pStyle w:val="Nagwek1"/>
      </w:pPr>
      <w:r w:rsidRPr="005D5694">
        <w:t>TRANSPORT</w:t>
      </w:r>
    </w:p>
    <w:p w:rsidR="00533897" w:rsidRPr="005D5694" w:rsidRDefault="00533897" w:rsidP="005114AF">
      <w:pPr>
        <w:pStyle w:val="Nagwek2"/>
      </w:pPr>
      <w:r w:rsidRPr="005D5694">
        <w:t>Wymagania ogólne dotyczące transportu</w:t>
      </w:r>
    </w:p>
    <w:p w:rsidR="00533897" w:rsidRPr="005D5694" w:rsidRDefault="00533897" w:rsidP="00FE15F8">
      <w:pPr>
        <w:pStyle w:val="tekst"/>
      </w:pPr>
      <w:r w:rsidRPr="005D5694">
        <w:t>Wymagania ogólne dotyczące transportu podano w SST D.M.00.00.00 „Wymagania ogólne”.</w:t>
      </w:r>
    </w:p>
    <w:p w:rsidR="00533897" w:rsidRPr="005D5694" w:rsidRDefault="00533897" w:rsidP="005114AF">
      <w:pPr>
        <w:pStyle w:val="Nagwek2"/>
      </w:pPr>
      <w:r w:rsidRPr="005D5694">
        <w:t>Transport materiałów</w:t>
      </w:r>
    </w:p>
    <w:p w:rsidR="00533897" w:rsidRPr="005D5694" w:rsidRDefault="00533897" w:rsidP="00FE15F8">
      <w:pPr>
        <w:pStyle w:val="tekst"/>
      </w:pPr>
      <w:r w:rsidRPr="005D5694">
        <w:t>Obrzeża można przewozić środkami transportu po osiągnięciu wytrzymałości minimum 0,7 średniej wytrzymałości badanej serii próbek.</w:t>
      </w:r>
    </w:p>
    <w:p w:rsidR="00533897" w:rsidRPr="005D5694" w:rsidRDefault="00533897" w:rsidP="00FE15F8">
      <w:pPr>
        <w:pStyle w:val="tekst"/>
      </w:pPr>
      <w:r w:rsidRPr="005D5694">
        <w:t>Obrzeża na środkach transportowych należy układać w pozycji pionowej z nachyleniem w kierunku jazdy. Powinny one być zabezpieczone przed przemieszczaniem się i uszkodzeniem w czasie transportu, górna warstwa nie powinna wystawać poza ściany środka transportu więcej niż 1/3 wysokości tej warstwy.</w:t>
      </w:r>
    </w:p>
    <w:p w:rsidR="00533897" w:rsidRPr="005D5694" w:rsidRDefault="00533897" w:rsidP="00FE15F8">
      <w:pPr>
        <w:pStyle w:val="tekst"/>
      </w:pPr>
      <w:r w:rsidRPr="005D5694">
        <w:t>Transport kruszywa powinien odbywać się w warunkach zabezpieczających je przed zanieczyszczeniem i zmieszaniem z innymi asortymentami kruszywa lub jego frakcjami.</w:t>
      </w:r>
    </w:p>
    <w:p w:rsidR="00533897" w:rsidRPr="005D5694" w:rsidRDefault="00533897" w:rsidP="00FE15F8">
      <w:pPr>
        <w:pStyle w:val="tekst"/>
      </w:pPr>
      <w:r w:rsidRPr="005D5694">
        <w:t>Transport cementu powinien odbywać się w warunkach zgodnych z BN-88/6731-08.</w:t>
      </w:r>
    </w:p>
    <w:p w:rsidR="00533897" w:rsidRPr="00FE15F8" w:rsidRDefault="00533897" w:rsidP="00FE15F8">
      <w:pPr>
        <w:pStyle w:val="tekst"/>
      </w:pPr>
      <w:r w:rsidRPr="005D5694">
        <w:t>Woda może być pobierana z wodociągu lub dostarczana przewoźnymi zbiornikami wody (cysternami).</w:t>
      </w:r>
    </w:p>
    <w:p w:rsidR="00533897" w:rsidRPr="005D5694" w:rsidRDefault="00533897" w:rsidP="005114AF">
      <w:pPr>
        <w:pStyle w:val="Nagwek1"/>
      </w:pPr>
      <w:r w:rsidRPr="005D5694">
        <w:t>WYKONANIE ROBÓT</w:t>
      </w:r>
    </w:p>
    <w:p w:rsidR="00533897" w:rsidRPr="005D5694" w:rsidRDefault="00533897" w:rsidP="005114AF">
      <w:pPr>
        <w:pStyle w:val="Nagwek2"/>
      </w:pPr>
      <w:r w:rsidRPr="005D5694">
        <w:t>Zasady ogólne wykonywania robót</w:t>
      </w:r>
    </w:p>
    <w:p w:rsidR="00533897" w:rsidRPr="005D5694" w:rsidRDefault="00533897" w:rsidP="00FE15F8">
      <w:pPr>
        <w:pStyle w:val="tekst"/>
      </w:pPr>
      <w:r w:rsidRPr="005D5694">
        <w:t>Zasady ogólne wykonywania robót podano w SST D.M.00.00.00 „Wymagania ogólne”.</w:t>
      </w:r>
    </w:p>
    <w:p w:rsidR="00533897" w:rsidRPr="005D5694" w:rsidRDefault="00533897" w:rsidP="00FE15F8">
      <w:pPr>
        <w:pStyle w:val="tekst"/>
      </w:pPr>
      <w:r w:rsidRPr="005D5694">
        <w:t>Wykonawca przedstawi Inspektorowi Nadzoru do akceptacji projekt organizacji i harmonogram robót, uwzględniające warunki w jakich wykonywane będą roboty związane z ustawianiem obrzeży betonowych.</w:t>
      </w:r>
    </w:p>
    <w:p w:rsidR="00533897" w:rsidRPr="005D5694" w:rsidRDefault="00533897" w:rsidP="005114AF">
      <w:pPr>
        <w:pStyle w:val="Nagwek2"/>
      </w:pPr>
      <w:r w:rsidRPr="005D5694">
        <w:t>Wykonanie koryta</w:t>
      </w:r>
    </w:p>
    <w:p w:rsidR="00533897" w:rsidRPr="005D5694" w:rsidRDefault="00533897" w:rsidP="00FE15F8">
      <w:pPr>
        <w:pStyle w:val="tekst"/>
      </w:pPr>
      <w:r w:rsidRPr="005D5694">
        <w:t>Wykop koryta pod ławy wykonywać należy zgodnie z PN-B-06050.</w:t>
      </w:r>
    </w:p>
    <w:p w:rsidR="00533897" w:rsidRPr="005D5694" w:rsidRDefault="00533897" w:rsidP="005114AF">
      <w:pPr>
        <w:pStyle w:val="Nagwek2"/>
      </w:pPr>
      <w:r w:rsidRPr="005D5694">
        <w:t>Podsypka</w:t>
      </w:r>
    </w:p>
    <w:p w:rsidR="00533897" w:rsidRPr="005D5694" w:rsidRDefault="00533897" w:rsidP="00FE15F8">
      <w:pPr>
        <w:pStyle w:val="tekst"/>
      </w:pPr>
      <w:r w:rsidRPr="005D5694">
        <w:t>Podsypkę należy wykonać jako cementowo-piaskową z kruszywa odpowiadającego wymaganiom PN-EN 12620 i cementu wg PN-EN 197-1.</w:t>
      </w:r>
    </w:p>
    <w:p w:rsidR="00533897" w:rsidRPr="005D5694" w:rsidRDefault="00533897" w:rsidP="00FE15F8">
      <w:pPr>
        <w:pStyle w:val="tekst"/>
      </w:pPr>
      <w:r w:rsidRPr="005D5694">
        <w:t xml:space="preserve">Grubość podsypki po wyprofilowaniu i zagęszczeniu powinna wynosić 5 </w:t>
      </w:r>
      <w:proofErr w:type="spellStart"/>
      <w:r w:rsidRPr="005D5694">
        <w:t>cm</w:t>
      </w:r>
      <w:proofErr w:type="spellEnd"/>
      <w:r w:rsidRPr="005D5694">
        <w:t>.</w:t>
      </w:r>
    </w:p>
    <w:p w:rsidR="00533897" w:rsidRPr="005D5694" w:rsidRDefault="00533897" w:rsidP="005114AF">
      <w:pPr>
        <w:pStyle w:val="Nagwek2"/>
      </w:pPr>
      <w:r w:rsidRPr="005D5694">
        <w:t>Ustawienie obrzeży</w:t>
      </w:r>
    </w:p>
    <w:p w:rsidR="00533897" w:rsidRPr="005D5694" w:rsidRDefault="00533897" w:rsidP="00FE15F8">
      <w:pPr>
        <w:pStyle w:val="tekst"/>
      </w:pPr>
      <w:r w:rsidRPr="005D5694">
        <w:t>Obrzeża należy ustawić na podsypce cementowo-piaskowej wykonanej zgodnie z pkt. 5.2.2.</w:t>
      </w:r>
    </w:p>
    <w:p w:rsidR="00533897" w:rsidRPr="005D5694" w:rsidRDefault="00533897" w:rsidP="00FE15F8">
      <w:pPr>
        <w:pStyle w:val="tekst"/>
      </w:pPr>
      <w:r w:rsidRPr="005D5694">
        <w:t>Tylna ścianka obrzeży od strony terenu powinna być obsypana piaskiem, żwirem lub miejscowym gruntem przepuszczalnym. Materiał, którym zostanie obsypana tylna ścianka obrzeża należy ubić.</w:t>
      </w:r>
    </w:p>
    <w:p w:rsidR="00533897" w:rsidRPr="005D5694" w:rsidRDefault="00533897" w:rsidP="00FE15F8">
      <w:pPr>
        <w:pStyle w:val="tekst"/>
      </w:pPr>
      <w:r w:rsidRPr="005D5694">
        <w:t>Na łukach można ustawiać obrzeża łukowe lub krótkie obrzeża odpowiednio docięte. Łuki o promieniu powyżej 15 m można wykonać z obrzeży prostych.</w:t>
      </w:r>
    </w:p>
    <w:p w:rsidR="00FE15F8" w:rsidRPr="00FE15F8" w:rsidRDefault="00FE15F8" w:rsidP="00721715">
      <w:pPr>
        <w:pStyle w:val="Akapitzlist"/>
        <w:numPr>
          <w:ilvl w:val="0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0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0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1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1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2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2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2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533897" w:rsidRPr="005D5694" w:rsidRDefault="00533897" w:rsidP="005114AF">
      <w:pPr>
        <w:pStyle w:val="Nagwek3"/>
      </w:pPr>
      <w:r w:rsidRPr="005D5694">
        <w:t>Wysokość obrzeża</w:t>
      </w:r>
    </w:p>
    <w:p w:rsidR="00533897" w:rsidRPr="005D5694" w:rsidRDefault="00533897" w:rsidP="00FE15F8">
      <w:pPr>
        <w:pStyle w:val="tekst"/>
      </w:pPr>
      <w:r w:rsidRPr="005D5694">
        <w:t>Wysokość obrzeża nad nawierzchnią chodnika powinna być dostosowana do wymagań Dokumentacji Projektowej lub zaleceń Inspektora Nadzoru.</w:t>
      </w:r>
    </w:p>
    <w:p w:rsidR="00533897" w:rsidRPr="005D5694" w:rsidRDefault="00533897" w:rsidP="005114AF">
      <w:pPr>
        <w:pStyle w:val="Nagwek3"/>
      </w:pPr>
      <w:r w:rsidRPr="005D5694">
        <w:t>Niweleta obrzeża</w:t>
      </w:r>
    </w:p>
    <w:p w:rsidR="00533897" w:rsidRPr="005D5694" w:rsidRDefault="00533897" w:rsidP="00FE15F8">
      <w:pPr>
        <w:pStyle w:val="tekst"/>
      </w:pPr>
      <w:r w:rsidRPr="005D5694">
        <w:t>Niweleta obrzeża powinna być zgodna z projektowaną niweletą ciągu komunikacyjnego.</w:t>
      </w:r>
    </w:p>
    <w:p w:rsidR="00533897" w:rsidRPr="005D5694" w:rsidRDefault="00533897" w:rsidP="005114AF">
      <w:pPr>
        <w:pStyle w:val="Nagwek3"/>
      </w:pPr>
      <w:r w:rsidRPr="005D5694">
        <w:t>Spoiny</w:t>
      </w:r>
    </w:p>
    <w:p w:rsidR="00533897" w:rsidRPr="00FE15F8" w:rsidRDefault="00533897" w:rsidP="00FE15F8">
      <w:pPr>
        <w:pStyle w:val="tekst"/>
      </w:pPr>
      <w:r w:rsidRPr="005D5694">
        <w:t>Spoiny nie powinny przekraczać szerokości 1 cm i powinny zostać wypełnione piaskiem na pełną ich głębokość.</w:t>
      </w:r>
    </w:p>
    <w:p w:rsidR="00533897" w:rsidRPr="005D5694" w:rsidRDefault="00533897" w:rsidP="005114AF">
      <w:pPr>
        <w:pStyle w:val="Nagwek1"/>
      </w:pPr>
      <w:r w:rsidRPr="005D5694">
        <w:t>KONTROLA JAKOŚCI ROBÓT</w:t>
      </w:r>
    </w:p>
    <w:p w:rsidR="00533897" w:rsidRPr="005D5694" w:rsidRDefault="00533897" w:rsidP="005114AF">
      <w:pPr>
        <w:pStyle w:val="Nagwek2"/>
      </w:pPr>
      <w:r w:rsidRPr="005D5694">
        <w:t>Ogólne zasady kontroli jakości robót</w:t>
      </w:r>
    </w:p>
    <w:p w:rsidR="00533897" w:rsidRPr="005D5694" w:rsidRDefault="00533897" w:rsidP="00FE15F8">
      <w:pPr>
        <w:pStyle w:val="tekst"/>
      </w:pPr>
      <w:r w:rsidRPr="005D5694">
        <w:t>Ogólne zasady kontroli jakości robót podano w SST D.M.00.00.00 „Wymagania ogólne”.</w:t>
      </w:r>
    </w:p>
    <w:p w:rsidR="00533897" w:rsidRPr="005D5694" w:rsidRDefault="00533897" w:rsidP="005114AF">
      <w:pPr>
        <w:pStyle w:val="Nagwek2"/>
      </w:pPr>
      <w:r w:rsidRPr="005D5694">
        <w:t>Kontrola przed przystąpieniem do robót</w:t>
      </w:r>
    </w:p>
    <w:p w:rsidR="00533897" w:rsidRPr="005D5694" w:rsidRDefault="00533897" w:rsidP="00FE15F8">
      <w:pPr>
        <w:pStyle w:val="tekst"/>
      </w:pPr>
      <w:r w:rsidRPr="005D5694">
        <w:t>Przed przystąpieniem do robót Wykonawca powinien uzyskać od dostawców materiałów aprobaty techniczne oraz wykonać badania materiałów przeznaczonych do wykonania robót i przedstawić ich wyniki Inspektorowi Nadzoru w celu akceptacji materiałów, zgodnie z wymaganiami podanymi w pkt. 2. niniejszej SST.</w:t>
      </w:r>
    </w:p>
    <w:p w:rsidR="00533897" w:rsidRPr="005D5694" w:rsidRDefault="00533897" w:rsidP="005114AF">
      <w:pPr>
        <w:pStyle w:val="Nagwek2"/>
      </w:pPr>
      <w:r w:rsidRPr="005D5694">
        <w:t>Kontrola w czasie wykonywania robót</w:t>
      </w:r>
    </w:p>
    <w:p w:rsidR="00533897" w:rsidRPr="005D5694" w:rsidRDefault="00533897" w:rsidP="00FE15F8">
      <w:pPr>
        <w:pStyle w:val="tekst"/>
      </w:pPr>
      <w:r w:rsidRPr="005D5694">
        <w:t>W czasie wykonywania robót Wykonawca powinien prowadzić doraźne kontrole wszystkich asortymentów robót, składających się na ogólny element.</w:t>
      </w:r>
    </w:p>
    <w:p w:rsidR="00533897" w:rsidRPr="005D5694" w:rsidRDefault="00533897" w:rsidP="00FE15F8">
      <w:pPr>
        <w:pStyle w:val="tekst"/>
      </w:pPr>
      <w:r w:rsidRPr="005D5694">
        <w:t>Kontrola obejmować powinna zgodność wykonywanych robót z Dokumentacją Projektową, ustaleniami zawartymi w pkt. 5 n/n SST oraz w zakresie badań i tolerancji wykonania robót podanych w pkt. 6.4.</w:t>
      </w:r>
    </w:p>
    <w:p w:rsidR="00533897" w:rsidRPr="005D5694" w:rsidRDefault="00533897" w:rsidP="00FE15F8">
      <w:pPr>
        <w:pStyle w:val="tekst"/>
      </w:pPr>
      <w:r w:rsidRPr="005D5694">
        <w:t>Częstotliwość kontroli powinna być uzależniona od potrzeb gwarantujących wykonanie robót zgodnie z wymaganiami, nie rzadziej jednak niż przed upływem każdego dnia roboczego.</w:t>
      </w:r>
    </w:p>
    <w:p w:rsidR="00533897" w:rsidRPr="005D5694" w:rsidRDefault="00533897" w:rsidP="005114AF">
      <w:pPr>
        <w:pStyle w:val="Nagwek2"/>
      </w:pPr>
      <w:r w:rsidRPr="005D5694">
        <w:t>Badania i pomiary w trakcie wykonywania i odbioru robót</w:t>
      </w:r>
    </w:p>
    <w:p w:rsidR="00533897" w:rsidRPr="005D5694" w:rsidRDefault="00533897" w:rsidP="00FE15F8">
      <w:pPr>
        <w:pStyle w:val="Nagwek3"/>
      </w:pPr>
      <w:r w:rsidRPr="005D5694">
        <w:t>Sprawdzenie jakości materiałów</w:t>
      </w:r>
    </w:p>
    <w:p w:rsidR="00533897" w:rsidRPr="005D5694" w:rsidRDefault="00533897" w:rsidP="00FE15F8">
      <w:pPr>
        <w:pStyle w:val="tekst"/>
      </w:pPr>
      <w:r w:rsidRPr="005D5694">
        <w:t>Sprawdzenie jakości użytych materiałów należy wykonać zgodnie z wymaganiami podanymi w pkt. 2 n/n SST.</w:t>
      </w:r>
    </w:p>
    <w:p w:rsidR="00533897" w:rsidRPr="005D5694" w:rsidRDefault="00533897" w:rsidP="00FE15F8">
      <w:pPr>
        <w:pStyle w:val="Nagwek3"/>
      </w:pPr>
      <w:r w:rsidRPr="005D5694">
        <w:t>Sprawdzenie ustawienia obrzeży</w:t>
      </w:r>
    </w:p>
    <w:p w:rsidR="00FE15F8" w:rsidRPr="00FE15F8" w:rsidRDefault="00FE15F8" w:rsidP="00721715">
      <w:pPr>
        <w:pStyle w:val="Akapitzlist"/>
        <w:numPr>
          <w:ilvl w:val="0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1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1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1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1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2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FE15F8" w:rsidRPr="00FE15F8" w:rsidRDefault="00FE15F8" w:rsidP="00721715">
      <w:pPr>
        <w:pStyle w:val="Akapitzlist"/>
        <w:numPr>
          <w:ilvl w:val="2"/>
          <w:numId w:val="2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533897" w:rsidRPr="005D5694" w:rsidRDefault="00533897" w:rsidP="005114AF">
      <w:pPr>
        <w:pStyle w:val="tekst"/>
        <w:numPr>
          <w:ilvl w:val="0"/>
          <w:numId w:val="8"/>
        </w:numPr>
      </w:pPr>
      <w:r w:rsidRPr="005D5694">
        <w:t>Sprawdzenie dopuszczalnego odchylenia linii obrzeży w planie</w:t>
      </w:r>
      <w:r w:rsidR="005114AF">
        <w:t xml:space="preserve"> i niwelety</w:t>
      </w:r>
    </w:p>
    <w:p w:rsidR="00533897" w:rsidRPr="005D5694" w:rsidRDefault="00533897" w:rsidP="005114AF">
      <w:pPr>
        <w:pStyle w:val="tekst"/>
      </w:pPr>
      <w:r w:rsidRPr="005D5694">
        <w:t xml:space="preserve">Dopuszczalne odchylenie linii obrzeży w planie od linii projektowanej nie powinno wynosić więcej niż </w:t>
      </w:r>
      <w:r w:rsidRPr="005D5694">
        <w:sym w:font="Symbol" w:char="F0B1"/>
      </w:r>
      <w:r w:rsidRPr="005D5694">
        <w:t xml:space="preserve"> 2 cm na każde 100 m ustawienia obrzeża.</w:t>
      </w:r>
    </w:p>
    <w:p w:rsidR="00533897" w:rsidRPr="005D5694" w:rsidRDefault="00533897" w:rsidP="005114AF">
      <w:pPr>
        <w:pStyle w:val="tekst"/>
      </w:pPr>
      <w:r w:rsidRPr="005D5694">
        <w:t xml:space="preserve">Dopuszczalne odchylenie niwelety górnej płaszczyzny obrzeży od niwelety projektowanej może wynosić </w:t>
      </w:r>
      <w:r w:rsidRPr="005D5694">
        <w:sym w:font="Symbol" w:char="F0B1"/>
      </w:r>
      <w:r w:rsidRPr="005D5694">
        <w:t xml:space="preserve"> 1 cm na każde 100 m badanego niwelacją ciągu obrzeża.</w:t>
      </w:r>
    </w:p>
    <w:p w:rsidR="00533897" w:rsidRPr="005D5694" w:rsidRDefault="00533897" w:rsidP="005114AF">
      <w:pPr>
        <w:pStyle w:val="tekst"/>
        <w:numPr>
          <w:ilvl w:val="0"/>
          <w:numId w:val="8"/>
        </w:numPr>
      </w:pPr>
      <w:r w:rsidRPr="005D5694">
        <w:t>Sprawdzenie górnej powierzchni obrzeży</w:t>
      </w:r>
    </w:p>
    <w:p w:rsidR="00533897" w:rsidRPr="005D5694" w:rsidRDefault="00533897" w:rsidP="005114AF">
      <w:pPr>
        <w:pStyle w:val="tekst"/>
      </w:pPr>
      <w:r w:rsidRPr="005D5694">
        <w:t>Równość górnej powierzchni obrzeży należy sprawdzać przez przyłożenie w dwóch punktach na każde 100 m obrzeża, 4-metrowej łaty.</w:t>
      </w:r>
    </w:p>
    <w:p w:rsidR="00533897" w:rsidRPr="005D5694" w:rsidRDefault="00533897" w:rsidP="005114AF">
      <w:pPr>
        <w:pStyle w:val="tekst"/>
      </w:pPr>
      <w:r w:rsidRPr="005D5694">
        <w:t xml:space="preserve">Prześwit pomiędzy górną powierzchnią obrzeża i przyłożoną łatą nie może przekraczać 12 </w:t>
      </w:r>
      <w:proofErr w:type="spellStart"/>
      <w:r w:rsidRPr="005D5694">
        <w:t>mm</w:t>
      </w:r>
      <w:proofErr w:type="spellEnd"/>
      <w:r w:rsidRPr="005D5694">
        <w:t>.</w:t>
      </w:r>
    </w:p>
    <w:p w:rsidR="00533897" w:rsidRPr="005D5694" w:rsidRDefault="00533897" w:rsidP="005114AF">
      <w:pPr>
        <w:pStyle w:val="tekst"/>
        <w:numPr>
          <w:ilvl w:val="0"/>
          <w:numId w:val="8"/>
        </w:numPr>
      </w:pPr>
      <w:r w:rsidRPr="005D5694">
        <w:t>Sprawdzenie wypełnienia spoin</w:t>
      </w:r>
    </w:p>
    <w:p w:rsidR="00533897" w:rsidRPr="00FE15F8" w:rsidRDefault="00533897" w:rsidP="005114AF">
      <w:pPr>
        <w:pStyle w:val="tekst"/>
      </w:pPr>
      <w:r w:rsidRPr="005D5694">
        <w:t>Sprawdzenie wypełnienia spoin należy badać na każde 10 m ustawionego obrzeża. Spoiny muszą być wypełnione całkowicie.</w:t>
      </w:r>
    </w:p>
    <w:p w:rsidR="00533897" w:rsidRPr="005D5694" w:rsidRDefault="00533897" w:rsidP="005114AF">
      <w:pPr>
        <w:pStyle w:val="Nagwek1"/>
      </w:pPr>
      <w:r w:rsidRPr="005D5694">
        <w:t>OBMIAR ROBÓT</w:t>
      </w:r>
    </w:p>
    <w:p w:rsidR="00533897" w:rsidRPr="005D5694" w:rsidRDefault="00533897" w:rsidP="005114AF">
      <w:pPr>
        <w:pStyle w:val="Nagwek2"/>
      </w:pPr>
      <w:r w:rsidRPr="005D5694">
        <w:t>Wymagania ogólne dotyczące obmiaru robót</w:t>
      </w:r>
    </w:p>
    <w:p w:rsidR="00533897" w:rsidRPr="005D5694" w:rsidRDefault="00533897" w:rsidP="00FE15F8">
      <w:pPr>
        <w:pStyle w:val="tekst"/>
      </w:pPr>
      <w:r w:rsidRPr="005D5694">
        <w:t>Wymagania ogólne dotyczące obmiaru robót podano w SST D.M.00.00.00 „Wymagania ogólne”.</w:t>
      </w:r>
    </w:p>
    <w:p w:rsidR="00533897" w:rsidRPr="005D5694" w:rsidRDefault="00533897" w:rsidP="005114AF">
      <w:pPr>
        <w:pStyle w:val="Nagwek2"/>
      </w:pPr>
      <w:r w:rsidRPr="005D5694">
        <w:lastRenderedPageBreak/>
        <w:t>Jednostka obmiarowa</w:t>
      </w:r>
    </w:p>
    <w:p w:rsidR="00533897" w:rsidRPr="005114AF" w:rsidRDefault="00533897" w:rsidP="005114AF">
      <w:pPr>
        <w:pStyle w:val="tekst"/>
      </w:pPr>
      <w:r w:rsidRPr="005114AF">
        <w:t>Jednostką obmiarową jest 1 m (metr) ustawionych obrzeży betonowych, na podstawie Dokumentacji Projektowej i pomiaru w terenie.</w:t>
      </w:r>
    </w:p>
    <w:p w:rsidR="00533897" w:rsidRPr="005D5694" w:rsidRDefault="00533897" w:rsidP="005114AF">
      <w:pPr>
        <w:pStyle w:val="Nagwek1"/>
      </w:pPr>
      <w:r w:rsidRPr="005D5694">
        <w:t>ODBIÓR ROBÓT</w:t>
      </w:r>
    </w:p>
    <w:p w:rsidR="00533897" w:rsidRPr="005D5694" w:rsidRDefault="00533897" w:rsidP="005114AF">
      <w:pPr>
        <w:pStyle w:val="Nagwek2"/>
      </w:pPr>
      <w:r w:rsidRPr="005D5694">
        <w:t>Ogólne zasady odbioru robót</w:t>
      </w:r>
    </w:p>
    <w:p w:rsidR="00533897" w:rsidRPr="005114AF" w:rsidRDefault="00533897" w:rsidP="005114AF">
      <w:pPr>
        <w:pStyle w:val="tekst"/>
      </w:pPr>
      <w:r w:rsidRPr="005114AF">
        <w:t>Ogólne zasady odbioru robót podano w SST D.M.00.00.00 „Wymagania ogólne”.</w:t>
      </w:r>
    </w:p>
    <w:p w:rsidR="00533897" w:rsidRPr="005114AF" w:rsidRDefault="00533897" w:rsidP="005114AF">
      <w:pPr>
        <w:pStyle w:val="tekst"/>
      </w:pPr>
      <w:r w:rsidRPr="005114AF">
        <w:t>Do odbioru Wykonawca przedstawi wszystkie deklaracje zgodności, wyniki pomiarów i badań z bieżącej kontroli materiałów i robót.</w:t>
      </w:r>
    </w:p>
    <w:p w:rsidR="00533897" w:rsidRPr="005D5694" w:rsidRDefault="00533897" w:rsidP="005114AF">
      <w:pPr>
        <w:pStyle w:val="Nagwek2"/>
      </w:pPr>
      <w:r w:rsidRPr="005D5694">
        <w:t>Rodzaje odbiorów</w:t>
      </w:r>
    </w:p>
    <w:p w:rsidR="00533897" w:rsidRPr="005D5694" w:rsidRDefault="00533897" w:rsidP="00FE15F8">
      <w:pPr>
        <w:pStyle w:val="tekst"/>
      </w:pPr>
      <w:r w:rsidRPr="005D5694">
        <w:t>Odbiór obrzeży obejmuje:</w:t>
      </w:r>
    </w:p>
    <w:p w:rsidR="00533897" w:rsidRPr="005D5694" w:rsidRDefault="00533897" w:rsidP="00FE15F8">
      <w:pPr>
        <w:pStyle w:val="tekst"/>
      </w:pPr>
      <w:r w:rsidRPr="005D5694">
        <w:t xml:space="preserve">a) </w:t>
      </w:r>
      <w:r w:rsidRPr="005D5694">
        <w:tab/>
        <w:t>odbiór ostateczny,</w:t>
      </w:r>
    </w:p>
    <w:p w:rsidR="00533897" w:rsidRPr="005D5694" w:rsidRDefault="00533897" w:rsidP="00FE15F8">
      <w:pPr>
        <w:pStyle w:val="tekst"/>
      </w:pPr>
      <w:r w:rsidRPr="005D5694">
        <w:t xml:space="preserve">b) </w:t>
      </w:r>
      <w:r w:rsidRPr="005D5694">
        <w:tab/>
        <w:t>odbiór pogwarancyjny,</w:t>
      </w:r>
    </w:p>
    <w:p w:rsidR="00533897" w:rsidRPr="00FE15F8" w:rsidRDefault="00533897" w:rsidP="00FE15F8">
      <w:pPr>
        <w:pStyle w:val="tekst"/>
      </w:pPr>
      <w:r w:rsidRPr="005D5694">
        <w:t>zgodnie z zasadami podanymi w SST D.M.00.00.00 „Wymagania ogólne”.</w:t>
      </w:r>
    </w:p>
    <w:p w:rsidR="00533897" w:rsidRPr="005D5694" w:rsidRDefault="00533897" w:rsidP="005114AF">
      <w:pPr>
        <w:pStyle w:val="Nagwek1"/>
      </w:pPr>
      <w:r w:rsidRPr="005D5694">
        <w:t>PODSTAWA PŁATNOŚCI</w:t>
      </w:r>
    </w:p>
    <w:p w:rsidR="00533897" w:rsidRPr="005D5694" w:rsidRDefault="00533897" w:rsidP="005114AF">
      <w:pPr>
        <w:pStyle w:val="Nagwek2"/>
      </w:pPr>
      <w:r w:rsidRPr="005D5694">
        <w:t>Ogólne ustalenia dotyczące podstawy płatności</w:t>
      </w:r>
    </w:p>
    <w:p w:rsidR="00533897" w:rsidRPr="005D5694" w:rsidRDefault="00533897" w:rsidP="00FE15F8">
      <w:pPr>
        <w:pStyle w:val="tekst"/>
      </w:pPr>
      <w:r w:rsidRPr="005D5694">
        <w:t>Ogólne ustalenia dotyczące podstawy płatności podano w SST D.M.00.00.00 „Wymagania ogólne”.</w:t>
      </w:r>
    </w:p>
    <w:p w:rsidR="00533897" w:rsidRPr="005D5694" w:rsidRDefault="00533897" w:rsidP="005114AF">
      <w:pPr>
        <w:pStyle w:val="Nagwek2"/>
      </w:pPr>
      <w:r w:rsidRPr="005D5694">
        <w:t>Cena jednostki obmiarowej</w:t>
      </w:r>
    </w:p>
    <w:p w:rsidR="00533897" w:rsidRPr="005D5694" w:rsidRDefault="00533897" w:rsidP="00FE15F8">
      <w:pPr>
        <w:pStyle w:val="tekst"/>
      </w:pPr>
      <w:r w:rsidRPr="005D5694">
        <w:t>Płatność za 1 m ustawionych obrzeży należy przyjmować zgodnie z obmiarem i oceną jakości wykonanych robót na podstawie wyników pomiarów i badań laboratoryjnych.</w:t>
      </w:r>
    </w:p>
    <w:p w:rsidR="00533897" w:rsidRPr="005D5694" w:rsidRDefault="00533897" w:rsidP="00FE15F8">
      <w:pPr>
        <w:pStyle w:val="tekst"/>
      </w:pPr>
      <w:r w:rsidRPr="005D5694">
        <w:t>Cena wykonania robót obejmuje:</w:t>
      </w:r>
    </w:p>
    <w:p w:rsidR="00533897" w:rsidRPr="005D5694" w:rsidRDefault="00533897" w:rsidP="00721715">
      <w:pPr>
        <w:pStyle w:val="tekst"/>
        <w:numPr>
          <w:ilvl w:val="0"/>
          <w:numId w:val="7"/>
        </w:numPr>
        <w:spacing w:after="0"/>
        <w:ind w:left="714" w:hanging="357"/>
      </w:pPr>
      <w:r w:rsidRPr="005D5694">
        <w:t>prace pomiarowe i roboty przygotowawcze,</w:t>
      </w:r>
    </w:p>
    <w:p w:rsidR="00533897" w:rsidRPr="005D5694" w:rsidRDefault="00533897" w:rsidP="00721715">
      <w:pPr>
        <w:pStyle w:val="tekst"/>
        <w:numPr>
          <w:ilvl w:val="0"/>
          <w:numId w:val="7"/>
        </w:numPr>
        <w:spacing w:after="0"/>
        <w:ind w:left="714" w:hanging="357"/>
      </w:pPr>
      <w:r w:rsidRPr="005D5694">
        <w:t>oznakowanie robót zgodnie z projektem organizacji ruchu na czas budowy wykonanym przez Wykonawcę,</w:t>
      </w:r>
    </w:p>
    <w:p w:rsidR="00533897" w:rsidRPr="005D5694" w:rsidRDefault="00533897" w:rsidP="00721715">
      <w:pPr>
        <w:pStyle w:val="tekst"/>
        <w:numPr>
          <w:ilvl w:val="0"/>
          <w:numId w:val="7"/>
        </w:numPr>
        <w:spacing w:after="0"/>
        <w:ind w:left="714" w:hanging="357"/>
      </w:pPr>
      <w:r w:rsidRPr="005D5694">
        <w:t>dostarczenie materiałów,</w:t>
      </w:r>
    </w:p>
    <w:p w:rsidR="00533897" w:rsidRPr="005D5694" w:rsidRDefault="00533897" w:rsidP="00721715">
      <w:pPr>
        <w:pStyle w:val="tekst"/>
        <w:numPr>
          <w:ilvl w:val="0"/>
          <w:numId w:val="7"/>
        </w:numPr>
        <w:spacing w:after="0"/>
        <w:ind w:left="714" w:hanging="357"/>
      </w:pPr>
      <w:r w:rsidRPr="005D5694">
        <w:t>wykonanie koryta,</w:t>
      </w:r>
    </w:p>
    <w:p w:rsidR="00533897" w:rsidRPr="005D5694" w:rsidRDefault="00533897" w:rsidP="00721715">
      <w:pPr>
        <w:pStyle w:val="tekst"/>
        <w:numPr>
          <w:ilvl w:val="0"/>
          <w:numId w:val="7"/>
        </w:numPr>
        <w:spacing w:after="0"/>
        <w:ind w:left="714" w:hanging="357"/>
      </w:pPr>
      <w:r w:rsidRPr="005D5694">
        <w:t>przygotowanie i rozścielenie podsypki piaskowej,</w:t>
      </w:r>
    </w:p>
    <w:p w:rsidR="00533897" w:rsidRPr="005D5694" w:rsidRDefault="00533897" w:rsidP="00721715">
      <w:pPr>
        <w:pStyle w:val="tekst"/>
        <w:numPr>
          <w:ilvl w:val="0"/>
          <w:numId w:val="7"/>
        </w:numPr>
        <w:spacing w:after="0"/>
        <w:ind w:left="714" w:hanging="357"/>
      </w:pPr>
      <w:r w:rsidRPr="005D5694">
        <w:t>ustawienie obrzeży,</w:t>
      </w:r>
    </w:p>
    <w:p w:rsidR="00533897" w:rsidRPr="005D5694" w:rsidRDefault="00533897" w:rsidP="00721715">
      <w:pPr>
        <w:pStyle w:val="tekst"/>
        <w:numPr>
          <w:ilvl w:val="0"/>
          <w:numId w:val="7"/>
        </w:numPr>
        <w:spacing w:after="0"/>
        <w:ind w:left="714" w:hanging="357"/>
      </w:pPr>
      <w:r w:rsidRPr="005D5694">
        <w:t>wypełnienie spoin piaskiem,</w:t>
      </w:r>
    </w:p>
    <w:p w:rsidR="00533897" w:rsidRPr="005D5694" w:rsidRDefault="00533897" w:rsidP="00721715">
      <w:pPr>
        <w:pStyle w:val="tekst"/>
        <w:numPr>
          <w:ilvl w:val="0"/>
          <w:numId w:val="7"/>
        </w:numPr>
        <w:spacing w:after="0"/>
        <w:ind w:left="714" w:hanging="357"/>
      </w:pPr>
      <w:r w:rsidRPr="005D5694">
        <w:t>obsypanie zewnętrznej ściany obrzeży gruntem wraz z jego ubiciem,</w:t>
      </w:r>
    </w:p>
    <w:p w:rsidR="00533897" w:rsidRPr="00FE15F8" w:rsidRDefault="00533897" w:rsidP="00721715">
      <w:pPr>
        <w:pStyle w:val="tekst"/>
        <w:numPr>
          <w:ilvl w:val="0"/>
          <w:numId w:val="7"/>
        </w:numPr>
        <w:spacing w:after="0"/>
        <w:ind w:left="714" w:hanging="357"/>
      </w:pPr>
      <w:r w:rsidRPr="005D5694">
        <w:t>przeprowadzenie niezbędnych pomiarów i badań laboratoryjnych.</w:t>
      </w:r>
    </w:p>
    <w:p w:rsidR="00533897" w:rsidRPr="005D5694" w:rsidRDefault="00533897" w:rsidP="005114AF">
      <w:pPr>
        <w:pStyle w:val="Nagwek1"/>
      </w:pPr>
      <w:r w:rsidRPr="005D5694">
        <w:t>PRZEPISY ZWIĄZANE</w:t>
      </w:r>
    </w:p>
    <w:p w:rsidR="00533897" w:rsidRDefault="00FE15F8" w:rsidP="005114AF">
      <w:pPr>
        <w:pStyle w:val="Nagwek2"/>
      </w:pPr>
      <w:r>
        <w:t xml:space="preserve"> </w:t>
      </w:r>
      <w:r w:rsidR="00533897" w:rsidRPr="005D5694">
        <w:t>Normy</w:t>
      </w:r>
    </w:p>
    <w:p w:rsidR="00FE15F8" w:rsidRPr="005114AF" w:rsidRDefault="00FE15F8" w:rsidP="005114AF">
      <w:pPr>
        <w:spacing w:line="240" w:lineRule="auto"/>
        <w:rPr>
          <w:sz w:val="18"/>
          <w:lang w:eastAsia="pl-PL"/>
        </w:rPr>
      </w:pPr>
      <w:r w:rsidRPr="005114AF">
        <w:rPr>
          <w:sz w:val="18"/>
          <w:lang w:eastAsia="pl-PL"/>
        </w:rPr>
        <w:t>PN B 06050</w:t>
      </w:r>
      <w:r w:rsidRPr="005114AF">
        <w:rPr>
          <w:sz w:val="18"/>
          <w:lang w:eastAsia="pl-PL"/>
        </w:rPr>
        <w:tab/>
        <w:t>Geotechnika. Roboty ziemne. Wymagania ogólne.</w:t>
      </w:r>
    </w:p>
    <w:p w:rsidR="00FE15F8" w:rsidRPr="005114AF" w:rsidRDefault="00FE15F8" w:rsidP="005114AF">
      <w:pPr>
        <w:spacing w:line="240" w:lineRule="auto"/>
        <w:rPr>
          <w:sz w:val="18"/>
          <w:lang w:eastAsia="pl-PL"/>
        </w:rPr>
      </w:pPr>
      <w:r w:rsidRPr="005114AF">
        <w:rPr>
          <w:sz w:val="18"/>
          <w:lang w:eastAsia="pl-PL"/>
        </w:rPr>
        <w:t>PN EN 206-1</w:t>
      </w:r>
      <w:r w:rsidRPr="005114AF">
        <w:rPr>
          <w:sz w:val="18"/>
          <w:lang w:eastAsia="pl-PL"/>
        </w:rPr>
        <w:tab/>
        <w:t>Beton. Część 1:Wymagania, właściwości, produkcja i zgodność.</w:t>
      </w:r>
    </w:p>
    <w:p w:rsidR="00FE15F8" w:rsidRPr="005114AF" w:rsidRDefault="00FE15F8" w:rsidP="005114AF">
      <w:pPr>
        <w:spacing w:line="240" w:lineRule="auto"/>
        <w:rPr>
          <w:sz w:val="18"/>
          <w:lang w:eastAsia="pl-PL"/>
        </w:rPr>
      </w:pPr>
      <w:r w:rsidRPr="005114AF">
        <w:rPr>
          <w:sz w:val="18"/>
          <w:lang w:eastAsia="pl-PL"/>
        </w:rPr>
        <w:t>PN-EN 12620</w:t>
      </w:r>
      <w:r w:rsidRPr="005114AF">
        <w:rPr>
          <w:sz w:val="18"/>
          <w:lang w:eastAsia="pl-PL"/>
        </w:rPr>
        <w:tab/>
        <w:t>Kruszywa do betonu.</w:t>
      </w:r>
    </w:p>
    <w:p w:rsidR="00FE15F8" w:rsidRPr="005114AF" w:rsidRDefault="00FE15F8" w:rsidP="005114AF">
      <w:pPr>
        <w:spacing w:line="240" w:lineRule="auto"/>
        <w:ind w:left="1416" w:hanging="1416"/>
        <w:rPr>
          <w:sz w:val="18"/>
          <w:lang w:eastAsia="pl-PL"/>
        </w:rPr>
      </w:pPr>
      <w:r w:rsidRPr="005114AF">
        <w:rPr>
          <w:sz w:val="18"/>
          <w:lang w:eastAsia="pl-PL"/>
        </w:rPr>
        <w:t>PN-EN 13043</w:t>
      </w:r>
      <w:r w:rsidRPr="005114AF">
        <w:rPr>
          <w:sz w:val="18"/>
          <w:lang w:eastAsia="pl-PL"/>
        </w:rPr>
        <w:tab/>
        <w:t>Kruszywa do mieszanek bitumicznych i powierzchniowych utrwaleń stosowanych na drogach, lotniskach i innych powierzchniach przeznaczonych do ruchu.</w:t>
      </w:r>
    </w:p>
    <w:p w:rsidR="00FE15F8" w:rsidRPr="005114AF" w:rsidRDefault="00FE15F8" w:rsidP="005114AF">
      <w:pPr>
        <w:spacing w:line="240" w:lineRule="auto"/>
        <w:rPr>
          <w:sz w:val="18"/>
          <w:lang w:eastAsia="pl-PL"/>
        </w:rPr>
      </w:pPr>
      <w:r w:rsidRPr="005114AF">
        <w:rPr>
          <w:sz w:val="18"/>
          <w:lang w:eastAsia="pl-PL"/>
        </w:rPr>
        <w:t>PN-EN 197-1</w:t>
      </w:r>
      <w:r w:rsidRPr="005114AF">
        <w:rPr>
          <w:sz w:val="18"/>
          <w:lang w:eastAsia="pl-PL"/>
        </w:rPr>
        <w:tab/>
        <w:t>Cement. Skład, wymagania i kryteria zgodności dotyczące cementów powszechnego użytku.</w:t>
      </w:r>
    </w:p>
    <w:p w:rsidR="00FE15F8" w:rsidRPr="005114AF" w:rsidRDefault="00FE15F8" w:rsidP="005114AF">
      <w:pPr>
        <w:spacing w:line="240" w:lineRule="auto"/>
        <w:ind w:left="1416" w:hanging="1416"/>
        <w:rPr>
          <w:sz w:val="18"/>
          <w:lang w:eastAsia="pl-PL"/>
        </w:rPr>
      </w:pPr>
      <w:r w:rsidRPr="005114AF">
        <w:rPr>
          <w:sz w:val="18"/>
          <w:lang w:eastAsia="pl-PL"/>
        </w:rPr>
        <w:t>PN EN 1008</w:t>
      </w:r>
      <w:r w:rsidRPr="005114AF">
        <w:rPr>
          <w:sz w:val="18"/>
          <w:lang w:eastAsia="pl-PL"/>
        </w:rPr>
        <w:tab/>
        <w:t xml:space="preserve">Woda </w:t>
      </w:r>
      <w:proofErr w:type="spellStart"/>
      <w:r w:rsidRPr="005114AF">
        <w:rPr>
          <w:sz w:val="18"/>
          <w:lang w:eastAsia="pl-PL"/>
        </w:rPr>
        <w:t>zarobowa</w:t>
      </w:r>
      <w:proofErr w:type="spellEnd"/>
      <w:r w:rsidRPr="005114AF">
        <w:rPr>
          <w:sz w:val="18"/>
          <w:lang w:eastAsia="pl-PL"/>
        </w:rPr>
        <w:t xml:space="preserve"> do betonu. Specyfikacja pobierania próbek, badanie i ocena przydatności wody </w:t>
      </w:r>
      <w:proofErr w:type="spellStart"/>
      <w:r w:rsidRPr="005114AF">
        <w:rPr>
          <w:sz w:val="18"/>
          <w:lang w:eastAsia="pl-PL"/>
        </w:rPr>
        <w:t>zarobowej</w:t>
      </w:r>
      <w:proofErr w:type="spellEnd"/>
      <w:r w:rsidRPr="005114AF">
        <w:rPr>
          <w:sz w:val="18"/>
          <w:lang w:eastAsia="pl-PL"/>
        </w:rPr>
        <w:t xml:space="preserve"> do betonu, w tym wody odzyskanej z procesów produkcji betonu.</w:t>
      </w:r>
    </w:p>
    <w:p w:rsidR="00FE15F8" w:rsidRPr="005114AF" w:rsidRDefault="00FE15F8" w:rsidP="005114AF">
      <w:pPr>
        <w:spacing w:line="240" w:lineRule="auto"/>
        <w:rPr>
          <w:sz w:val="18"/>
          <w:lang w:eastAsia="pl-PL"/>
        </w:rPr>
      </w:pPr>
      <w:r w:rsidRPr="005114AF">
        <w:rPr>
          <w:sz w:val="18"/>
          <w:lang w:eastAsia="pl-PL"/>
        </w:rPr>
        <w:t>PN N 03010</w:t>
      </w:r>
      <w:r w:rsidRPr="005114AF">
        <w:rPr>
          <w:sz w:val="18"/>
          <w:lang w:eastAsia="pl-PL"/>
        </w:rPr>
        <w:tab/>
        <w:t>Statystyczna kontrola jakości. Losowy wybór jednostek produktu do próbki.</w:t>
      </w:r>
    </w:p>
    <w:p w:rsidR="00FE15F8" w:rsidRPr="005114AF" w:rsidRDefault="00FE15F8" w:rsidP="005114AF">
      <w:pPr>
        <w:spacing w:line="240" w:lineRule="auto"/>
        <w:rPr>
          <w:sz w:val="18"/>
          <w:lang w:eastAsia="pl-PL"/>
        </w:rPr>
      </w:pPr>
      <w:r w:rsidRPr="005114AF">
        <w:rPr>
          <w:sz w:val="18"/>
          <w:lang w:eastAsia="pl-PL"/>
        </w:rPr>
        <w:t>PN-EN 1340</w:t>
      </w:r>
      <w:r w:rsidRPr="005114AF">
        <w:rPr>
          <w:sz w:val="18"/>
          <w:lang w:eastAsia="pl-PL"/>
        </w:rPr>
        <w:tab/>
        <w:t>Krawężniki betonowe. Wymagania i metody badań.</w:t>
      </w:r>
    </w:p>
    <w:p w:rsidR="00FE15F8" w:rsidRPr="005114AF" w:rsidRDefault="00FE15F8" w:rsidP="005114AF">
      <w:pPr>
        <w:spacing w:line="240" w:lineRule="auto"/>
        <w:rPr>
          <w:sz w:val="18"/>
          <w:lang w:eastAsia="pl-PL"/>
        </w:rPr>
      </w:pPr>
      <w:r w:rsidRPr="005114AF">
        <w:rPr>
          <w:sz w:val="18"/>
          <w:lang w:eastAsia="pl-PL"/>
        </w:rPr>
        <w:t>PN/EN 45014</w:t>
      </w:r>
      <w:r w:rsidRPr="005114AF">
        <w:rPr>
          <w:sz w:val="18"/>
          <w:lang w:eastAsia="pl-PL"/>
        </w:rPr>
        <w:tab/>
        <w:t>Ogólne kryteria dotyczące deklaracji zgodności wydawanej przez dostawców.</w:t>
      </w:r>
    </w:p>
    <w:p w:rsidR="00533897" w:rsidRPr="005D5694" w:rsidRDefault="00FE15F8" w:rsidP="005114AF">
      <w:pPr>
        <w:spacing w:line="240" w:lineRule="auto"/>
        <w:rPr>
          <w:rFonts w:ascii="Calibri" w:hAnsi="Calibri"/>
        </w:rPr>
      </w:pPr>
      <w:r w:rsidRPr="005114AF">
        <w:rPr>
          <w:sz w:val="18"/>
          <w:lang w:eastAsia="pl-PL"/>
        </w:rPr>
        <w:t>BN-88/6731-08</w:t>
      </w:r>
      <w:r w:rsidRPr="005114AF">
        <w:rPr>
          <w:sz w:val="18"/>
          <w:lang w:eastAsia="pl-PL"/>
        </w:rPr>
        <w:tab/>
        <w:t>Cement. Transport i przechowywanie.</w:t>
      </w:r>
    </w:p>
    <w:p w:rsidR="00B2228A" w:rsidRPr="00533897" w:rsidRDefault="00B2228A" w:rsidP="00533897">
      <w:pPr>
        <w:rPr>
          <w:szCs w:val="52"/>
        </w:rPr>
      </w:pPr>
    </w:p>
    <w:sectPr w:rsidR="00B2228A" w:rsidRPr="00533897" w:rsidSect="00BB64D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418" w:header="567" w:footer="373" w:gutter="0"/>
      <w:pgNumType w:start="9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1F8" w:rsidRDefault="001501F8" w:rsidP="0034676B">
      <w:pPr>
        <w:spacing w:before="0" w:line="240" w:lineRule="auto"/>
      </w:pPr>
      <w:r>
        <w:separator/>
      </w:r>
    </w:p>
  </w:endnote>
  <w:endnote w:type="continuationSeparator" w:id="0">
    <w:p w:rsidR="001501F8" w:rsidRDefault="001501F8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910803" w:rsidRDefault="00910803" w:rsidP="006A309C">
        <w:pPr>
          <w:pStyle w:val="Stopka"/>
          <w:jc w:val="right"/>
        </w:pPr>
        <w:r>
          <w:t>6</w:t>
        </w:r>
      </w:p>
    </w:sdtContent>
  </w:sdt>
  <w:p w:rsidR="00910803" w:rsidRDefault="00910803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910803" w:rsidRPr="00755A40" w:rsidRDefault="001B3260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910803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BB64D3">
          <w:rPr>
            <w:rFonts w:asciiTheme="minorHAnsi" w:hAnsiTheme="minorHAnsi" w:cstheme="minorHAnsi"/>
            <w:noProof/>
          </w:rPr>
          <w:t>103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910803" w:rsidRPr="00755A40" w:rsidRDefault="001B3260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910803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BB64D3">
          <w:rPr>
            <w:rFonts w:asciiTheme="minorHAnsi" w:hAnsiTheme="minorHAnsi" w:cstheme="minorHAnsi"/>
            <w:noProof/>
          </w:rPr>
          <w:t>98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1F8" w:rsidRDefault="001501F8" w:rsidP="0034676B">
      <w:pPr>
        <w:spacing w:before="0" w:line="240" w:lineRule="auto"/>
      </w:pPr>
      <w:r>
        <w:separator/>
      </w:r>
    </w:p>
  </w:footnote>
  <w:footnote w:type="continuationSeparator" w:id="0">
    <w:p w:rsidR="001501F8" w:rsidRDefault="001501F8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803" w:rsidRPr="0093623D" w:rsidRDefault="00910803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910803" w:rsidRPr="0093623D" w:rsidRDefault="00910803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910803" w:rsidRPr="00A75852" w:rsidRDefault="00910803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910803" w:rsidRPr="00A75852" w:rsidRDefault="00910803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803" w:rsidRPr="00CA2936" w:rsidRDefault="00910803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56917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t xml:space="preserve">                                                                                                                                  </w:t>
    </w:r>
    <w:r w:rsidRPr="00CA2936">
      <w:rPr>
        <w:rFonts w:ascii="Times New Roman" w:hAnsi="Times New Roman" w:cs="Times New Roman"/>
        <w:b/>
        <w:sz w:val="16"/>
        <w:szCs w:val="16"/>
      </w:rPr>
      <w:t>Biuro Projektów Budowlanych</w:t>
    </w:r>
  </w:p>
  <w:p w:rsidR="00910803" w:rsidRPr="00CA2936" w:rsidRDefault="00910803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tel. 723-071-098 </w:t>
    </w:r>
  </w:p>
  <w:p w:rsidR="00910803" w:rsidRPr="00CA2936" w:rsidRDefault="00910803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910803" w:rsidRPr="003D0B82" w:rsidRDefault="00910803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10C3B"/>
    <w:multiLevelType w:val="multilevel"/>
    <w:tmpl w:val="8612F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0828D5"/>
    <w:multiLevelType w:val="multilevel"/>
    <w:tmpl w:val="78D4EC38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>
    <w:nsid w:val="2A000B74"/>
    <w:multiLevelType w:val="hybridMultilevel"/>
    <w:tmpl w:val="8832534E"/>
    <w:lvl w:ilvl="0" w:tplc="6E064FE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955C0"/>
    <w:multiLevelType w:val="hybridMultilevel"/>
    <w:tmpl w:val="FABED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B22A1C"/>
    <w:multiLevelType w:val="hybridMultilevel"/>
    <w:tmpl w:val="7EAE62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22142"/>
    <w:multiLevelType w:val="hybridMultilevel"/>
    <w:tmpl w:val="1AC67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5F35D7"/>
    <w:multiLevelType w:val="hybridMultilevel"/>
    <w:tmpl w:val="2780B6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165D9"/>
    <w:multiLevelType w:val="hybridMultilevel"/>
    <w:tmpl w:val="27E0401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3B96"/>
    <w:rsid w:val="00021046"/>
    <w:rsid w:val="00021716"/>
    <w:rsid w:val="00036B8F"/>
    <w:rsid w:val="00046344"/>
    <w:rsid w:val="00046D73"/>
    <w:rsid w:val="00057894"/>
    <w:rsid w:val="00061DCC"/>
    <w:rsid w:val="00063250"/>
    <w:rsid w:val="00063D49"/>
    <w:rsid w:val="000702C6"/>
    <w:rsid w:val="0007381F"/>
    <w:rsid w:val="00082793"/>
    <w:rsid w:val="00083D58"/>
    <w:rsid w:val="000941FF"/>
    <w:rsid w:val="00094A75"/>
    <w:rsid w:val="00094CDE"/>
    <w:rsid w:val="000B2502"/>
    <w:rsid w:val="000B58D8"/>
    <w:rsid w:val="000C5787"/>
    <w:rsid w:val="000D586C"/>
    <w:rsid w:val="000E5604"/>
    <w:rsid w:val="000F0478"/>
    <w:rsid w:val="001111E2"/>
    <w:rsid w:val="0012552E"/>
    <w:rsid w:val="001255BC"/>
    <w:rsid w:val="00127840"/>
    <w:rsid w:val="001316AF"/>
    <w:rsid w:val="00132B27"/>
    <w:rsid w:val="00143F2B"/>
    <w:rsid w:val="00145242"/>
    <w:rsid w:val="001501F8"/>
    <w:rsid w:val="001705B7"/>
    <w:rsid w:val="0019073E"/>
    <w:rsid w:val="001A67F7"/>
    <w:rsid w:val="001B19D8"/>
    <w:rsid w:val="001B3260"/>
    <w:rsid w:val="001B327E"/>
    <w:rsid w:val="001B5828"/>
    <w:rsid w:val="001B70E7"/>
    <w:rsid w:val="001C7D04"/>
    <w:rsid w:val="001D4540"/>
    <w:rsid w:val="001D4EEA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175DF"/>
    <w:rsid w:val="00222371"/>
    <w:rsid w:val="00222A50"/>
    <w:rsid w:val="00250881"/>
    <w:rsid w:val="00263729"/>
    <w:rsid w:val="0027047E"/>
    <w:rsid w:val="00277BD0"/>
    <w:rsid w:val="00280879"/>
    <w:rsid w:val="002B092A"/>
    <w:rsid w:val="002B18BA"/>
    <w:rsid w:val="002B1AA9"/>
    <w:rsid w:val="002B2F40"/>
    <w:rsid w:val="002D2E6E"/>
    <w:rsid w:val="002D6258"/>
    <w:rsid w:val="002E5EFC"/>
    <w:rsid w:val="002E7FCC"/>
    <w:rsid w:val="00305A83"/>
    <w:rsid w:val="003179F2"/>
    <w:rsid w:val="003245BB"/>
    <w:rsid w:val="00344778"/>
    <w:rsid w:val="0034676B"/>
    <w:rsid w:val="00357E31"/>
    <w:rsid w:val="003607A6"/>
    <w:rsid w:val="00364D25"/>
    <w:rsid w:val="0037291C"/>
    <w:rsid w:val="00376C88"/>
    <w:rsid w:val="00382B03"/>
    <w:rsid w:val="00386559"/>
    <w:rsid w:val="003A69F9"/>
    <w:rsid w:val="003A764C"/>
    <w:rsid w:val="003A7E2E"/>
    <w:rsid w:val="003B79B7"/>
    <w:rsid w:val="003D032D"/>
    <w:rsid w:val="003D0B82"/>
    <w:rsid w:val="003E3645"/>
    <w:rsid w:val="003E37B0"/>
    <w:rsid w:val="003E3C0D"/>
    <w:rsid w:val="003E4725"/>
    <w:rsid w:val="00420680"/>
    <w:rsid w:val="004362BC"/>
    <w:rsid w:val="00437271"/>
    <w:rsid w:val="00452D20"/>
    <w:rsid w:val="0046296F"/>
    <w:rsid w:val="00464D5F"/>
    <w:rsid w:val="00465E6F"/>
    <w:rsid w:val="00472BDF"/>
    <w:rsid w:val="00472FDC"/>
    <w:rsid w:val="00477136"/>
    <w:rsid w:val="00491B6D"/>
    <w:rsid w:val="00494210"/>
    <w:rsid w:val="0049583D"/>
    <w:rsid w:val="00495DF5"/>
    <w:rsid w:val="004B3DCD"/>
    <w:rsid w:val="004B5428"/>
    <w:rsid w:val="004E208C"/>
    <w:rsid w:val="004F2BEC"/>
    <w:rsid w:val="004F32EA"/>
    <w:rsid w:val="004F4867"/>
    <w:rsid w:val="00502771"/>
    <w:rsid w:val="00506B7E"/>
    <w:rsid w:val="005114AF"/>
    <w:rsid w:val="00511F83"/>
    <w:rsid w:val="00512C9C"/>
    <w:rsid w:val="0052106C"/>
    <w:rsid w:val="00533897"/>
    <w:rsid w:val="0053500C"/>
    <w:rsid w:val="00536BBE"/>
    <w:rsid w:val="005438A4"/>
    <w:rsid w:val="00554D9E"/>
    <w:rsid w:val="0056168B"/>
    <w:rsid w:val="00561743"/>
    <w:rsid w:val="00564C5D"/>
    <w:rsid w:val="0056579D"/>
    <w:rsid w:val="00567BA5"/>
    <w:rsid w:val="00573DF5"/>
    <w:rsid w:val="005754E7"/>
    <w:rsid w:val="005911DF"/>
    <w:rsid w:val="005A26BA"/>
    <w:rsid w:val="005C47A7"/>
    <w:rsid w:val="005D42EB"/>
    <w:rsid w:val="005D71A3"/>
    <w:rsid w:val="005D7585"/>
    <w:rsid w:val="005E1819"/>
    <w:rsid w:val="005E7633"/>
    <w:rsid w:val="00602CBA"/>
    <w:rsid w:val="00617F0D"/>
    <w:rsid w:val="00625E07"/>
    <w:rsid w:val="006275B9"/>
    <w:rsid w:val="006324DE"/>
    <w:rsid w:val="006335B4"/>
    <w:rsid w:val="006418B6"/>
    <w:rsid w:val="006722CB"/>
    <w:rsid w:val="0067442A"/>
    <w:rsid w:val="006761DF"/>
    <w:rsid w:val="00683A24"/>
    <w:rsid w:val="00686229"/>
    <w:rsid w:val="006906F9"/>
    <w:rsid w:val="00695803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733E"/>
    <w:rsid w:val="006F336A"/>
    <w:rsid w:val="00706AFB"/>
    <w:rsid w:val="00710BBC"/>
    <w:rsid w:val="00721715"/>
    <w:rsid w:val="00726F91"/>
    <w:rsid w:val="00730067"/>
    <w:rsid w:val="007330FB"/>
    <w:rsid w:val="00736ADE"/>
    <w:rsid w:val="00740FCC"/>
    <w:rsid w:val="00755A40"/>
    <w:rsid w:val="00774BF5"/>
    <w:rsid w:val="007859B1"/>
    <w:rsid w:val="007A1946"/>
    <w:rsid w:val="007B1FCA"/>
    <w:rsid w:val="007C0F8E"/>
    <w:rsid w:val="007C5F46"/>
    <w:rsid w:val="007D165B"/>
    <w:rsid w:val="007E2642"/>
    <w:rsid w:val="00812C1E"/>
    <w:rsid w:val="00817D29"/>
    <w:rsid w:val="00823FB9"/>
    <w:rsid w:val="00825BF1"/>
    <w:rsid w:val="008305B5"/>
    <w:rsid w:val="008334E8"/>
    <w:rsid w:val="00833BB5"/>
    <w:rsid w:val="008437B0"/>
    <w:rsid w:val="00846208"/>
    <w:rsid w:val="008621E1"/>
    <w:rsid w:val="00874557"/>
    <w:rsid w:val="00895874"/>
    <w:rsid w:val="008B50A9"/>
    <w:rsid w:val="008B5D7C"/>
    <w:rsid w:val="008B7464"/>
    <w:rsid w:val="008C1467"/>
    <w:rsid w:val="008C5C51"/>
    <w:rsid w:val="008C5E39"/>
    <w:rsid w:val="008C60A8"/>
    <w:rsid w:val="008E2F6E"/>
    <w:rsid w:val="008E77D7"/>
    <w:rsid w:val="00910803"/>
    <w:rsid w:val="00913057"/>
    <w:rsid w:val="009159C6"/>
    <w:rsid w:val="00931314"/>
    <w:rsid w:val="00931A4E"/>
    <w:rsid w:val="009627E3"/>
    <w:rsid w:val="00962D27"/>
    <w:rsid w:val="0097556A"/>
    <w:rsid w:val="009A1BDC"/>
    <w:rsid w:val="009A7DD1"/>
    <w:rsid w:val="009B0269"/>
    <w:rsid w:val="009B292A"/>
    <w:rsid w:val="009B3B68"/>
    <w:rsid w:val="009B60EB"/>
    <w:rsid w:val="009C3F6F"/>
    <w:rsid w:val="009D227F"/>
    <w:rsid w:val="009D79CA"/>
    <w:rsid w:val="009E3A94"/>
    <w:rsid w:val="009F0A61"/>
    <w:rsid w:val="009F16D7"/>
    <w:rsid w:val="009F7209"/>
    <w:rsid w:val="00A05589"/>
    <w:rsid w:val="00A06101"/>
    <w:rsid w:val="00A12135"/>
    <w:rsid w:val="00A35AFD"/>
    <w:rsid w:val="00A548A7"/>
    <w:rsid w:val="00A6172B"/>
    <w:rsid w:val="00A63DB9"/>
    <w:rsid w:val="00A73AF3"/>
    <w:rsid w:val="00A75852"/>
    <w:rsid w:val="00A82EAD"/>
    <w:rsid w:val="00A84870"/>
    <w:rsid w:val="00AB1730"/>
    <w:rsid w:val="00AC023C"/>
    <w:rsid w:val="00AD20E9"/>
    <w:rsid w:val="00AD5D32"/>
    <w:rsid w:val="00AE391C"/>
    <w:rsid w:val="00AE4020"/>
    <w:rsid w:val="00AE5B77"/>
    <w:rsid w:val="00B06ADD"/>
    <w:rsid w:val="00B126C4"/>
    <w:rsid w:val="00B16E83"/>
    <w:rsid w:val="00B2228A"/>
    <w:rsid w:val="00B2563C"/>
    <w:rsid w:val="00B45E3A"/>
    <w:rsid w:val="00B534C3"/>
    <w:rsid w:val="00B5736F"/>
    <w:rsid w:val="00B75720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B64D3"/>
    <w:rsid w:val="00BC1D8F"/>
    <w:rsid w:val="00BC294B"/>
    <w:rsid w:val="00BC2A0D"/>
    <w:rsid w:val="00BD16A8"/>
    <w:rsid w:val="00BD1C60"/>
    <w:rsid w:val="00BD4AD4"/>
    <w:rsid w:val="00BD57FC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95747"/>
    <w:rsid w:val="00CA2936"/>
    <w:rsid w:val="00CA44A4"/>
    <w:rsid w:val="00CA5C51"/>
    <w:rsid w:val="00CB1FC6"/>
    <w:rsid w:val="00CC748C"/>
    <w:rsid w:val="00CD3FF8"/>
    <w:rsid w:val="00CE2AFA"/>
    <w:rsid w:val="00CE4ADB"/>
    <w:rsid w:val="00D02676"/>
    <w:rsid w:val="00D4056E"/>
    <w:rsid w:val="00D41B6E"/>
    <w:rsid w:val="00D552ED"/>
    <w:rsid w:val="00D601EC"/>
    <w:rsid w:val="00D646D8"/>
    <w:rsid w:val="00D718C2"/>
    <w:rsid w:val="00D87C02"/>
    <w:rsid w:val="00DA1E96"/>
    <w:rsid w:val="00DA596C"/>
    <w:rsid w:val="00DC4EFA"/>
    <w:rsid w:val="00DC56D1"/>
    <w:rsid w:val="00DE4148"/>
    <w:rsid w:val="00E0231C"/>
    <w:rsid w:val="00E11439"/>
    <w:rsid w:val="00E136F7"/>
    <w:rsid w:val="00E209FA"/>
    <w:rsid w:val="00E3761F"/>
    <w:rsid w:val="00E41016"/>
    <w:rsid w:val="00E611E4"/>
    <w:rsid w:val="00E71A06"/>
    <w:rsid w:val="00E82DBB"/>
    <w:rsid w:val="00E915AF"/>
    <w:rsid w:val="00E91659"/>
    <w:rsid w:val="00EA2375"/>
    <w:rsid w:val="00EA6E03"/>
    <w:rsid w:val="00EA7243"/>
    <w:rsid w:val="00EB3443"/>
    <w:rsid w:val="00EB6CC1"/>
    <w:rsid w:val="00EC00CC"/>
    <w:rsid w:val="00ED18DF"/>
    <w:rsid w:val="00ED60DF"/>
    <w:rsid w:val="00EE052D"/>
    <w:rsid w:val="00EF0147"/>
    <w:rsid w:val="00EF3F72"/>
    <w:rsid w:val="00F0103B"/>
    <w:rsid w:val="00F072F0"/>
    <w:rsid w:val="00F1104F"/>
    <w:rsid w:val="00F12118"/>
    <w:rsid w:val="00F24618"/>
    <w:rsid w:val="00F3155E"/>
    <w:rsid w:val="00F36332"/>
    <w:rsid w:val="00F52FE6"/>
    <w:rsid w:val="00F53771"/>
    <w:rsid w:val="00F6479F"/>
    <w:rsid w:val="00F97035"/>
    <w:rsid w:val="00FB2827"/>
    <w:rsid w:val="00FB6328"/>
    <w:rsid w:val="00FC33E1"/>
    <w:rsid w:val="00FC356F"/>
    <w:rsid w:val="00FD2AA6"/>
    <w:rsid w:val="00FE15F8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5114AF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after="120" w:line="240" w:lineRule="auto"/>
      <w:ind w:left="782" w:right="3402" w:hanging="357"/>
      <w:outlineLvl w:val="0"/>
    </w:pPr>
    <w:rPr>
      <w:rFonts w:eastAsia="Arial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114AF"/>
    <w:pPr>
      <w:keepNext/>
      <w:numPr>
        <w:ilvl w:val="1"/>
        <w:numId w:val="1"/>
      </w:numPr>
      <w:spacing w:before="120" w:after="60" w:line="240" w:lineRule="auto"/>
      <w:ind w:left="782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7381F"/>
    <w:pPr>
      <w:keepNext/>
      <w:numPr>
        <w:ilvl w:val="2"/>
        <w:numId w:val="1"/>
      </w:numPr>
      <w:tabs>
        <w:tab w:val="clear" w:pos="284"/>
      </w:tabs>
      <w:spacing w:before="0" w:line="360" w:lineRule="auto"/>
      <w:ind w:left="1560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11DF"/>
    <w:pPr>
      <w:numPr>
        <w:ilvl w:val="3"/>
        <w:numId w:val="2"/>
      </w:numPr>
      <w:spacing w:line="360" w:lineRule="auto"/>
      <w:outlineLvl w:val="3"/>
    </w:pPr>
    <w:rPr>
      <w:rFonts w:eastAsia="Arial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114AF"/>
    <w:rPr>
      <w:rFonts w:eastAsia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114AF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7381F"/>
    <w:rPr>
      <w:rFonts w:cs="Times-Roman"/>
      <w:sz w:val="20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5911DF"/>
    <w:rPr>
      <w:rFonts w:eastAsia="Arial" w:cs="Times-Roman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  <w:style w:type="paragraph" w:customStyle="1" w:styleId="Bullet">
    <w:name w:val="Bullet"/>
    <w:rsid w:val="006761DF"/>
    <w:pPr>
      <w:overflowPunct w:val="0"/>
      <w:autoSpaceDE w:val="0"/>
      <w:autoSpaceDN w:val="0"/>
      <w:adjustRightInd w:val="0"/>
      <w:spacing w:after="144" w:line="240" w:lineRule="auto"/>
      <w:ind w:left="680" w:hanging="68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BodySingle">
    <w:name w:val="Body Single"/>
    <w:rsid w:val="00533897"/>
    <w:pPr>
      <w:keepLines/>
      <w:overflowPunct w:val="0"/>
      <w:autoSpaceDE w:val="0"/>
      <w:autoSpaceDN w:val="0"/>
      <w:adjustRightInd w:val="0"/>
      <w:spacing w:before="43" w:after="100" w:line="240" w:lineRule="auto"/>
      <w:ind w:left="686" w:hanging="686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Bullet1">
    <w:name w:val="Bullet 1"/>
    <w:rsid w:val="00533897"/>
    <w:pPr>
      <w:overflowPunct w:val="0"/>
      <w:autoSpaceDE w:val="0"/>
      <w:autoSpaceDN w:val="0"/>
      <w:adjustRightInd w:val="0"/>
      <w:spacing w:after="43" w:line="240" w:lineRule="auto"/>
      <w:ind w:left="453" w:hanging="453"/>
      <w:jc w:val="both"/>
      <w:textAlignment w:val="baseline"/>
    </w:pPr>
    <w:rPr>
      <w:rFonts w:ascii="Times New Roman" w:eastAsia="Times New Roman" w:hAnsi="Times New Roman" w:cs="Times New Roman"/>
      <w:color w:val="000000"/>
      <w:spacing w:val="-12"/>
      <w:sz w:val="24"/>
      <w:szCs w:val="20"/>
      <w:lang w:eastAsia="pl-PL"/>
    </w:rPr>
  </w:style>
  <w:style w:type="paragraph" w:styleId="Tytu">
    <w:name w:val="Title"/>
    <w:basedOn w:val="Normalny"/>
    <w:link w:val="TytuZnak"/>
    <w:rsid w:val="00533897"/>
    <w:pPr>
      <w:keepNext/>
      <w:keepLines/>
      <w:tabs>
        <w:tab w:val="clear" w:pos="284"/>
      </w:tabs>
      <w:overflowPunct w:val="0"/>
      <w:autoSpaceDE w:val="0"/>
      <w:autoSpaceDN w:val="0"/>
      <w:adjustRightInd w:val="0"/>
      <w:spacing w:before="0" w:after="669" w:line="240" w:lineRule="auto"/>
      <w:ind w:left="1655" w:hanging="1655"/>
      <w:textAlignment w:val="baseline"/>
    </w:pPr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33897"/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1956B-37A3-407C-83A7-CBBD131CC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1769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16</cp:revision>
  <cp:lastPrinted>2022-09-19T09:12:00Z</cp:lastPrinted>
  <dcterms:created xsi:type="dcterms:W3CDTF">2021-09-30T09:09:00Z</dcterms:created>
  <dcterms:modified xsi:type="dcterms:W3CDTF">2022-09-19T09:13:00Z</dcterms:modified>
</cp:coreProperties>
</file>