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D6F" w:rsidRDefault="002D7D6F" w:rsidP="002D7D6F">
      <w:pPr>
        <w:spacing w:line="360" w:lineRule="auto"/>
        <w:jc w:val="center"/>
      </w:pPr>
      <w:bookmarkStart w:id="0" w:name="_GoBack"/>
      <w:bookmarkEnd w:id="0"/>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pPr>
    </w:p>
    <w:p w:rsidR="002D7D6F" w:rsidRDefault="002D7D6F" w:rsidP="002D7D6F">
      <w:pPr>
        <w:spacing w:line="360" w:lineRule="auto"/>
        <w:jc w:val="center"/>
      </w:pPr>
    </w:p>
    <w:p w:rsidR="002D7D6F" w:rsidRDefault="002D7D6F" w:rsidP="002D7D6F">
      <w:pPr>
        <w:spacing w:line="360" w:lineRule="auto"/>
        <w:jc w:val="center"/>
      </w:pPr>
    </w:p>
    <w:p w:rsidR="002D7D6F" w:rsidRPr="002E5EFC" w:rsidRDefault="002D7D6F" w:rsidP="002D7D6F">
      <w:pPr>
        <w:spacing w:line="360" w:lineRule="auto"/>
        <w:jc w:val="center"/>
      </w:pPr>
    </w:p>
    <w:p w:rsidR="002D7D6F" w:rsidRDefault="002D7D6F" w:rsidP="002D7D6F">
      <w:pPr>
        <w:spacing w:line="360" w:lineRule="auto"/>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rPr>
          <w:rFonts w:ascii="Times New Roman" w:hAnsi="Times New Roman" w:cs="Times New Roman"/>
          <w:b/>
          <w:sz w:val="52"/>
          <w:szCs w:val="52"/>
        </w:rPr>
      </w:pPr>
      <w:r w:rsidRPr="00B371A3">
        <w:rPr>
          <w:rFonts w:ascii="Times New Roman" w:hAnsi="Times New Roman" w:cs="Times New Roman"/>
          <w:b/>
          <w:sz w:val="52"/>
          <w:szCs w:val="52"/>
        </w:rPr>
        <w:t>D-07.02.01</w:t>
      </w:r>
    </w:p>
    <w:p w:rsidR="002D7D6F" w:rsidRPr="00B371A3" w:rsidRDefault="002D7D6F" w:rsidP="002D7D6F">
      <w:pPr>
        <w:spacing w:line="360" w:lineRule="auto"/>
        <w:jc w:val="center"/>
        <w:rPr>
          <w:rFonts w:ascii="Times New Roman" w:hAnsi="Times New Roman" w:cs="Times New Roman"/>
          <w:b/>
          <w:sz w:val="52"/>
          <w:szCs w:val="52"/>
        </w:rPr>
      </w:pPr>
    </w:p>
    <w:p w:rsidR="002D7D6F" w:rsidRPr="00B371A3" w:rsidRDefault="002D7D6F" w:rsidP="002D7D6F">
      <w:pPr>
        <w:spacing w:line="360" w:lineRule="auto"/>
        <w:jc w:val="center"/>
        <w:rPr>
          <w:rFonts w:ascii="Times New Roman" w:hAnsi="Times New Roman" w:cs="Times New Roman"/>
          <w:b/>
          <w:sz w:val="52"/>
          <w:szCs w:val="52"/>
        </w:rPr>
      </w:pPr>
      <w:r w:rsidRPr="00B371A3">
        <w:rPr>
          <w:rFonts w:ascii="Times New Roman" w:hAnsi="Times New Roman" w:cs="Times New Roman"/>
          <w:b/>
          <w:sz w:val="52"/>
          <w:szCs w:val="52"/>
        </w:rPr>
        <w:t>Oznakowanie pionowe</w:t>
      </w:r>
    </w:p>
    <w:p w:rsidR="002D7D6F" w:rsidRDefault="002D7D6F" w:rsidP="002D7D6F">
      <w:pPr>
        <w:spacing w:line="360" w:lineRule="auto"/>
      </w:pPr>
    </w:p>
    <w:p w:rsidR="002D7D6F" w:rsidRPr="00133390" w:rsidRDefault="002D7D6F" w:rsidP="00133390">
      <w:pPr>
        <w:pStyle w:val="Nagwek1"/>
      </w:pPr>
      <w:r>
        <w:br w:type="page"/>
      </w:r>
      <w:r w:rsidRPr="00133390">
        <w:lastRenderedPageBreak/>
        <w:t>WSTĘP</w:t>
      </w:r>
    </w:p>
    <w:p w:rsidR="002D7D6F" w:rsidRPr="00133390" w:rsidRDefault="002D7D6F" w:rsidP="00133390">
      <w:pPr>
        <w:pStyle w:val="Nagwek2"/>
      </w:pPr>
      <w:r w:rsidRPr="00133390">
        <w:t xml:space="preserve">Przedmiot SST </w:t>
      </w:r>
    </w:p>
    <w:p w:rsidR="002D7D6F" w:rsidRDefault="002D7D6F" w:rsidP="002D7D6F">
      <w:pPr>
        <w:pStyle w:val="tekst"/>
      </w:pPr>
      <w:r w:rsidRPr="00805B52">
        <w:tab/>
        <w:t>Przedmiotem niniejszej szczegółowej specyfikacji technicznej są wymagania techniczne dotyczące wykonania i odbioru robót związanych z wykonaniem oznakowania pionowego</w:t>
      </w:r>
      <w:r>
        <w:t>.</w:t>
      </w:r>
    </w:p>
    <w:p w:rsidR="002D7D6F" w:rsidRPr="005D5694" w:rsidRDefault="002D7D6F" w:rsidP="00133390">
      <w:pPr>
        <w:pStyle w:val="Nagwek2"/>
      </w:pPr>
      <w:r w:rsidRPr="005D5694">
        <w:t>Zakres stosowania SST</w:t>
      </w:r>
    </w:p>
    <w:p w:rsidR="002D7D6F" w:rsidRPr="00805B52" w:rsidRDefault="002D7D6F" w:rsidP="002D7D6F">
      <w:pPr>
        <w:pStyle w:val="tekst"/>
      </w:pPr>
      <w:r w:rsidRPr="00805B52">
        <w:t xml:space="preserve">Szczegółowa specyfikacja techniczna stanowi dokument przetargowy i kontraktowy przy zlecaniu i realizacji robót </w:t>
      </w:r>
      <w:r>
        <w:t>.</w:t>
      </w:r>
    </w:p>
    <w:p w:rsidR="002D7D6F" w:rsidRDefault="002D7D6F" w:rsidP="00133390">
      <w:pPr>
        <w:pStyle w:val="Nagwek2"/>
      </w:pPr>
      <w:r>
        <w:t xml:space="preserve">Zakres robót objętych </w:t>
      </w:r>
      <w:r>
        <w:rPr>
          <w:spacing w:val="-4"/>
        </w:rPr>
        <w:t>S</w:t>
      </w:r>
      <w:r>
        <w:t>ST</w:t>
      </w:r>
    </w:p>
    <w:p w:rsidR="002D7D6F" w:rsidRPr="00805B52" w:rsidRDefault="002D7D6F" w:rsidP="002D7D6F">
      <w:pPr>
        <w:pStyle w:val="tekst"/>
        <w:spacing w:after="0"/>
      </w:pPr>
      <w:r w:rsidRPr="00805B52">
        <w:tab/>
        <w:t xml:space="preserve">Ustalenia zawarte w niniejszej specyfikacji dotyczą zasad prowadzenia robót związanych z wykonaniem </w:t>
      </w:r>
      <w:r>
        <w:t>i </w:t>
      </w:r>
      <w:r w:rsidRPr="00805B52">
        <w:t>odbiorem oznakowania pionowego stosowanego na drogach, i obejmują:</w:t>
      </w:r>
    </w:p>
    <w:p w:rsidR="002D7D6F" w:rsidRPr="00805B52" w:rsidRDefault="002D7D6F" w:rsidP="005C4FF4">
      <w:pPr>
        <w:pStyle w:val="tekst"/>
        <w:numPr>
          <w:ilvl w:val="0"/>
          <w:numId w:val="3"/>
        </w:numPr>
        <w:spacing w:after="0"/>
        <w:ind w:left="714" w:hanging="357"/>
      </w:pPr>
      <w:r w:rsidRPr="00805B52">
        <w:t xml:space="preserve">ustawienie i przestawienie słupków i konstrukcji wsporczych do </w:t>
      </w:r>
      <w:r>
        <w:t>znaków drogowych z rur stalowych</w:t>
      </w:r>
    </w:p>
    <w:p w:rsidR="002D7D6F" w:rsidRPr="00805B52" w:rsidRDefault="002D7D6F" w:rsidP="005C4FF4">
      <w:pPr>
        <w:pStyle w:val="tekst"/>
        <w:numPr>
          <w:ilvl w:val="0"/>
          <w:numId w:val="3"/>
        </w:numPr>
        <w:spacing w:after="0"/>
        <w:ind w:left="714" w:hanging="357"/>
      </w:pPr>
      <w:r w:rsidRPr="00805B52">
        <w:t>przymocowanie tablic znaków drogowych</w:t>
      </w:r>
    </w:p>
    <w:p w:rsidR="002D7D6F" w:rsidRPr="00433A61" w:rsidRDefault="002D7D6F" w:rsidP="00133390">
      <w:pPr>
        <w:pStyle w:val="Nagwek2"/>
      </w:pPr>
      <w:r w:rsidRPr="00433A61">
        <w:t>Określenia podstawowe</w:t>
      </w:r>
    </w:p>
    <w:p w:rsidR="002D7D6F" w:rsidRPr="00805B52" w:rsidRDefault="002D7D6F" w:rsidP="005C4FF4">
      <w:pPr>
        <w:pStyle w:val="tekst"/>
        <w:numPr>
          <w:ilvl w:val="0"/>
          <w:numId w:val="4"/>
        </w:numPr>
      </w:pPr>
      <w:r w:rsidRPr="006C5ED4">
        <w:rPr>
          <w:b/>
        </w:rPr>
        <w:t>Znak pionowy</w:t>
      </w:r>
      <w:r w:rsidRPr="00805B52">
        <w:t xml:space="preserve"> - znak wykonany w postaci tarczy lub tablicy z napisami albo symbolami, zwykle umieszczony na konstrukcji wsporczej.</w:t>
      </w:r>
    </w:p>
    <w:p w:rsidR="002D7D6F" w:rsidRPr="00805B52" w:rsidRDefault="002D7D6F" w:rsidP="005C4FF4">
      <w:pPr>
        <w:pStyle w:val="tekst"/>
        <w:numPr>
          <w:ilvl w:val="0"/>
          <w:numId w:val="4"/>
        </w:numPr>
      </w:pPr>
      <w:r w:rsidRPr="006C5ED4">
        <w:rPr>
          <w:b/>
        </w:rPr>
        <w:t>Tarcza znaku</w:t>
      </w:r>
      <w:r w:rsidRPr="00805B52">
        <w:t xml:space="preserve"> - element konstrukcyjny, na powierzchni którego umieszczana jest treść znaku. Tarcza może być wykonana z różnych materiałów (stal, aluminium, tworzywa syntetyczne itp.) - jako jednolita lub składana.</w:t>
      </w:r>
    </w:p>
    <w:p w:rsidR="002D7D6F" w:rsidRPr="00805B52" w:rsidRDefault="002D7D6F" w:rsidP="005C4FF4">
      <w:pPr>
        <w:pStyle w:val="tekst"/>
        <w:numPr>
          <w:ilvl w:val="0"/>
          <w:numId w:val="4"/>
        </w:numPr>
      </w:pPr>
      <w:r w:rsidRPr="006C5ED4">
        <w:rPr>
          <w:b/>
        </w:rPr>
        <w:t>Lico znaku</w:t>
      </w:r>
      <w:r w:rsidRPr="00805B52">
        <w:t xml:space="preserve"> - przednia część znaku, służąca do podania treści znaku. Lico znaku może być wykonane jako malowane lub oklejane (folią odblaskową lub </w:t>
      </w:r>
      <w:proofErr w:type="spellStart"/>
      <w:r w:rsidRPr="00805B52">
        <w:t>nieodblaskową</w:t>
      </w:r>
      <w:proofErr w:type="spellEnd"/>
      <w:r w:rsidRPr="00805B52">
        <w:t>). W przypadkach szczególnych (znak z przejrzystych tworzyw syntetycznych) lico znaku może być zatopione w tarczy znaku.</w:t>
      </w:r>
    </w:p>
    <w:p w:rsidR="002D7D6F" w:rsidRPr="00805B52" w:rsidRDefault="002D7D6F" w:rsidP="005C4FF4">
      <w:pPr>
        <w:pStyle w:val="tekst"/>
        <w:numPr>
          <w:ilvl w:val="0"/>
          <w:numId w:val="4"/>
        </w:numPr>
      </w:pPr>
      <w:r w:rsidRPr="006C5ED4">
        <w:rPr>
          <w:b/>
        </w:rPr>
        <w:t xml:space="preserve">Znak drogowy </w:t>
      </w:r>
      <w:proofErr w:type="spellStart"/>
      <w:r w:rsidRPr="006C5ED4">
        <w:rPr>
          <w:b/>
        </w:rPr>
        <w:t>nieodblaskowy</w:t>
      </w:r>
      <w:proofErr w:type="spellEnd"/>
      <w:r w:rsidRPr="00805B52">
        <w:t xml:space="preserve"> - znak, którego lico wykonane jest z materiałów zwykłych (lico nie wykazuje właściwości odblaskowych).</w:t>
      </w:r>
    </w:p>
    <w:p w:rsidR="002D7D6F" w:rsidRPr="00805B52" w:rsidRDefault="002D7D6F" w:rsidP="005C4FF4">
      <w:pPr>
        <w:pStyle w:val="tekst"/>
        <w:numPr>
          <w:ilvl w:val="0"/>
          <w:numId w:val="4"/>
        </w:numPr>
      </w:pPr>
      <w:r w:rsidRPr="006C5ED4">
        <w:rPr>
          <w:b/>
        </w:rPr>
        <w:t>Znak drogowy odblaskowy</w:t>
      </w:r>
      <w:r w:rsidRPr="00805B52">
        <w:t xml:space="preserve"> - znak, którego lico wykazuje właściwo</w:t>
      </w:r>
      <w:r>
        <w:t>ści odblaskowe (wykonane jest z </w:t>
      </w:r>
      <w:r w:rsidRPr="00805B52">
        <w:t xml:space="preserve">materiału o odbiciu powrotnym - </w:t>
      </w:r>
      <w:proofErr w:type="spellStart"/>
      <w:r w:rsidRPr="00805B52">
        <w:t>współdrożnym</w:t>
      </w:r>
      <w:proofErr w:type="spellEnd"/>
      <w:r w:rsidRPr="00805B52">
        <w:t>).</w:t>
      </w:r>
    </w:p>
    <w:p w:rsidR="002D7D6F" w:rsidRPr="00805B52" w:rsidRDefault="002D7D6F" w:rsidP="005C4FF4">
      <w:pPr>
        <w:pStyle w:val="tekst"/>
        <w:numPr>
          <w:ilvl w:val="0"/>
          <w:numId w:val="4"/>
        </w:numPr>
      </w:pPr>
      <w:r w:rsidRPr="006C5ED4">
        <w:rPr>
          <w:b/>
        </w:rPr>
        <w:t>Konstrukcja wsporcza znaku</w:t>
      </w:r>
      <w:r w:rsidRPr="00805B52">
        <w:t>–</w:t>
      </w:r>
      <w:r>
        <w:t xml:space="preserve"> </w:t>
      </w:r>
      <w:r w:rsidRPr="00805B52">
        <w:t>każdy rodzaj konstrukcji (słupek, słup, słupy, kratownice, wysięgniki, wsporniki itp.), gwarantujący przenoszenie obciążeń zmiennych i stałyc</w:t>
      </w:r>
      <w:r>
        <w:t>h działających na konstrukcję i </w:t>
      </w:r>
      <w:r w:rsidRPr="00805B52">
        <w:t>zamontowane na niej znaki lub tablice.</w:t>
      </w:r>
    </w:p>
    <w:p w:rsidR="002D7D6F" w:rsidRPr="00805B52" w:rsidRDefault="002D7D6F" w:rsidP="005C4FF4">
      <w:pPr>
        <w:pStyle w:val="tekst"/>
        <w:numPr>
          <w:ilvl w:val="0"/>
          <w:numId w:val="4"/>
        </w:numPr>
      </w:pPr>
      <w:r w:rsidRPr="006C5ED4">
        <w:rPr>
          <w:b/>
        </w:rPr>
        <w:t>Znak drogowy prześwietlany</w:t>
      </w:r>
      <w:r w:rsidRPr="00805B52">
        <w:t xml:space="preserve"> - znak, w którym wewnętrzne źródło światła jest umieszczone pod przejrzystym licem znaku.</w:t>
      </w:r>
    </w:p>
    <w:p w:rsidR="002D7D6F" w:rsidRPr="00212A86" w:rsidRDefault="002D7D6F" w:rsidP="005C4FF4">
      <w:pPr>
        <w:pStyle w:val="tekst"/>
        <w:numPr>
          <w:ilvl w:val="0"/>
          <w:numId w:val="4"/>
        </w:numPr>
      </w:pPr>
      <w:r w:rsidRPr="006C5ED4">
        <w:rPr>
          <w:b/>
        </w:rPr>
        <w:t>Znak drogowy oświetlany</w:t>
      </w:r>
      <w:r w:rsidRPr="00805B52">
        <w:t xml:space="preserve"> - znak, którego lico jest oświetlane źródłem światła umieszczonym na zewnątrz znaku.</w:t>
      </w:r>
    </w:p>
    <w:p w:rsidR="002D7D6F" w:rsidRPr="00212A86" w:rsidRDefault="002D7D6F" w:rsidP="005C4FF4">
      <w:pPr>
        <w:pStyle w:val="tekst"/>
        <w:numPr>
          <w:ilvl w:val="0"/>
          <w:numId w:val="4"/>
        </w:numPr>
      </w:pPr>
      <w:r w:rsidRPr="006C5ED4">
        <w:rPr>
          <w:b/>
        </w:rPr>
        <w:t>Znak nowy</w:t>
      </w:r>
      <w:r w:rsidRPr="00805B52">
        <w:t xml:space="preserve"> - znak użytkowany (ustawiony na drodze) lub magazynowany w okresie do 3 miesięcy od daty produkcji.</w:t>
      </w:r>
    </w:p>
    <w:p w:rsidR="002D7D6F" w:rsidRPr="00212A86" w:rsidRDefault="002D7D6F" w:rsidP="005C4FF4">
      <w:pPr>
        <w:pStyle w:val="tekst"/>
        <w:numPr>
          <w:ilvl w:val="0"/>
          <w:numId w:val="4"/>
        </w:numPr>
      </w:pPr>
      <w:r w:rsidRPr="006C5ED4">
        <w:rPr>
          <w:b/>
        </w:rPr>
        <w:t>Znak użytkowany (eksploatowany)</w:t>
      </w:r>
      <w:r w:rsidRPr="00805B52">
        <w:t xml:space="preserve"> - znak ustawiony na drodze lub magazynowany przez okres dłuższy niż 3 miesiące od daty produkcji.</w:t>
      </w:r>
    </w:p>
    <w:p w:rsidR="002D7D6F" w:rsidRPr="00805B52" w:rsidRDefault="002D7D6F" w:rsidP="002D7D6F">
      <w:pPr>
        <w:pStyle w:val="tekst"/>
      </w:pPr>
      <w:r w:rsidRPr="00805B52">
        <w:t>Pozostałe określenia podstawowe są zgodne z obowiązującymi, od</w:t>
      </w:r>
      <w:r>
        <w:t>powiednimi polskimi normami i z </w:t>
      </w:r>
      <w:r w:rsidRPr="00805B52">
        <w:t xml:space="preserve">definicjami podanymi w ST D-M-00.00.00 „Wymagania ogólne” </w:t>
      </w:r>
      <w:proofErr w:type="spellStart"/>
      <w:r w:rsidRPr="00805B52">
        <w:t>pkt</w:t>
      </w:r>
      <w:proofErr w:type="spellEnd"/>
      <w:r w:rsidRPr="00805B52">
        <w:t xml:space="preserve"> 1.4.</w:t>
      </w:r>
    </w:p>
    <w:p w:rsidR="002D7D6F" w:rsidRPr="00433A61" w:rsidRDefault="002D7D6F" w:rsidP="00133390">
      <w:pPr>
        <w:pStyle w:val="Nagwek2"/>
      </w:pPr>
      <w:r w:rsidRPr="00433A61">
        <w:t>Ogólne wymagania dotyczące robót</w:t>
      </w:r>
    </w:p>
    <w:p w:rsidR="002D7D6F" w:rsidRPr="00433A61" w:rsidRDefault="002D7D6F" w:rsidP="002D7D6F">
      <w:pPr>
        <w:pStyle w:val="tekst"/>
      </w:pPr>
      <w:r w:rsidRPr="00805B52">
        <w:tab/>
        <w:t>Ogólne wymagania dotyczące robót podano w ST D-M.00.00.00 „Wymagania ogólne" pkt. 1.5.</w:t>
      </w:r>
    </w:p>
    <w:p w:rsidR="002D7D6F" w:rsidRDefault="002D7D6F">
      <w:pPr>
        <w:tabs>
          <w:tab w:val="clear" w:pos="284"/>
        </w:tabs>
        <w:spacing w:before="0" w:after="200" w:line="276" w:lineRule="auto"/>
        <w:jc w:val="left"/>
        <w:rPr>
          <w:rFonts w:eastAsia="Arial" w:cs="Times New Roman"/>
          <w:b/>
          <w:bCs/>
          <w:sz w:val="24"/>
          <w:szCs w:val="24"/>
          <w:lang w:eastAsia="pl-PL"/>
        </w:rPr>
      </w:pPr>
      <w:r>
        <w:br w:type="page"/>
      </w:r>
    </w:p>
    <w:p w:rsidR="002D7D6F" w:rsidRDefault="002D7D6F" w:rsidP="00133390">
      <w:pPr>
        <w:pStyle w:val="Nagwek1"/>
      </w:pPr>
      <w:r w:rsidRPr="00433A61">
        <w:lastRenderedPageBreak/>
        <w:t>MATERIAŁY</w:t>
      </w:r>
    </w:p>
    <w:p w:rsidR="002D7D6F" w:rsidRPr="002D7D6F" w:rsidRDefault="002D7D6F" w:rsidP="00133390">
      <w:pPr>
        <w:pStyle w:val="Nagwek2"/>
      </w:pPr>
      <w:r w:rsidRPr="002D7D6F">
        <w:t>Ogólne wymagania dotyczące materiałów</w:t>
      </w:r>
    </w:p>
    <w:p w:rsidR="002D7D6F" w:rsidRPr="00805B52" w:rsidRDefault="002D7D6F" w:rsidP="002D7D6F">
      <w:pPr>
        <w:pStyle w:val="tekst"/>
      </w:pPr>
      <w:r w:rsidRPr="00805B52">
        <w:tab/>
        <w:t>Ogólne wymagania dotyczące materiałów, ich pozyskiwania i składowania podano</w:t>
      </w:r>
      <w:r w:rsidRPr="00805B52">
        <w:br/>
        <w:t>w ST D-M-00.00.00 „Wymagania ogólne” pkt. 2.</w:t>
      </w:r>
    </w:p>
    <w:p w:rsidR="002D7D6F" w:rsidRDefault="002D7D6F" w:rsidP="00133390">
      <w:pPr>
        <w:pStyle w:val="Nagwek2"/>
      </w:pPr>
      <w:r>
        <w:t>Dopuszczenie do stosowania</w:t>
      </w:r>
    </w:p>
    <w:p w:rsidR="002D7D6F" w:rsidRPr="00805B52" w:rsidRDefault="002D7D6F" w:rsidP="002D7D6F">
      <w:pPr>
        <w:pStyle w:val="tekst"/>
      </w:pPr>
      <w:r w:rsidRPr="00805B52">
        <w:tab/>
        <w:t>Wszystkie materiały prefabrykowane użyte do znakowania pionowego powinny spełniać wymagania wyrobu budowlanego dopuszczonego do stosowania zgodnie z Ustawą o wyrobach budowlanych. Materiał powinien posiadać aktualny certyfikat zgodności wydany przez właś</w:t>
      </w:r>
      <w:r>
        <w:t>ciwą jednostkę oraz deklarację właściwości użytkowych</w:t>
      </w:r>
      <w:r w:rsidRPr="00805B52">
        <w:t xml:space="preserve"> producenta z normą PN-EN 12899-1</w:t>
      </w:r>
      <w:r>
        <w:t xml:space="preserve"> </w:t>
      </w:r>
      <w:r w:rsidRPr="00805B52">
        <w:t>i być oznakowany znakiem CE lub B.</w:t>
      </w:r>
    </w:p>
    <w:p w:rsidR="002D7D6F" w:rsidRPr="00805B52" w:rsidRDefault="002D7D6F" w:rsidP="002D7D6F">
      <w:pPr>
        <w:pStyle w:val="tekst"/>
      </w:pPr>
      <w:r w:rsidRPr="00805B52">
        <w:tab/>
        <w:t>Symbole i rozmiary znaków winny być wykonane zgodnie z Rozporządzeniem z dnia 3 lipca 2003 r. w sprawie szczegółowych warunków technicznych dla znaków i sygnałów drogowych oraz urządzeń bezpieczeństwa ruchu drogowego i warunków ich umieszczania na drogach oraz Dokumentacją Projektową.</w:t>
      </w:r>
    </w:p>
    <w:p w:rsidR="002D7D6F" w:rsidRPr="00805B52" w:rsidRDefault="002D7D6F" w:rsidP="002D7D6F">
      <w:pPr>
        <w:pStyle w:val="tekst"/>
      </w:pPr>
      <w:r w:rsidRPr="00805B52">
        <w:tab/>
        <w:t>Znaki drogowe powinny charakteryzować się następującymi cechami:</w:t>
      </w:r>
    </w:p>
    <w:p w:rsidR="002D7D6F" w:rsidRPr="00805B52" w:rsidRDefault="002D7D6F" w:rsidP="005C4FF4">
      <w:pPr>
        <w:pStyle w:val="tekst"/>
        <w:numPr>
          <w:ilvl w:val="0"/>
          <w:numId w:val="5"/>
        </w:numPr>
        <w:spacing w:after="0"/>
        <w:ind w:left="714" w:hanging="357"/>
      </w:pPr>
      <w:r w:rsidRPr="00805B52">
        <w:t>dobrą widocznością w dzień i w nocy, w różnych warunkach atmosferycznych,</w:t>
      </w:r>
    </w:p>
    <w:p w:rsidR="002D7D6F" w:rsidRPr="00805B52" w:rsidRDefault="002D7D6F" w:rsidP="005C4FF4">
      <w:pPr>
        <w:pStyle w:val="tekst"/>
        <w:numPr>
          <w:ilvl w:val="0"/>
          <w:numId w:val="5"/>
        </w:numPr>
        <w:spacing w:after="0"/>
        <w:ind w:left="714" w:hanging="357"/>
      </w:pPr>
      <w:r w:rsidRPr="00805B52">
        <w:t>dobrą i jednoznaczną czytelnością przekazywanej treści,</w:t>
      </w:r>
    </w:p>
    <w:p w:rsidR="002D7D6F" w:rsidRPr="00805B52" w:rsidRDefault="002D7D6F" w:rsidP="005C4FF4">
      <w:pPr>
        <w:pStyle w:val="tekst"/>
        <w:numPr>
          <w:ilvl w:val="0"/>
          <w:numId w:val="5"/>
        </w:numPr>
        <w:spacing w:after="0"/>
        <w:ind w:left="714" w:hanging="357"/>
      </w:pPr>
      <w:r w:rsidRPr="00805B52">
        <w:t>trwałością min. 10 lat (nie dotyczy znaków ustawianych czasowo).</w:t>
      </w:r>
    </w:p>
    <w:p w:rsidR="002D7D6F" w:rsidRPr="00805B52" w:rsidRDefault="002D7D6F" w:rsidP="002D7D6F">
      <w:pPr>
        <w:pStyle w:val="tekst"/>
      </w:pPr>
      <w:r w:rsidRPr="00805B52">
        <w:tab/>
        <w:t>Odwrotna strona tarczy znaku i tabliczki, jeżeli nie jest wykorzystana do umie</w:t>
      </w:r>
      <w:r>
        <w:t>szczania znaku dla jadających z </w:t>
      </w:r>
      <w:r w:rsidRPr="00805B52">
        <w:t>przeciwnego kierunku powinna zawierać dane identyfikujące producenta znaku, typ folii odblaskowej użytej do wykonania znaku, miesiąc i rok produkcji znaku.</w:t>
      </w:r>
      <w:bookmarkStart w:id="1" w:name="page127"/>
      <w:bookmarkEnd w:id="1"/>
    </w:p>
    <w:p w:rsidR="002D7D6F" w:rsidRPr="008C7FE4" w:rsidRDefault="002D7D6F" w:rsidP="00133390">
      <w:pPr>
        <w:pStyle w:val="Nagwek2"/>
      </w:pPr>
      <w:r w:rsidRPr="00433A61">
        <w:t>Materiały stosowane do fundamentów znaków</w:t>
      </w:r>
    </w:p>
    <w:p w:rsidR="002D7D6F" w:rsidRPr="00433A61" w:rsidRDefault="002D7D6F" w:rsidP="002D7D6F">
      <w:pPr>
        <w:pStyle w:val="tekst"/>
        <w:spacing w:after="0"/>
      </w:pPr>
      <w:r w:rsidRPr="00433A61">
        <w:t>Fundamenty dla zamocowania konstrukcji wsporczych znaków mogą być wykonywane jako:</w:t>
      </w:r>
    </w:p>
    <w:p w:rsidR="002D7D6F" w:rsidRPr="008C7FE4" w:rsidRDefault="002D7D6F" w:rsidP="005C4FF4">
      <w:pPr>
        <w:pStyle w:val="tekst"/>
        <w:numPr>
          <w:ilvl w:val="0"/>
          <w:numId w:val="6"/>
        </w:numPr>
        <w:spacing w:after="0"/>
        <w:ind w:left="714" w:hanging="357"/>
        <w:rPr>
          <w:rFonts w:eastAsia="Wingdings"/>
        </w:rPr>
      </w:pPr>
      <w:r w:rsidRPr="00433A61">
        <w:t>prefabrykaty betonowe,</w:t>
      </w:r>
    </w:p>
    <w:p w:rsidR="002D7D6F" w:rsidRPr="008C7FE4" w:rsidRDefault="002D7D6F" w:rsidP="005C4FF4">
      <w:pPr>
        <w:pStyle w:val="tekst"/>
        <w:numPr>
          <w:ilvl w:val="0"/>
          <w:numId w:val="6"/>
        </w:numPr>
        <w:spacing w:after="0"/>
        <w:ind w:left="714" w:hanging="357"/>
        <w:rPr>
          <w:rFonts w:eastAsia="Wingdings"/>
        </w:rPr>
      </w:pPr>
      <w:r w:rsidRPr="00433A61">
        <w:t>z betonu wykonywanego „na mokro”,</w:t>
      </w:r>
    </w:p>
    <w:p w:rsidR="002D7D6F" w:rsidRPr="008C7FE4" w:rsidRDefault="002D7D6F" w:rsidP="005C4FF4">
      <w:pPr>
        <w:pStyle w:val="tekst"/>
        <w:numPr>
          <w:ilvl w:val="0"/>
          <w:numId w:val="6"/>
        </w:numPr>
        <w:spacing w:after="0"/>
        <w:ind w:left="714" w:hanging="357"/>
        <w:rPr>
          <w:rFonts w:eastAsia="Wingdings"/>
        </w:rPr>
      </w:pPr>
      <w:r w:rsidRPr="00433A61">
        <w:t>z betonu zbrojonego,</w:t>
      </w:r>
    </w:p>
    <w:p w:rsidR="002D7D6F" w:rsidRPr="008C7FE4" w:rsidRDefault="002D7D6F" w:rsidP="00133390">
      <w:pPr>
        <w:pStyle w:val="tekst"/>
        <w:numPr>
          <w:ilvl w:val="0"/>
          <w:numId w:val="6"/>
        </w:numPr>
        <w:ind w:left="714" w:hanging="357"/>
        <w:rPr>
          <w:rFonts w:eastAsia="Wingdings"/>
        </w:rPr>
      </w:pPr>
      <w:r w:rsidRPr="00433A61">
        <w:t>inne rozwiązania zaakceptowane przez Inżyniera.</w:t>
      </w:r>
    </w:p>
    <w:p w:rsidR="002D7D6F" w:rsidRPr="005621F3" w:rsidRDefault="002D7D6F" w:rsidP="002D7D6F">
      <w:pPr>
        <w:pStyle w:val="tekst"/>
      </w:pPr>
      <w:r>
        <w:tab/>
        <w:t xml:space="preserve">Fundamenty pod konstrukcje wsporcze oznakowania kierunkowego należy wykonać z betonu lub betonu zbrojonego klasy min. C16/20 wg </w:t>
      </w:r>
      <w:r w:rsidRPr="00895147">
        <w:t>PN-EN 206-1.</w:t>
      </w:r>
      <w:r>
        <w:t xml:space="preserve"> Zbrojenia stalowe należy wykonać zgodnie z normą</w:t>
      </w:r>
      <w:r>
        <w:br/>
      </w:r>
      <w:r w:rsidRPr="00895147">
        <w:t>PN-B-03264</w:t>
      </w:r>
      <w:r>
        <w:t>. Wykonanie i osadzenie kotew fundamentowych należy wykonać zgodnie z normą</w:t>
      </w:r>
      <w:r>
        <w:br/>
      </w:r>
      <w:r w:rsidRPr="00895147">
        <w:t>PN-B-03215.</w:t>
      </w:r>
      <w:r>
        <w:t xml:space="preserve"> Posadowienie fundamentów należy wykonać na głębokość poniżej przemarzania gruntu.</w:t>
      </w:r>
    </w:p>
    <w:p w:rsidR="002D7D6F" w:rsidRPr="002D7D6F" w:rsidRDefault="002D7D6F" w:rsidP="002D7D6F">
      <w:pPr>
        <w:pStyle w:val="Nagwek3"/>
      </w:pPr>
      <w:r w:rsidRPr="002D7D6F">
        <w:t>Cement</w:t>
      </w:r>
    </w:p>
    <w:p w:rsidR="002D7D6F" w:rsidRPr="005621F3" w:rsidRDefault="002D7D6F" w:rsidP="002D7D6F">
      <w:pPr>
        <w:pStyle w:val="tekst"/>
      </w:pPr>
      <w:r>
        <w:tab/>
      </w:r>
      <w:r w:rsidRPr="00433A61">
        <w:t xml:space="preserve">Cement stosowany do betonu powinien być cementem portlandzkim klasy 32,5, odpowiadający wymaganiom </w:t>
      </w:r>
      <w:r>
        <w:t>PN-EN 197-1</w:t>
      </w:r>
      <w:r w:rsidRPr="00895147">
        <w:t>.</w:t>
      </w:r>
    </w:p>
    <w:p w:rsidR="002D7D6F" w:rsidRPr="002D7D6F" w:rsidRDefault="002D7D6F" w:rsidP="002D7D6F">
      <w:pPr>
        <w:pStyle w:val="Nagwek3"/>
      </w:pPr>
      <w:r w:rsidRPr="002D7D6F">
        <w:t>Kruszywo</w:t>
      </w:r>
    </w:p>
    <w:p w:rsidR="002D7D6F" w:rsidRPr="00433A61" w:rsidRDefault="002D7D6F" w:rsidP="002D7D6F">
      <w:pPr>
        <w:pStyle w:val="tekst"/>
      </w:pPr>
      <w:r>
        <w:tab/>
      </w:r>
      <w:r w:rsidRPr="00433A61">
        <w:t>Kruszywo stosowane do betonu powinno odpowiadać wymaganiom</w:t>
      </w:r>
      <w:r>
        <w:t xml:space="preserve"> </w:t>
      </w:r>
      <w:r w:rsidRPr="00895147">
        <w:t>PN-EN 12620.</w:t>
      </w:r>
      <w:r w:rsidRPr="00433A61">
        <w:t xml:space="preserve"> Zaleca się stosowanie kruszywa o marce nie niższej niż klasa betonu.</w:t>
      </w:r>
    </w:p>
    <w:p w:rsidR="002D7D6F" w:rsidRPr="00433A61" w:rsidRDefault="002D7D6F" w:rsidP="002D7D6F">
      <w:pPr>
        <w:pStyle w:val="Nagwek3"/>
      </w:pPr>
      <w:r>
        <w:t>Woda</w:t>
      </w:r>
    </w:p>
    <w:p w:rsidR="002D7D6F" w:rsidRDefault="002D7D6F" w:rsidP="002D7D6F">
      <w:pPr>
        <w:pStyle w:val="tekst"/>
      </w:pPr>
      <w:r>
        <w:tab/>
      </w:r>
      <w:r w:rsidRPr="00433A61">
        <w:t xml:space="preserve">Woda </w:t>
      </w:r>
      <w:r>
        <w:t>stosowana do betonu powinna spełniać wymagania</w:t>
      </w:r>
      <w:r w:rsidRPr="00433A61">
        <w:t xml:space="preserve"> normy </w:t>
      </w:r>
      <w:r w:rsidRPr="00D96EC5">
        <w:t>PN-EN 1008.</w:t>
      </w:r>
    </w:p>
    <w:p w:rsidR="002D7D6F" w:rsidRDefault="002D7D6F" w:rsidP="002D7D6F">
      <w:pPr>
        <w:pStyle w:val="Nagwek3"/>
      </w:pPr>
      <w:r>
        <w:t>Domieszki chemiczne</w:t>
      </w:r>
    </w:p>
    <w:p w:rsidR="002D7D6F" w:rsidRDefault="002D7D6F" w:rsidP="002D7D6F">
      <w:pPr>
        <w:pStyle w:val="tekst"/>
        <w:rPr>
          <w:lang w:eastAsia="pl-PL"/>
        </w:rPr>
      </w:pPr>
      <w:r>
        <w:rPr>
          <w:lang w:eastAsia="pl-PL"/>
        </w:rPr>
        <w:tab/>
        <w:t>Domieszki chemiczne do betonu powinny być stosowane jeśli przewiduje je Dokumentacja Projektowa, SST lub wskazania Inżyniera. Domieszki chemiczne powinny odpowiadać wymaganiom PN-B-23010</w:t>
      </w:r>
      <w:r w:rsidRPr="00D96EC5">
        <w:rPr>
          <w:lang w:eastAsia="pl-PL"/>
        </w:rPr>
        <w:t>.</w:t>
      </w:r>
    </w:p>
    <w:p w:rsidR="002D7D6F" w:rsidRDefault="002D7D6F" w:rsidP="002D7D6F">
      <w:pPr>
        <w:pStyle w:val="tekst"/>
        <w:rPr>
          <w:lang w:eastAsia="pl-PL"/>
        </w:rPr>
      </w:pPr>
      <w:r>
        <w:rPr>
          <w:lang w:eastAsia="pl-PL"/>
        </w:rPr>
        <w:tab/>
        <w:t>W betonie niezbrojonym zaleca się stosować domieszki napowietrzające, a w betonie zbrojonym dodatkowo domieszki uplastyczniające lub upłynniające.</w:t>
      </w:r>
    </w:p>
    <w:p w:rsidR="002D7D6F" w:rsidRPr="00433A61" w:rsidRDefault="002D7D6F" w:rsidP="00133390">
      <w:pPr>
        <w:pStyle w:val="Nagwek2"/>
      </w:pPr>
      <w:r w:rsidRPr="00433A61">
        <w:t>Konstrukcje wsporcze</w:t>
      </w:r>
    </w:p>
    <w:p w:rsidR="002D7D6F" w:rsidRPr="00433A61" w:rsidRDefault="002D7D6F" w:rsidP="002D7D6F">
      <w:pPr>
        <w:pStyle w:val="Nagwek3"/>
      </w:pPr>
      <w:r w:rsidRPr="00433A61">
        <w:t>Ogólne charakterystyki konstrukcji</w:t>
      </w:r>
    </w:p>
    <w:p w:rsidR="002D7D6F" w:rsidRPr="00433A61" w:rsidRDefault="002D7D6F" w:rsidP="002D7D6F">
      <w:pPr>
        <w:pStyle w:val="tekst"/>
      </w:pPr>
      <w:r>
        <w:tab/>
      </w:r>
      <w:r w:rsidRPr="00433A61">
        <w:t>Konstrukcje wsporcze znaków pionowych należy wykonać zgodn</w:t>
      </w:r>
      <w:r>
        <w:t xml:space="preserve">ie z Dokumentacją Projektową, uwzględniającą wymagania postawione w </w:t>
      </w:r>
      <w:r w:rsidRPr="0065729C">
        <w:t>PN-EN 12899-1.</w:t>
      </w:r>
      <w:r>
        <w:t xml:space="preserve"> W</w:t>
      </w:r>
      <w:r w:rsidRPr="00433A61">
        <w:t xml:space="preserve"> przypadku braku wystarczających ustaleń, zgodnie z propozycją Wykonawcy zaakceptowaną przez Inżyniera.</w:t>
      </w:r>
    </w:p>
    <w:p w:rsidR="002D7D6F" w:rsidRDefault="002D7D6F" w:rsidP="002D7D6F">
      <w:pPr>
        <w:pStyle w:val="tekst"/>
      </w:pPr>
      <w:r>
        <w:lastRenderedPageBreak/>
        <w:tab/>
      </w:r>
      <w:r w:rsidRPr="00433A61">
        <w:t>Konstrukcje wsporcze należy wykonać z ocynkowanych rur, zaakceptowanych przez Inżyniera.</w:t>
      </w:r>
    </w:p>
    <w:p w:rsidR="002D7D6F" w:rsidRPr="005F047B" w:rsidRDefault="002D7D6F" w:rsidP="002D7D6F">
      <w:pPr>
        <w:pStyle w:val="tekst"/>
      </w:pPr>
      <w:r w:rsidRPr="005F047B">
        <w:tab/>
        <w:t>Parametry techniczne konstrukcji uzależnione są od powierzchni montowanych znaków i tabl</w:t>
      </w:r>
      <w:r>
        <w:t>ic oraz od ilości i </w:t>
      </w:r>
      <w:r w:rsidRPr="005F047B">
        <w:t>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w:t>
      </w:r>
      <w:r>
        <w:br/>
      </w:r>
      <w:r w:rsidRPr="005F047B">
        <w:t xml:space="preserve">z </w:t>
      </w:r>
      <w:r w:rsidRPr="00D96EC5">
        <w:t>PN-EN 127</w:t>
      </w:r>
      <w:r>
        <w:t>67</w:t>
      </w:r>
      <w:r w:rsidRPr="00D96EC5">
        <w:t>.</w:t>
      </w:r>
    </w:p>
    <w:p w:rsidR="002D7D6F" w:rsidRPr="005F047B" w:rsidRDefault="002D7D6F" w:rsidP="002D7D6F">
      <w:pPr>
        <w:pStyle w:val="tekst"/>
        <w:spacing w:after="0"/>
      </w:pPr>
      <w:r>
        <w:tab/>
      </w:r>
      <w:r w:rsidRPr="005F047B">
        <w:t>Wyróżnia się trzy kategorie biernego bezpieczeństwa dla konstrukcji wsporczych:</w:t>
      </w:r>
    </w:p>
    <w:p w:rsidR="002D7D6F" w:rsidRPr="002D7D6F" w:rsidRDefault="002D7D6F" w:rsidP="005C4FF4">
      <w:pPr>
        <w:pStyle w:val="tekst"/>
        <w:numPr>
          <w:ilvl w:val="0"/>
          <w:numId w:val="7"/>
        </w:numPr>
        <w:spacing w:after="0"/>
        <w:ind w:left="714" w:hanging="357"/>
      </w:pPr>
      <w:r w:rsidRPr="002D7D6F">
        <w:t>pochłaniająca energię w wysokim stopniu (HE),</w:t>
      </w:r>
    </w:p>
    <w:p w:rsidR="002D7D6F" w:rsidRPr="002D7D6F" w:rsidRDefault="002D7D6F" w:rsidP="005C4FF4">
      <w:pPr>
        <w:pStyle w:val="tekst"/>
        <w:numPr>
          <w:ilvl w:val="0"/>
          <w:numId w:val="7"/>
        </w:numPr>
        <w:spacing w:after="0"/>
        <w:ind w:left="714" w:hanging="357"/>
      </w:pPr>
      <w:r w:rsidRPr="002D7D6F">
        <w:t>pochłaniająca energię w niskim stopniu (LE),</w:t>
      </w:r>
    </w:p>
    <w:p w:rsidR="002D7D6F" w:rsidRPr="002D7D6F" w:rsidRDefault="002D7D6F" w:rsidP="005C4FF4">
      <w:pPr>
        <w:pStyle w:val="tekst"/>
        <w:numPr>
          <w:ilvl w:val="0"/>
          <w:numId w:val="7"/>
        </w:numPr>
        <w:ind w:left="714" w:hanging="357"/>
      </w:pPr>
      <w:r w:rsidRPr="002D7D6F">
        <w:t>nie pochłaniająca energii (NE).</w:t>
      </w:r>
    </w:p>
    <w:p w:rsidR="002D7D6F" w:rsidRPr="00433A61" w:rsidRDefault="002D7D6F" w:rsidP="002D7D6F">
      <w:pPr>
        <w:pStyle w:val="Nagwek3"/>
      </w:pPr>
      <w:r w:rsidRPr="00805B52">
        <w:t>Rury</w:t>
      </w:r>
    </w:p>
    <w:p w:rsidR="002D7D6F" w:rsidRDefault="002D7D6F" w:rsidP="002D7D6F">
      <w:pPr>
        <w:pStyle w:val="tekst"/>
      </w:pPr>
      <w:r>
        <w:tab/>
      </w:r>
      <w:r w:rsidRPr="00433A61">
        <w:t xml:space="preserve">Rury powinny odpowiadać wymaganiom </w:t>
      </w:r>
      <w:r w:rsidRPr="00201A40">
        <w:t>PN-98/H-74200</w:t>
      </w:r>
      <w:r w:rsidRPr="00433A61">
        <w:t xml:space="preserve">, </w:t>
      </w:r>
      <w:r w:rsidRPr="007E39DB">
        <w:t>PN-84/H-74220</w:t>
      </w:r>
      <w:r w:rsidRPr="00433A61">
        <w:t xml:space="preserve"> lub innej normy zaakceptowanej przez Inżyniera.</w:t>
      </w:r>
    </w:p>
    <w:p w:rsidR="002D7D6F" w:rsidRPr="005F047B" w:rsidRDefault="002D7D6F" w:rsidP="002D7D6F">
      <w:pPr>
        <w:pStyle w:val="tekst"/>
      </w:pPr>
      <w:r>
        <w:tab/>
      </w:r>
      <w:r w:rsidRPr="00433A61">
        <w:t xml:space="preserve">Powierzchnia zewnętrzna i wewnętrzna rur nie powinna wykazywać wad w postaci łusek, pęknięć, zwalcowań i </w:t>
      </w:r>
      <w:proofErr w:type="spellStart"/>
      <w:r w:rsidRPr="00433A61">
        <w:t>naderwań</w:t>
      </w:r>
      <w:proofErr w:type="spellEnd"/>
      <w:r w:rsidRPr="00433A61">
        <w:t>. Dopuszczalne są nieznaczne nierówności, pojedyncze rysy wynikające z</w:t>
      </w:r>
      <w:r>
        <w:t> </w:t>
      </w:r>
      <w:r w:rsidRPr="00433A61">
        <w:t>procesu wytwarzania, mieszczące się w granicach dopuszczalnych odchyłek wymiarowych.</w:t>
      </w:r>
    </w:p>
    <w:p w:rsidR="002D7D6F" w:rsidRPr="00433A61" w:rsidRDefault="002D7D6F" w:rsidP="002D7D6F">
      <w:pPr>
        <w:pStyle w:val="tekst"/>
      </w:pPr>
      <w:r>
        <w:tab/>
      </w:r>
      <w:r w:rsidRPr="00433A61">
        <w:t>Końce rur powinny być obcięte równo i prostopadle do osi rury.</w:t>
      </w:r>
      <w:r>
        <w:t xml:space="preserve"> </w:t>
      </w:r>
      <w:r w:rsidRPr="00433A61">
        <w:t>Rury powinny być proste. Dopuszczalna miejscowa krzywizna nie powinna przekraczać 1,5 mm na 1 m długości rury.</w:t>
      </w:r>
    </w:p>
    <w:p w:rsidR="002D7D6F" w:rsidRPr="00433A61" w:rsidRDefault="002D7D6F" w:rsidP="002D7D6F">
      <w:pPr>
        <w:pStyle w:val="tekst"/>
      </w:pPr>
      <w:r>
        <w:tab/>
      </w:r>
      <w:r w:rsidRPr="00433A61">
        <w:t>Rury powinny być wykonane ze stali w gatunkach dopuszczonych przez normy (np. R 55, R 65, 18G2A</w:t>
      </w:r>
      <w:r w:rsidRPr="00D96EC5">
        <w:t>): PN-H-84023-07, PN-H-84018, PN-H-84019, PN-H-84030-02</w:t>
      </w:r>
      <w:r w:rsidRPr="00433A61">
        <w:t xml:space="preserve"> lub inne normy.</w:t>
      </w:r>
    </w:p>
    <w:p w:rsidR="002D7D6F" w:rsidRPr="00433A61" w:rsidRDefault="002D7D6F" w:rsidP="002D7D6F">
      <w:pPr>
        <w:pStyle w:val="tekst"/>
      </w:pPr>
      <w:r>
        <w:tab/>
      </w:r>
      <w:r w:rsidRPr="00433A61">
        <w:t xml:space="preserve">Do ocynkowania rur stosuje się gatunek cynku Raf według </w:t>
      </w:r>
      <w:r w:rsidRPr="002B0706">
        <w:t>PN-H-82200.</w:t>
      </w:r>
    </w:p>
    <w:p w:rsidR="002D7D6F" w:rsidRDefault="002D7D6F" w:rsidP="002D7D6F">
      <w:pPr>
        <w:pStyle w:val="tekst"/>
      </w:pPr>
      <w:r>
        <w:tab/>
      </w:r>
      <w:r w:rsidRPr="00433A61">
        <w:t>Rury powinny być dostarczone bez opakowania w wiązkach lub luzem względnie w opakowaniu uzgodnionym z Zamawiającym. Rury powinny być cechowane indywidualnie (dotyczy średnic 31,8</w:t>
      </w:r>
      <w:r>
        <w:t> </w:t>
      </w:r>
      <w:r w:rsidRPr="00433A61">
        <w:t>mm i</w:t>
      </w:r>
      <w:r>
        <w:t> </w:t>
      </w:r>
      <w:r w:rsidRPr="00433A61">
        <w:t>większych i grubości ścianek 3,2 mm i większych) lub na przywieszkach metalowych (dotyczy średnic i grubości mniejszych od wyżej wymienionych). Cechowanie na rurze lub przywieszce powinno co najmniej obejmować: znak wytwórcy, znak stali i numer wytopu.</w:t>
      </w:r>
    </w:p>
    <w:p w:rsidR="002D7D6F" w:rsidRDefault="002D7D6F" w:rsidP="002D7D6F">
      <w:pPr>
        <w:pStyle w:val="Nagwek3"/>
      </w:pPr>
      <w:r>
        <w:t>Kształtowniki</w:t>
      </w:r>
    </w:p>
    <w:p w:rsidR="002D7D6F" w:rsidRDefault="002D7D6F" w:rsidP="00677B8E">
      <w:pPr>
        <w:pStyle w:val="tekst"/>
      </w:pPr>
      <w:r>
        <w:tab/>
        <w:t xml:space="preserve">Kształtownik powinien być wykonany w technologii gięcia lub walcowania. Zaleca się, aby kształtownik wykonany był z blachy stalowej czarnej wg </w:t>
      </w:r>
      <w:r w:rsidRPr="002B0706">
        <w:t>PN-EN 10025</w:t>
      </w:r>
      <w:r>
        <w:t>.</w:t>
      </w:r>
    </w:p>
    <w:p w:rsidR="002D7D6F" w:rsidRDefault="002D7D6F" w:rsidP="00677B8E">
      <w:pPr>
        <w:pStyle w:val="tekst"/>
      </w:pPr>
      <w:r>
        <w:tab/>
        <w:t>Pożądane jest, aby kształtowniki były dostarczone o długościach:</w:t>
      </w:r>
    </w:p>
    <w:p w:rsidR="002D7D6F" w:rsidRDefault="002D7D6F" w:rsidP="005C4FF4">
      <w:pPr>
        <w:pStyle w:val="tekst"/>
        <w:numPr>
          <w:ilvl w:val="0"/>
          <w:numId w:val="8"/>
        </w:numPr>
        <w:spacing w:after="0"/>
        <w:ind w:left="714" w:hanging="357"/>
      </w:pPr>
      <w:r>
        <w:t>dokładnych, zgodnych z zamówieniem; z dopuszczalną odchyłką ±10 mm,</w:t>
      </w:r>
    </w:p>
    <w:p w:rsidR="002D7D6F" w:rsidRDefault="002D7D6F" w:rsidP="005C4FF4">
      <w:pPr>
        <w:pStyle w:val="tekst"/>
        <w:numPr>
          <w:ilvl w:val="0"/>
          <w:numId w:val="8"/>
        </w:numPr>
        <w:ind w:left="714" w:hanging="357"/>
      </w:pPr>
      <w:r>
        <w:t>wielokrotnych w stosunku do zamówionych długości dokładnych poniżej 3 m z naddatkiem 5 mm na każde cięcie i z dopuszczalną odchyłką dla całej długości wielokrotnej, jak dla długości dokładnych.</w:t>
      </w:r>
    </w:p>
    <w:p w:rsidR="002D7D6F" w:rsidRDefault="002D7D6F" w:rsidP="00677B8E">
      <w:pPr>
        <w:pStyle w:val="tekst"/>
      </w:pPr>
      <w:r>
        <w:tab/>
        <w:t xml:space="preserve">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o więcej niż 0,2 </w:t>
      </w:r>
      <w:proofErr w:type="spellStart"/>
      <w:r>
        <w:t>mm</w:t>
      </w:r>
      <w:proofErr w:type="spellEnd"/>
      <w:r>
        <w:t>.</w:t>
      </w:r>
    </w:p>
    <w:p w:rsidR="002D7D6F" w:rsidRDefault="002D7D6F" w:rsidP="00677B8E">
      <w:pPr>
        <w:pStyle w:val="tekst"/>
      </w:pPr>
      <w:r>
        <w:tab/>
        <w:t xml:space="preserve">Kształtowniki powinny być obcięte prostopadle do osi wzdłużnej kształtownika. Powierzchnia końców kształtownika nie powinna wykazywać żadnych, rozwarstwień, pęknięć i śladów jamy skurczowej widocznych nie uzbrojonym okiem. Kształtownik powinien być zabezpieczony antykorozyjnie ogniowo poprzez ułożenie warstwy cynku o grubości min. 60 µm zgodnie z </w:t>
      </w:r>
      <w:r w:rsidRPr="00201A40">
        <w:t>PN-EN ISO 1461</w:t>
      </w:r>
      <w:r>
        <w:t>. Zabezpieczenie należy wykonywać po procesie gięcia lub walcowania.</w:t>
      </w:r>
    </w:p>
    <w:p w:rsidR="002D7D6F" w:rsidRDefault="002D7D6F" w:rsidP="00677B8E">
      <w:pPr>
        <w:pStyle w:val="Nagwek3"/>
      </w:pPr>
      <w:r>
        <w:t>Powłoki metalizacyjne cynkowe</w:t>
      </w:r>
    </w:p>
    <w:p w:rsidR="002D7D6F" w:rsidRDefault="002D7D6F" w:rsidP="00677B8E">
      <w:pPr>
        <w:pStyle w:val="tekst"/>
        <w:rPr>
          <w:lang w:eastAsia="pl-PL"/>
        </w:rPr>
      </w:pPr>
      <w:r>
        <w:rPr>
          <w:lang w:eastAsia="pl-PL"/>
        </w:rPr>
        <w:tab/>
        <w:t xml:space="preserve">W przypadku zastosowania powłoki metalizacyjnej cynkowej na konstrukcjach stalowych, powinna ona spełniać wymagania </w:t>
      </w:r>
      <w:r w:rsidRPr="0065729C">
        <w:rPr>
          <w:lang w:eastAsia="pl-PL"/>
        </w:rPr>
        <w:t>PN</w:t>
      </w:r>
      <w:r>
        <w:rPr>
          <w:lang w:eastAsia="pl-PL"/>
        </w:rPr>
        <w:t>-</w:t>
      </w:r>
      <w:r w:rsidRPr="0065729C">
        <w:rPr>
          <w:lang w:eastAsia="pl-PL"/>
        </w:rPr>
        <w:t>EN ISO 1461</w:t>
      </w:r>
      <w:r>
        <w:rPr>
          <w:lang w:eastAsia="pl-PL"/>
        </w:rPr>
        <w:t xml:space="preserve"> </w:t>
      </w:r>
      <w:r w:rsidR="00677B8E">
        <w:rPr>
          <w:lang w:eastAsia="pl-PL"/>
        </w:rPr>
        <w:t>i PN-EN 10240</w:t>
      </w:r>
      <w:r>
        <w:rPr>
          <w:lang w:eastAsia="pl-PL"/>
        </w:rPr>
        <w:t>. Minimalna grubość powłoki cynkowej powinna wynosić 60 µm.</w:t>
      </w:r>
    </w:p>
    <w:p w:rsidR="002D7D6F" w:rsidRPr="00805B52" w:rsidRDefault="002D7D6F" w:rsidP="00677B8E">
      <w:pPr>
        <w:pStyle w:val="tekst"/>
        <w:rPr>
          <w:lang w:eastAsia="pl-PL"/>
        </w:rPr>
      </w:pPr>
      <w:r>
        <w:rPr>
          <w:lang w:eastAsia="pl-PL"/>
        </w:rPr>
        <w:tab/>
        <w:t>Powierzchnia powłoki powinna być ciągła i jednorodna pod względem ziarnistości. Nie może ona wykazywać widocznych wad jak rysy, pęknięcia, pęcherze lub odstawanie powłoki od podłoża.</w:t>
      </w:r>
    </w:p>
    <w:p w:rsidR="002D7D6F" w:rsidRPr="00805B52" w:rsidRDefault="002D7D6F" w:rsidP="002D7D6F">
      <w:pPr>
        <w:pStyle w:val="Nagwek3"/>
      </w:pPr>
      <w:r w:rsidRPr="00433A61">
        <w:lastRenderedPageBreak/>
        <w:t>Gwarancja producenta lub dostawcy na konstrukcję wsporczą</w:t>
      </w:r>
    </w:p>
    <w:p w:rsidR="002D7D6F" w:rsidRPr="00CE4244" w:rsidRDefault="002D7D6F" w:rsidP="00677B8E">
      <w:pPr>
        <w:pStyle w:val="tekst"/>
      </w:pPr>
      <w:r w:rsidRPr="00805B52">
        <w:tab/>
      </w:r>
      <w:r w:rsidRPr="00CE4244">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D7D6F" w:rsidRPr="00805B52" w:rsidRDefault="002D7D6F" w:rsidP="00677B8E">
      <w:pPr>
        <w:pStyle w:val="tekst"/>
      </w:pPr>
      <w:r w:rsidRPr="00CE4244">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w:t>
      </w:r>
      <w:r>
        <w:t xml:space="preserve"> Minimalny okres trwałości konstrukcji wsporczej powinien wynosić 10 lat.</w:t>
      </w:r>
    </w:p>
    <w:p w:rsidR="002D7D6F" w:rsidRPr="00433A61" w:rsidRDefault="002D7D6F" w:rsidP="00133390">
      <w:pPr>
        <w:pStyle w:val="Nagwek2"/>
      </w:pPr>
      <w:r w:rsidRPr="00433A61">
        <w:t>Tarcza znaku</w:t>
      </w:r>
    </w:p>
    <w:p w:rsidR="002D7D6F" w:rsidRPr="00433A61" w:rsidRDefault="002D7D6F" w:rsidP="002D7D6F">
      <w:pPr>
        <w:pStyle w:val="Nagwek3"/>
      </w:pPr>
      <w:r w:rsidRPr="00433A61">
        <w:t>Trwałość materiałów na wpływy zewnętrzne</w:t>
      </w:r>
    </w:p>
    <w:p w:rsidR="002D7D6F" w:rsidRPr="00433A61" w:rsidRDefault="002D7D6F" w:rsidP="00677B8E">
      <w:pPr>
        <w:pStyle w:val="tekst"/>
      </w:pPr>
      <w:r>
        <w:tab/>
      </w:r>
      <w:r w:rsidRPr="00433A61">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2D7D6F" w:rsidRPr="00CE4244" w:rsidRDefault="002D7D6F" w:rsidP="002D7D6F">
      <w:pPr>
        <w:pStyle w:val="Nagwek3"/>
      </w:pPr>
      <w:r w:rsidRPr="00433A61">
        <w:t>Warunki gwarancyjne producenta lub dostawcy znaku</w:t>
      </w:r>
    </w:p>
    <w:p w:rsidR="002D7D6F" w:rsidRPr="00433A61" w:rsidRDefault="002D7D6F" w:rsidP="00677B8E">
      <w:pPr>
        <w:pStyle w:val="tekst"/>
        <w:spacing w:after="0"/>
      </w:pPr>
      <w:r>
        <w:tab/>
      </w:r>
      <w:r w:rsidRPr="00433A61">
        <w:t>Producent lub dostawca znaku obowiązany jest przy dostawie określić, uzgodnioną z odbiorcą, trwałość znaku oraz warunki gwarancyjne dla znaku, a także udostępnić na życzenie odbiorcy:</w:t>
      </w:r>
    </w:p>
    <w:p w:rsidR="002D7D6F" w:rsidRDefault="002D7D6F" w:rsidP="005C4FF4">
      <w:pPr>
        <w:pStyle w:val="tekst"/>
        <w:numPr>
          <w:ilvl w:val="0"/>
          <w:numId w:val="9"/>
        </w:numPr>
        <w:spacing w:after="0"/>
        <w:ind w:left="714" w:hanging="357"/>
      </w:pPr>
      <w:r w:rsidRPr="00433A61">
        <w:t>instrukcję montażu znaku,</w:t>
      </w:r>
    </w:p>
    <w:p w:rsidR="002D7D6F" w:rsidRPr="00433A61" w:rsidRDefault="002D7D6F" w:rsidP="005C4FF4">
      <w:pPr>
        <w:pStyle w:val="tekst"/>
        <w:numPr>
          <w:ilvl w:val="0"/>
          <w:numId w:val="9"/>
        </w:numPr>
        <w:spacing w:after="0"/>
        <w:ind w:left="714" w:hanging="357"/>
      </w:pPr>
      <w:r w:rsidRPr="00433A61">
        <w:t>dane szczegółowe o ewentualnych ograniczeniach w stosowaniu znaku,</w:t>
      </w:r>
    </w:p>
    <w:p w:rsidR="002D7D6F" w:rsidRDefault="002D7D6F" w:rsidP="005C4FF4">
      <w:pPr>
        <w:pStyle w:val="tekst"/>
        <w:numPr>
          <w:ilvl w:val="0"/>
          <w:numId w:val="9"/>
        </w:numPr>
        <w:ind w:left="714" w:hanging="357"/>
      </w:pPr>
      <w:r w:rsidRPr="00433A61">
        <w:t>instrukcję utrzymania znaku.</w:t>
      </w:r>
    </w:p>
    <w:p w:rsidR="002D7D6F" w:rsidRPr="00CE4244" w:rsidRDefault="002D7D6F" w:rsidP="00677B8E">
      <w:pPr>
        <w:pStyle w:val="tekst"/>
      </w:pPr>
      <w:r>
        <w:tab/>
      </w:r>
      <w:r w:rsidRPr="00CE4244">
        <w:t>Trwałość znaku powinna być co najmniej równa trwałości zastosowanej folii. Minimalne okresy gwarancyjne powinny wynosić dla znaków z folią typu 2 – 10 lat, z folią pryzmatyczną – 12 lat.</w:t>
      </w:r>
    </w:p>
    <w:p w:rsidR="002D7D6F" w:rsidRPr="00433A61" w:rsidRDefault="002D7D6F" w:rsidP="002D7D6F">
      <w:pPr>
        <w:pStyle w:val="Nagwek3"/>
      </w:pPr>
      <w:r w:rsidRPr="00433A61">
        <w:t>Materiały do wykonania tarczy znaku</w:t>
      </w:r>
    </w:p>
    <w:p w:rsidR="002D7D6F" w:rsidRPr="00D33326" w:rsidRDefault="002D7D6F" w:rsidP="00677B8E">
      <w:pPr>
        <w:pStyle w:val="tekst"/>
      </w:pPr>
      <w:r w:rsidRPr="00D33326">
        <w:tab/>
        <w:t>Tarcz</w:t>
      </w:r>
      <w:r w:rsidR="00677B8E">
        <w:t xml:space="preserve">a znaku powinna być wykonana z </w:t>
      </w:r>
      <w:r w:rsidRPr="001F13BA">
        <w:t>blachy ocynkowanej ogniowo o grubości min. 1,25 mm wg P</w:t>
      </w:r>
      <w:r w:rsidR="00677B8E">
        <w:t xml:space="preserve">N-EN 10327 [14] lub PN-EN 10292. </w:t>
      </w:r>
      <w:r w:rsidRPr="00D33326">
        <w:t>Grubość warstwy powłoki cynkowej na blasze stalowej ocynkowanej ogniowo nie może być</w:t>
      </w:r>
      <w:r>
        <w:t xml:space="preserve"> mniejsza </w:t>
      </w:r>
      <w:r w:rsidRPr="00D33326">
        <w:t xml:space="preserve">niż 28 </w:t>
      </w:r>
      <w:r w:rsidRPr="00D33326">
        <w:rPr>
          <w:rFonts w:eastAsia="Arial"/>
        </w:rPr>
        <w:t>m</w:t>
      </w:r>
      <w:r w:rsidRPr="00D33326">
        <w:t>m (200 g Zn/m</w:t>
      </w:r>
      <w:r w:rsidRPr="00D33326">
        <w:rPr>
          <w:vertAlign w:val="superscript"/>
        </w:rPr>
        <w:t>2</w:t>
      </w:r>
      <w:r w:rsidRPr="00D33326">
        <w:t>).</w:t>
      </w:r>
    </w:p>
    <w:p w:rsidR="002D7D6F" w:rsidRDefault="002D7D6F" w:rsidP="00677B8E">
      <w:pPr>
        <w:pStyle w:val="tekst"/>
      </w:pPr>
      <w:r>
        <w:tab/>
      </w:r>
      <w:r w:rsidRPr="00D33326">
        <w:t xml:space="preserve">Znaki i tablice powinny spełniać następujące wymagania podane w </w:t>
      </w:r>
      <w:r>
        <w:t>Tab.</w:t>
      </w:r>
      <w:r w:rsidRPr="00D33326">
        <w:t>1.</w:t>
      </w:r>
    </w:p>
    <w:p w:rsidR="002D7D6F" w:rsidRPr="00D33326" w:rsidRDefault="002D7D6F" w:rsidP="00677B8E">
      <w:pPr>
        <w:pStyle w:val="tekst"/>
        <w:jc w:val="center"/>
        <w:rPr>
          <w:szCs w:val="20"/>
        </w:rPr>
      </w:pPr>
      <w:r w:rsidRPr="00D33326">
        <w:rPr>
          <w:szCs w:val="20"/>
        </w:rPr>
        <w:t>Ta</w:t>
      </w:r>
      <w:r>
        <w:rPr>
          <w:szCs w:val="20"/>
        </w:rPr>
        <w:t>b.</w:t>
      </w:r>
      <w:r w:rsidRPr="00D33326">
        <w:rPr>
          <w:szCs w:val="20"/>
        </w:rPr>
        <w:t xml:space="preserve">1.Wymagania </w:t>
      </w:r>
      <w:r>
        <w:rPr>
          <w:szCs w:val="20"/>
        </w:rPr>
        <w:t>dla znaków i tarcz znaków drogo</w:t>
      </w:r>
      <w:r w:rsidRPr="00D33326">
        <w:rPr>
          <w:szCs w:val="20"/>
        </w:rPr>
        <w:t>wych</w:t>
      </w:r>
    </w:p>
    <w:tbl>
      <w:tblPr>
        <w:tblW w:w="8957" w:type="dxa"/>
        <w:jc w:val="cente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064"/>
        <w:gridCol w:w="1420"/>
        <w:gridCol w:w="3135"/>
        <w:gridCol w:w="1338"/>
      </w:tblGrid>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Parametr</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Jednostka</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Wymaganie</w:t>
            </w:r>
          </w:p>
        </w:tc>
        <w:tc>
          <w:tcPr>
            <w:tcW w:w="1338" w:type="dxa"/>
            <w:shd w:val="clear" w:color="auto" w:fill="auto"/>
            <w:vAlign w:val="center"/>
          </w:tcPr>
          <w:p w:rsidR="002D7D6F" w:rsidRPr="00133390" w:rsidRDefault="002D7D6F" w:rsidP="00133390">
            <w:pPr>
              <w:spacing w:line="360" w:lineRule="auto"/>
              <w:jc w:val="center"/>
              <w:rPr>
                <w:rFonts w:cstheme="minorHAnsi"/>
                <w:sz w:val="16"/>
                <w:szCs w:val="16"/>
              </w:rPr>
            </w:pPr>
            <w:r w:rsidRPr="00133390">
              <w:rPr>
                <w:rFonts w:cstheme="minorHAnsi"/>
                <w:sz w:val="16"/>
                <w:szCs w:val="16"/>
              </w:rPr>
              <w:t>Klasa wg PN-EN 12899-1</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Wytrzymałość na obciążenie siłą naporu wiatru</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proofErr w:type="spellStart"/>
            <w:r w:rsidRPr="00133390">
              <w:rPr>
                <w:rFonts w:cstheme="minorHAnsi"/>
                <w:sz w:val="16"/>
                <w:szCs w:val="16"/>
              </w:rPr>
              <w:t>kN</w:t>
            </w:r>
            <w:proofErr w:type="spellEnd"/>
            <w:r w:rsidRPr="00133390">
              <w:rPr>
                <w:rFonts w:cstheme="minorHAnsi"/>
                <w:sz w:val="16"/>
                <w:szCs w:val="16"/>
              </w:rPr>
              <w:t xml:space="preserve"> m</w:t>
            </w:r>
            <w:r w:rsidRPr="00133390">
              <w:rPr>
                <w:rFonts w:cstheme="minorHAnsi"/>
                <w:sz w:val="16"/>
                <w:szCs w:val="16"/>
                <w:vertAlign w:val="superscript"/>
              </w:rPr>
              <w:t>-2</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0,60</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WL2</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Wytrzymałość na obciążenie skupione</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proofErr w:type="spellStart"/>
            <w:r w:rsidRPr="00133390">
              <w:rPr>
                <w:rFonts w:cstheme="minorHAnsi"/>
                <w:sz w:val="16"/>
                <w:szCs w:val="16"/>
              </w:rPr>
              <w:t>kN</w:t>
            </w:r>
            <w:proofErr w:type="spellEnd"/>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0,50</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PL2</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Chwilowe odkształcenie zginające</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mm/m</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25</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TDB4</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Chwilowe odkształcenie skrętne</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stopień × m</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0,02</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 0,11</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 0,57</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 1,15</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TDT1</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TDT3</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TDT5</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TDT6*</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Odkształcenie trwałe</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mm/m lub stopień × m</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20 % odkształcenia</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chwilowego</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Rodzaj krawędzi znaku</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xml:space="preserve">Zabezpieczona, krawędź tłoczona, zaginana, prasowana Lub zabezpieczona profilem </w:t>
            </w:r>
            <w:r w:rsidRPr="00133390">
              <w:rPr>
                <w:rFonts w:cstheme="minorHAnsi"/>
                <w:sz w:val="16"/>
                <w:szCs w:val="16"/>
              </w:rPr>
              <w:lastRenderedPageBreak/>
              <w:t>krawędziowym</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lastRenderedPageBreak/>
              <w:t>E2</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lastRenderedPageBreak/>
              <w:t>Przewiercanie lica znaku</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Lico znaku nie może być przewiercone z żadnego powodu</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P3</w:t>
            </w:r>
          </w:p>
        </w:tc>
      </w:tr>
    </w:tbl>
    <w:p w:rsidR="002D7D6F" w:rsidRPr="00677B8E" w:rsidRDefault="002D7D6F" w:rsidP="00677B8E">
      <w:pPr>
        <w:pStyle w:val="tekst"/>
        <w:rPr>
          <w:sz w:val="18"/>
        </w:rPr>
      </w:pPr>
      <w:r w:rsidRPr="00677B8E">
        <w:rPr>
          <w:sz w:val="18"/>
        </w:rPr>
        <w:t>* klasę TDT3 stosuje się dla tablic na 2 lub więcej podporach, klasę TDT 5 dla tablic na jednej podporze, klasę TDT1 dla tablic na konstrukcjach bramowych, klasę TDT6 dla tablic na konstrukcjach wysięgnikowych</w:t>
      </w:r>
    </w:p>
    <w:p w:rsidR="002D7D6F" w:rsidRPr="00D33326" w:rsidRDefault="002D7D6F" w:rsidP="00677B8E">
      <w:pPr>
        <w:pStyle w:val="tekst"/>
      </w:pPr>
      <w:r>
        <w:tab/>
      </w:r>
      <w:r w:rsidRPr="00D33326">
        <w:t xml:space="preserve">Przyjęto zgodnie z </w:t>
      </w:r>
      <w:r>
        <w:t>Tab.1</w:t>
      </w:r>
      <w:r w:rsidRPr="00D33326">
        <w:t xml:space="preserve">, że przy sile naporu wiatru równej 0,6 </w:t>
      </w:r>
      <w:proofErr w:type="spellStart"/>
      <w:r w:rsidRPr="00D33326">
        <w:t>kN</w:t>
      </w:r>
      <w:proofErr w:type="spellEnd"/>
      <w:r w:rsidRPr="00D33326">
        <w:t xml:space="preserve"> (klasa WL2) , chwilowe odkształcenie zginające, zarówno znak, jak i sam ą tarczę znaku nie może być większe niż 25 mm/m (klasa TDB4).</w:t>
      </w:r>
    </w:p>
    <w:p w:rsidR="002D7D6F" w:rsidRPr="00433A61" w:rsidRDefault="002D7D6F" w:rsidP="002D7D6F">
      <w:pPr>
        <w:pStyle w:val="Nagwek3"/>
      </w:pPr>
      <w:r w:rsidRPr="00433A61">
        <w:t>Warunki wykonania tarczy znaku</w:t>
      </w:r>
    </w:p>
    <w:p w:rsidR="002D7D6F" w:rsidRPr="00206DDA" w:rsidRDefault="002D7D6F" w:rsidP="002D7D6F">
      <w:pPr>
        <w:spacing w:line="360" w:lineRule="auto"/>
        <w:rPr>
          <w:szCs w:val="20"/>
        </w:rPr>
      </w:pPr>
      <w:r w:rsidRPr="00206DDA">
        <w:rPr>
          <w:szCs w:val="20"/>
        </w:rPr>
        <w:t>Tarcze znaków powinny spełnia</w:t>
      </w:r>
      <w:r w:rsidRPr="00206DDA">
        <w:rPr>
          <w:rFonts w:cs="TimesNewRoman"/>
          <w:szCs w:val="20"/>
        </w:rPr>
        <w:t xml:space="preserve">ć </w:t>
      </w:r>
      <w:r w:rsidRPr="00206DDA">
        <w:rPr>
          <w:szCs w:val="20"/>
        </w:rPr>
        <w:t>tak</w:t>
      </w:r>
      <w:r w:rsidRPr="00206DDA">
        <w:rPr>
          <w:rFonts w:cs="TimesNewRoman"/>
          <w:szCs w:val="20"/>
        </w:rPr>
        <w:t>ż</w:t>
      </w:r>
      <w:r w:rsidRPr="00206DDA">
        <w:rPr>
          <w:szCs w:val="20"/>
        </w:rPr>
        <w:t>e nast</w:t>
      </w:r>
      <w:r w:rsidRPr="00206DDA">
        <w:rPr>
          <w:rFonts w:cs="TimesNewRoman"/>
          <w:szCs w:val="20"/>
        </w:rPr>
        <w:t>ę</w:t>
      </w:r>
      <w:r w:rsidRPr="00206DDA">
        <w:rPr>
          <w:szCs w:val="20"/>
        </w:rPr>
        <w:t>puj</w:t>
      </w:r>
      <w:r w:rsidRPr="00206DDA">
        <w:rPr>
          <w:rFonts w:cs="TimesNewRoman"/>
          <w:szCs w:val="20"/>
        </w:rPr>
        <w:t>ą</w:t>
      </w:r>
      <w:r w:rsidRPr="00206DDA">
        <w:rPr>
          <w:szCs w:val="20"/>
        </w:rPr>
        <w:t>ce wymagania:</w:t>
      </w:r>
    </w:p>
    <w:p w:rsidR="002D7D6F" w:rsidRPr="00206DDA" w:rsidRDefault="002D7D6F" w:rsidP="005C4FF4">
      <w:pPr>
        <w:pStyle w:val="tekst"/>
        <w:numPr>
          <w:ilvl w:val="0"/>
          <w:numId w:val="10"/>
        </w:numPr>
      </w:pPr>
      <w:r w:rsidRPr="00206DDA">
        <w:t>kraw</w:t>
      </w:r>
      <w:r w:rsidRPr="00206DDA">
        <w:rPr>
          <w:rFonts w:cs="TimesNewRoman"/>
        </w:rPr>
        <w:t>ę</w:t>
      </w:r>
      <w:r w:rsidRPr="00206DDA">
        <w:t>dzie tarczy znaku powinny by</w:t>
      </w:r>
      <w:r w:rsidRPr="00206DDA">
        <w:rPr>
          <w:rFonts w:cs="TimesNewRoman"/>
        </w:rPr>
        <w:t xml:space="preserve">ć </w:t>
      </w:r>
      <w:r w:rsidRPr="00206DDA">
        <w:t>usztywnione na całym obwodzie poprzez ich podwójne gi</w:t>
      </w:r>
      <w:r w:rsidRPr="00206DDA">
        <w:rPr>
          <w:rFonts w:cs="TimesNewRoman"/>
        </w:rPr>
        <w:t>ę</w:t>
      </w:r>
      <w:r w:rsidRPr="00206DDA">
        <w:t>cie o</w:t>
      </w:r>
      <w:r>
        <w:t> </w:t>
      </w:r>
      <w:r w:rsidRPr="00206DDA">
        <w:t>promieniu gi</w:t>
      </w:r>
      <w:r w:rsidRPr="00206DDA">
        <w:rPr>
          <w:rFonts w:cs="TimesNewRoman"/>
        </w:rPr>
        <w:t>ę</w:t>
      </w:r>
      <w:r w:rsidRPr="00206DDA">
        <w:t>cia nie wi</w:t>
      </w:r>
      <w:r w:rsidRPr="00206DDA">
        <w:rPr>
          <w:rFonts w:cs="TimesNewRoman"/>
        </w:rPr>
        <w:t>ę</w:t>
      </w:r>
      <w:r w:rsidRPr="00206DDA">
        <w:t>kszym ni</w:t>
      </w:r>
      <w:r w:rsidRPr="00206DDA">
        <w:rPr>
          <w:rFonts w:cs="TimesNewRoman"/>
        </w:rPr>
        <w:t xml:space="preserve">ż </w:t>
      </w:r>
      <w:r w:rsidRPr="00206DDA">
        <w:t>10 mm wł</w:t>
      </w:r>
      <w:r w:rsidRPr="00206DDA">
        <w:rPr>
          <w:rFonts w:cs="TimesNewRoman"/>
        </w:rPr>
        <w:t>ą</w:t>
      </w:r>
      <w:r w:rsidRPr="00206DDA">
        <w:t>cznie z naro</w:t>
      </w:r>
      <w:r w:rsidRPr="00206DDA">
        <w:rPr>
          <w:rFonts w:cs="TimesNewRoman"/>
        </w:rPr>
        <w:t>ż</w:t>
      </w:r>
      <w:r w:rsidRPr="00206DDA">
        <w:t>nikami lub przez zamocowanie odpowiedniego</w:t>
      </w:r>
      <w:r>
        <w:t xml:space="preserve"> </w:t>
      </w:r>
      <w:r w:rsidRPr="00206DDA">
        <w:t>profilu na całym obwodzie znaku,</w:t>
      </w:r>
    </w:p>
    <w:p w:rsidR="002D7D6F" w:rsidRPr="00206DDA" w:rsidRDefault="002D7D6F" w:rsidP="005C4FF4">
      <w:pPr>
        <w:pStyle w:val="tekst"/>
        <w:numPr>
          <w:ilvl w:val="0"/>
          <w:numId w:val="10"/>
        </w:numPr>
      </w:pPr>
      <w:r w:rsidRPr="00206DDA">
        <w:t>powierzchnia czołowa tarczy znaku powinna by</w:t>
      </w:r>
      <w:r w:rsidRPr="00206DDA">
        <w:rPr>
          <w:rFonts w:cs="TimesNewRoman"/>
        </w:rPr>
        <w:t xml:space="preserve">ć </w:t>
      </w:r>
      <w:r w:rsidRPr="00206DDA">
        <w:t>równa – bez wgi</w:t>
      </w:r>
      <w:r w:rsidRPr="00206DDA">
        <w:rPr>
          <w:rFonts w:cs="TimesNewRoman"/>
        </w:rPr>
        <w:t>ęć</w:t>
      </w:r>
      <w:r w:rsidRPr="00206DDA">
        <w:t>, pofałdowa</w:t>
      </w:r>
      <w:r w:rsidRPr="00206DDA">
        <w:rPr>
          <w:rFonts w:cs="TimesNewRoman"/>
        </w:rPr>
        <w:t xml:space="preserve">ń </w:t>
      </w:r>
      <w:r w:rsidRPr="00206DDA">
        <w:t>i otworów monta</w:t>
      </w:r>
      <w:r w:rsidRPr="00206DDA">
        <w:rPr>
          <w:rFonts w:cs="TimesNewRoman"/>
        </w:rPr>
        <w:t>ż</w:t>
      </w:r>
      <w:r>
        <w:t>owych (</w:t>
      </w:r>
      <w:r w:rsidRPr="00206DDA">
        <w:t>Dopuszczalna nierówno</w:t>
      </w:r>
      <w:r w:rsidRPr="00206DDA">
        <w:rPr>
          <w:rFonts w:cs="TimesNewRoman"/>
        </w:rPr>
        <w:t xml:space="preserve">ść </w:t>
      </w:r>
      <w:r w:rsidRPr="00206DDA">
        <w:t>wynosi 1 m</w:t>
      </w:r>
      <w:r>
        <w:t>m/m)</w:t>
      </w:r>
    </w:p>
    <w:p w:rsidR="002D7D6F" w:rsidRPr="00206DDA" w:rsidRDefault="002D7D6F" w:rsidP="005C4FF4">
      <w:pPr>
        <w:pStyle w:val="tekst"/>
        <w:numPr>
          <w:ilvl w:val="0"/>
          <w:numId w:val="10"/>
        </w:numPr>
        <w:rPr>
          <w:rFonts w:cs="TimesNewRoman"/>
        </w:rPr>
      </w:pPr>
      <w:r w:rsidRPr="00206DDA">
        <w:t>podwójna gi</w:t>
      </w:r>
      <w:r w:rsidRPr="00206DDA">
        <w:rPr>
          <w:rFonts w:cs="TimesNewRoman"/>
        </w:rPr>
        <w:t>ę</w:t>
      </w:r>
      <w:r w:rsidRPr="00206DDA">
        <w:t>ta kraw</w:t>
      </w:r>
      <w:r w:rsidRPr="00206DDA">
        <w:rPr>
          <w:rFonts w:cs="TimesNewRoman"/>
        </w:rPr>
        <w:t>ę</w:t>
      </w:r>
      <w:r w:rsidRPr="00206DDA">
        <w:t>d</w:t>
      </w:r>
      <w:r w:rsidRPr="00206DDA">
        <w:rPr>
          <w:rFonts w:cs="TimesNewRoman"/>
        </w:rPr>
        <w:t xml:space="preserve">ź </w:t>
      </w:r>
      <w:r w:rsidRPr="00206DDA">
        <w:t>lub przymocowane do tylnej powierzchni profile monta</w:t>
      </w:r>
      <w:r w:rsidRPr="00206DDA">
        <w:rPr>
          <w:rFonts w:cs="TimesNewRoman"/>
        </w:rPr>
        <w:t>ż</w:t>
      </w:r>
      <w:r w:rsidRPr="00206DDA">
        <w:t>owe powinny usztywni</w:t>
      </w:r>
      <w:r w:rsidRPr="00206DDA">
        <w:rPr>
          <w:rFonts w:cs="TimesNewRoman"/>
        </w:rPr>
        <w:t>ć</w:t>
      </w:r>
      <w:r>
        <w:rPr>
          <w:rFonts w:cs="TimesNewRoman"/>
        </w:rPr>
        <w:t xml:space="preserve"> </w:t>
      </w:r>
      <w:r w:rsidRPr="00206DDA">
        <w:t>tarcz</w:t>
      </w:r>
      <w:r w:rsidRPr="00206DDA">
        <w:rPr>
          <w:rFonts w:cs="TimesNewRoman"/>
        </w:rPr>
        <w:t xml:space="preserve">ę </w:t>
      </w:r>
      <w:r w:rsidRPr="00206DDA">
        <w:t>znaku w taki sposób, aby wymagania podane w tablicy 1 były spełnione a zarazem stanowiły element</w:t>
      </w:r>
      <w:r>
        <w:t xml:space="preserve"> </w:t>
      </w:r>
      <w:r w:rsidRPr="00206DDA">
        <w:t>konstrukcyjny do monta</w:t>
      </w:r>
      <w:r w:rsidRPr="00206DDA">
        <w:rPr>
          <w:rFonts w:cs="TimesNewRoman"/>
        </w:rPr>
        <w:t>ż</w:t>
      </w:r>
      <w:r w:rsidRPr="00206DDA">
        <w:t>u do konstrukcji wsporczej. Dopuszcza si</w:t>
      </w:r>
      <w:r w:rsidRPr="00206DDA">
        <w:rPr>
          <w:rFonts w:cs="TimesNewRoman"/>
        </w:rPr>
        <w:t xml:space="preserve">ę </w:t>
      </w:r>
      <w:r w:rsidRPr="00206DDA">
        <w:t>maksymalne odkształcenie trwałe do 20% odkształcenia odpowiedniej klasy na zginanie i skr</w:t>
      </w:r>
      <w:r w:rsidRPr="00206DDA">
        <w:rPr>
          <w:rFonts w:cs="TimesNewRoman"/>
        </w:rPr>
        <w:t>ę</w:t>
      </w:r>
      <w:r w:rsidRPr="00206DDA">
        <w:t>canie,</w:t>
      </w:r>
    </w:p>
    <w:p w:rsidR="002D7D6F" w:rsidRPr="00206DDA" w:rsidRDefault="002D7D6F" w:rsidP="005C4FF4">
      <w:pPr>
        <w:pStyle w:val="tekst"/>
        <w:numPr>
          <w:ilvl w:val="0"/>
          <w:numId w:val="10"/>
        </w:numPr>
      </w:pPr>
      <w:r w:rsidRPr="00206DDA">
        <w:t>tylna powierzchnia tarczy powinna by</w:t>
      </w:r>
      <w:r w:rsidRPr="00206DDA">
        <w:rPr>
          <w:rFonts w:cs="TimesNewRoman"/>
        </w:rPr>
        <w:t xml:space="preserve">ć </w:t>
      </w:r>
      <w:r w:rsidRPr="00206DDA">
        <w:t>zabezpieczona przed procesami korozji ochronnymi powłokami</w:t>
      </w:r>
      <w:r>
        <w:t xml:space="preserve"> </w:t>
      </w:r>
      <w:r w:rsidRPr="00206DDA">
        <w:t>chemicznymi oraz powłok</w:t>
      </w:r>
      <w:r w:rsidRPr="00206DDA">
        <w:rPr>
          <w:rFonts w:cs="TimesNewRoman"/>
        </w:rPr>
        <w:t xml:space="preserve">ą </w:t>
      </w:r>
      <w:r w:rsidRPr="00206DDA">
        <w:t>lakiernicz</w:t>
      </w:r>
      <w:r w:rsidRPr="00206DDA">
        <w:rPr>
          <w:rFonts w:cs="TimesNewRoman"/>
        </w:rPr>
        <w:t xml:space="preserve">ą </w:t>
      </w:r>
      <w:r w:rsidRPr="00206DDA">
        <w:t>o grubo</w:t>
      </w:r>
      <w:r w:rsidRPr="00206DDA">
        <w:rPr>
          <w:rFonts w:cs="TimesNewRoman"/>
        </w:rPr>
        <w:t>ś</w:t>
      </w:r>
      <w:r w:rsidRPr="00206DDA">
        <w:t xml:space="preserve">ci min. 60 </w:t>
      </w:r>
      <w:proofErr w:type="spellStart"/>
      <w:r w:rsidRPr="00206DDA">
        <w:t>μm</w:t>
      </w:r>
      <w:proofErr w:type="spellEnd"/>
      <w:r w:rsidRPr="00206DDA">
        <w:t xml:space="preserve"> z proszkowych farb poliestrowych</w:t>
      </w:r>
      <w:r>
        <w:t xml:space="preserve"> </w:t>
      </w:r>
      <w:r w:rsidRPr="00206DDA">
        <w:t>ciemnoszarych matowych lub półmatowych w kolorze RAL 7037; badania nale</w:t>
      </w:r>
      <w:r w:rsidRPr="00206DDA">
        <w:rPr>
          <w:rFonts w:cs="TimesNewRoman"/>
        </w:rPr>
        <w:t>ż</w:t>
      </w:r>
      <w:r w:rsidRPr="00206DDA">
        <w:t>y wykonywa</w:t>
      </w:r>
      <w:r w:rsidRPr="00206DDA">
        <w:rPr>
          <w:rFonts w:cs="TimesNewRoman"/>
        </w:rPr>
        <w:t xml:space="preserve">ć </w:t>
      </w:r>
      <w:r w:rsidRPr="00206DDA">
        <w:t>zgodnie z PN-88/C-81523 oraz PN-76/C-81521 w zakresie odporno</w:t>
      </w:r>
      <w:r w:rsidRPr="00206DDA">
        <w:rPr>
          <w:rFonts w:cs="TimesNewRoman"/>
        </w:rPr>
        <w:t>ś</w:t>
      </w:r>
      <w:r w:rsidRPr="00206DDA">
        <w:t>ci na działanie mgły solnej oraz wody.</w:t>
      </w:r>
    </w:p>
    <w:p w:rsidR="002D7D6F" w:rsidRPr="00206DDA" w:rsidRDefault="002D7D6F" w:rsidP="00677B8E">
      <w:pPr>
        <w:pStyle w:val="tekst"/>
      </w:pPr>
      <w:r>
        <w:tab/>
      </w:r>
      <w:r w:rsidRPr="00206DDA">
        <w:t>Tarcze znaków i tablic o powierzchni &gt; 1 m</w:t>
      </w:r>
      <w:r w:rsidRPr="00206DDA">
        <w:rPr>
          <w:vertAlign w:val="superscript"/>
        </w:rPr>
        <w:t>2</w:t>
      </w:r>
      <w:r w:rsidRPr="00206DDA">
        <w:t xml:space="preserve"> powinny spełnia</w:t>
      </w:r>
      <w:r w:rsidRPr="00206DDA">
        <w:rPr>
          <w:rFonts w:cs="TimesNewRoman"/>
        </w:rPr>
        <w:t xml:space="preserve">ć </w:t>
      </w:r>
      <w:r w:rsidRPr="00206DDA">
        <w:t>dodatkowo nast</w:t>
      </w:r>
      <w:r w:rsidRPr="00206DDA">
        <w:rPr>
          <w:rFonts w:cs="TimesNewRoman"/>
        </w:rPr>
        <w:t>ę</w:t>
      </w:r>
      <w:r w:rsidRPr="00206DDA">
        <w:t>puj</w:t>
      </w:r>
      <w:r w:rsidRPr="00206DDA">
        <w:rPr>
          <w:rFonts w:cs="TimesNewRoman"/>
        </w:rPr>
        <w:t>ą</w:t>
      </w:r>
      <w:r w:rsidRPr="00206DDA">
        <w:t>ce wymagania:</w:t>
      </w:r>
    </w:p>
    <w:p w:rsidR="002D7D6F" w:rsidRPr="00206DDA" w:rsidRDefault="002D7D6F" w:rsidP="005C4FF4">
      <w:pPr>
        <w:pStyle w:val="tekst"/>
        <w:numPr>
          <w:ilvl w:val="0"/>
          <w:numId w:val="11"/>
        </w:numPr>
      </w:pPr>
      <w:r w:rsidRPr="00206DDA">
        <w:t>naro</w:t>
      </w:r>
      <w:r w:rsidRPr="00206DDA">
        <w:rPr>
          <w:rFonts w:cs="TimesNewRoman"/>
        </w:rPr>
        <w:t>ż</w:t>
      </w:r>
      <w:r w:rsidRPr="00206DDA">
        <w:t>niki znaku i tablicy powinny by</w:t>
      </w:r>
      <w:r w:rsidRPr="00206DDA">
        <w:rPr>
          <w:rFonts w:cs="TimesNewRoman"/>
        </w:rPr>
        <w:t xml:space="preserve">ć </w:t>
      </w:r>
      <w:r w:rsidRPr="00206DDA">
        <w:t>zaokr</w:t>
      </w:r>
      <w:r w:rsidRPr="00206DDA">
        <w:rPr>
          <w:rFonts w:cs="TimesNewRoman"/>
        </w:rPr>
        <w:t>ą</w:t>
      </w:r>
      <w:r w:rsidRPr="00206DDA">
        <w:t>glone, o promieniu zgodnym z wymaganiami okre</w:t>
      </w:r>
      <w:r w:rsidRPr="00206DDA">
        <w:rPr>
          <w:rFonts w:cs="TimesNewRoman"/>
        </w:rPr>
        <w:t>ś</w:t>
      </w:r>
      <w:r w:rsidRPr="00206DDA">
        <w:t>lonymi w</w:t>
      </w:r>
      <w:r>
        <w:t xml:space="preserve"> </w:t>
      </w:r>
      <w:r w:rsidRPr="00206DDA">
        <w:t>zał</w:t>
      </w:r>
      <w:r w:rsidRPr="00206DDA">
        <w:rPr>
          <w:rFonts w:cs="TimesNewRoman"/>
        </w:rPr>
        <w:t>ą</w:t>
      </w:r>
      <w:r w:rsidRPr="00206DDA">
        <w:t>czniku nr 1 do rozporz</w:t>
      </w:r>
      <w:r w:rsidRPr="00206DDA">
        <w:rPr>
          <w:rFonts w:cs="TimesNewRoman"/>
        </w:rPr>
        <w:t>ą</w:t>
      </w:r>
      <w:r w:rsidRPr="00206DDA">
        <w:t>dzenia Ministra Infrastruktury z dnia 3 lipca 2003 r. nie mniejszym jednak</w:t>
      </w:r>
      <w:r>
        <w:t xml:space="preserve"> </w:t>
      </w:r>
      <w:r w:rsidRPr="00206DDA">
        <w:t>ni</w:t>
      </w:r>
      <w:r w:rsidRPr="00206DDA">
        <w:rPr>
          <w:rFonts w:cs="TimesNewRoman"/>
        </w:rPr>
        <w:t xml:space="preserve">ż </w:t>
      </w:r>
      <w:r w:rsidRPr="00206DDA">
        <w:t>30 mm, gdy wielko</w:t>
      </w:r>
      <w:r w:rsidRPr="00206DDA">
        <w:rPr>
          <w:rFonts w:cs="TimesNewRoman"/>
        </w:rPr>
        <w:t>ś</w:t>
      </w:r>
      <w:r w:rsidRPr="00206DDA">
        <w:t>ci tego promienia nie wskazano,</w:t>
      </w:r>
    </w:p>
    <w:p w:rsidR="002D7D6F" w:rsidRPr="00206DDA" w:rsidRDefault="002D7D6F" w:rsidP="005C4FF4">
      <w:pPr>
        <w:pStyle w:val="tekst"/>
        <w:numPr>
          <w:ilvl w:val="0"/>
          <w:numId w:val="11"/>
        </w:numPr>
      </w:pPr>
      <w:r w:rsidRPr="00206DDA">
        <w:t>ł</w:t>
      </w:r>
      <w:r w:rsidRPr="00206DDA">
        <w:rPr>
          <w:rFonts w:cs="TimesNewRoman"/>
        </w:rPr>
        <w:t>ą</w:t>
      </w:r>
      <w:r w:rsidRPr="00206DDA">
        <w:t>czenie poszczególnych segmentów tarczy (dla znaków wielkogabarytowych) wzdłu</w:t>
      </w:r>
      <w:r w:rsidRPr="00206DDA">
        <w:rPr>
          <w:rFonts w:cs="TimesNewRoman"/>
        </w:rPr>
        <w:t xml:space="preserve">ż </w:t>
      </w:r>
      <w:r w:rsidRPr="00206DDA">
        <w:t>poziomej lub</w:t>
      </w:r>
      <w:r>
        <w:t xml:space="preserve"> </w:t>
      </w:r>
      <w:r w:rsidRPr="00206DDA">
        <w:t>pionowej kraw</w:t>
      </w:r>
      <w:r w:rsidRPr="00206DDA">
        <w:rPr>
          <w:rFonts w:cs="TimesNewRoman"/>
        </w:rPr>
        <w:t>ę</w:t>
      </w:r>
      <w:r w:rsidRPr="00206DDA">
        <w:t>dzi powinno by</w:t>
      </w:r>
      <w:r w:rsidRPr="00206DDA">
        <w:rPr>
          <w:rFonts w:cs="TimesNewRoman"/>
        </w:rPr>
        <w:t xml:space="preserve">ć </w:t>
      </w:r>
      <w:r w:rsidRPr="00206DDA">
        <w:t>wykonane w taki sposób, aby nie wyst</w:t>
      </w:r>
      <w:r w:rsidRPr="00206DDA">
        <w:rPr>
          <w:rFonts w:cs="TimesNewRoman"/>
        </w:rPr>
        <w:t>ę</w:t>
      </w:r>
      <w:r w:rsidRPr="00206DDA">
        <w:t>powały przesuni</w:t>
      </w:r>
      <w:r w:rsidRPr="00206DDA">
        <w:rPr>
          <w:rFonts w:cs="TimesNewRoman"/>
        </w:rPr>
        <w:t>ę</w:t>
      </w:r>
      <w:r w:rsidRPr="00206DDA">
        <w:t>cia i prze</w:t>
      </w:r>
      <w:r w:rsidRPr="00206DDA">
        <w:rPr>
          <w:rFonts w:cs="TimesNewRoman"/>
        </w:rPr>
        <w:t>ś</w:t>
      </w:r>
      <w:r w:rsidRPr="00206DDA">
        <w:t>wity w</w:t>
      </w:r>
      <w:r>
        <w:t xml:space="preserve"> </w:t>
      </w:r>
      <w:r w:rsidRPr="00206DDA">
        <w:t>miejscach ich ł</w:t>
      </w:r>
      <w:r w:rsidRPr="00206DDA">
        <w:rPr>
          <w:rFonts w:cs="TimesNewRoman"/>
        </w:rPr>
        <w:t>ą</w:t>
      </w:r>
      <w:r w:rsidRPr="00206DDA">
        <w:t>czenia.</w:t>
      </w:r>
    </w:p>
    <w:p w:rsidR="002D7D6F" w:rsidRPr="00433A61" w:rsidRDefault="002D7D6F" w:rsidP="00133390">
      <w:pPr>
        <w:pStyle w:val="Nagwek2"/>
      </w:pPr>
      <w:r w:rsidRPr="00433A61">
        <w:t>Znaki odblaskowe</w:t>
      </w:r>
    </w:p>
    <w:p w:rsidR="002D7D6F" w:rsidRPr="00433A61" w:rsidRDefault="002D7D6F" w:rsidP="002D7D6F">
      <w:pPr>
        <w:pStyle w:val="Nagwek3"/>
      </w:pPr>
      <w:r w:rsidRPr="00433A61">
        <w:t>Wymagania dotyczące powierzchni odblaskowej</w:t>
      </w:r>
    </w:p>
    <w:p w:rsidR="002D7D6F" w:rsidRDefault="002D7D6F" w:rsidP="00677B8E">
      <w:pPr>
        <w:pStyle w:val="tekst"/>
      </w:pPr>
      <w: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D7D6F" w:rsidRDefault="002D7D6F" w:rsidP="00677B8E">
      <w:pPr>
        <w:pStyle w:val="tekst"/>
      </w:pPr>
      <w:r>
        <w:tab/>
        <w:t xml:space="preserve">Folia odblaskowa (odbijająca powrotnie) powinna spełniać wymagania określone w aprobacie technicznej. Lico znaku powinno być wykonane z: </w:t>
      </w:r>
      <w:r>
        <w:rPr>
          <w:rFonts w:ascii="SymbolMT" w:hAnsi="SymbolMT"/>
          <w:szCs w:val="20"/>
        </w:rPr>
        <w:sym w:font="Symbol" w:char="F02D"/>
      </w:r>
      <w: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D7D6F" w:rsidRDefault="002D7D6F" w:rsidP="005C4FF4">
      <w:pPr>
        <w:pStyle w:val="tekst"/>
        <w:numPr>
          <w:ilvl w:val="0"/>
          <w:numId w:val="12"/>
        </w:numPr>
      </w:pPr>
      <w: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D7D6F" w:rsidRDefault="002D7D6F" w:rsidP="005C4FF4">
      <w:pPr>
        <w:pStyle w:val="tekst"/>
        <w:numPr>
          <w:ilvl w:val="0"/>
          <w:numId w:val="12"/>
        </w:numPr>
      </w:pPr>
      <w:r>
        <w:t>dopuszcza się wycinanie kształtów z folii 2 i 3 typu pod warunkiem zabezpieczenia ich krawędzi lakierem zalecanym przez producenta folii,</w:t>
      </w:r>
    </w:p>
    <w:p w:rsidR="002D7D6F" w:rsidRPr="00356674" w:rsidRDefault="002D7D6F" w:rsidP="005C4FF4">
      <w:pPr>
        <w:pStyle w:val="tekst"/>
        <w:numPr>
          <w:ilvl w:val="0"/>
          <w:numId w:val="12"/>
        </w:numPr>
      </w:pPr>
      <w:r>
        <w:t>nie dopuszcza się stosowania folii o okresie trwałości poniżej 7 lat do znaków stałych,</w:t>
      </w:r>
    </w:p>
    <w:p w:rsidR="002D7D6F" w:rsidRDefault="002D7D6F" w:rsidP="005C4FF4">
      <w:pPr>
        <w:pStyle w:val="tekst"/>
        <w:numPr>
          <w:ilvl w:val="0"/>
          <w:numId w:val="12"/>
        </w:numPr>
      </w:pPr>
      <w:r>
        <w:t xml:space="preserve">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w:t>
      </w:r>
      <w:r>
        <w:lastRenderedPageBreak/>
        <w:t>sprawie szczegółowych warunków technicznych dla znaków i sygnałów drogowych oraz urządzeń bezpieczeństwa ruchu drogowego i warunków ich umieszczania na drogach [33].</w:t>
      </w:r>
    </w:p>
    <w:p w:rsidR="002D7D6F" w:rsidRDefault="002D7D6F" w:rsidP="00677B8E">
      <w:pPr>
        <w:pStyle w:val="tekst"/>
      </w:pPr>
      <w:r>
        <w:tab/>
        <w:t xml:space="preserve">Minimalna początkowa wartość współczynnika odblasku </w:t>
      </w:r>
      <w:r w:rsidRPr="00356674">
        <w:rPr>
          <w:szCs w:val="20"/>
        </w:rPr>
        <w:t>R’(cd·lx</w:t>
      </w:r>
      <w:r w:rsidRPr="00356674">
        <w:rPr>
          <w:szCs w:val="20"/>
          <w:vertAlign w:val="superscript"/>
        </w:rPr>
        <w:t>-1</w:t>
      </w:r>
      <w:r w:rsidRPr="00356674">
        <w:rPr>
          <w:szCs w:val="20"/>
        </w:rPr>
        <w:t>m</w:t>
      </w:r>
      <w:r w:rsidRPr="00356674">
        <w:rPr>
          <w:szCs w:val="20"/>
          <w:vertAlign w:val="superscript"/>
        </w:rPr>
        <w:t>-2</w:t>
      </w:r>
      <w:r w:rsidRPr="00356674">
        <w:rPr>
          <w:szCs w:val="20"/>
        </w:rPr>
        <w:t>)</w:t>
      </w:r>
      <w:r>
        <w:t xml:space="preserve"> znaków odblaskowych, zmierzona zgodnie </w:t>
      </w:r>
      <w:r w:rsidR="00133390">
        <w:t>z procedurą zawartą w CIE No.54</w:t>
      </w:r>
      <w:r>
        <w:t xml:space="preserve">, używając standardowego </w:t>
      </w:r>
      <w:proofErr w:type="spellStart"/>
      <w:r>
        <w:t>iluminanta</w:t>
      </w:r>
      <w:proofErr w:type="spellEnd"/>
      <w:r>
        <w:t xml:space="preserve"> A, powinna spełniać odpowiednio wymagania podane w tablicy 2.</w:t>
      </w:r>
    </w:p>
    <w:p w:rsidR="002D7D6F" w:rsidRDefault="002D7D6F" w:rsidP="00677B8E">
      <w:pPr>
        <w:pStyle w:val="tekst"/>
      </w:pPr>
      <w:r>
        <w:tab/>
        <w:t>Współczynnik odblasku R’ dla wszystkich kolorów drukowanych, z wyjątkiem białego, nie powinien być mniejszy niż 70 % wartości podanych w tablicy 2 dla znaków z folią typu 1 lub typu 2, zgodnie z publikacją CIE No 39.2 [36]. Folie odblaskowe pryzmatyczne (typ 3) powinny spełniać minimalne wymagania dla folii typu 2 lub zwiększone wymagania postawione w aprobacie technicznej dla danej folii.</w:t>
      </w:r>
    </w:p>
    <w:p w:rsidR="002D7D6F" w:rsidRDefault="002D7D6F" w:rsidP="00677B8E">
      <w:pPr>
        <w:pStyle w:val="tekst"/>
      </w:pPr>
      <w:r>
        <w:tab/>
        <w:t xml:space="preserve">W przypadku oświetlenia standardowym </w:t>
      </w:r>
      <w:proofErr w:type="spellStart"/>
      <w:r>
        <w:t>iluminantem</w:t>
      </w:r>
      <w:proofErr w:type="spellEnd"/>
      <w:r>
        <w:t xml:space="preserve"> D 65 i pomiaru w geometrii 45/0</w:t>
      </w:r>
      <w:r w:rsidRPr="002622A5">
        <w:rPr>
          <w:rFonts w:eastAsia="Times New Roman"/>
          <w:w w:val="98"/>
          <w:sz w:val="22"/>
          <w:szCs w:val="18"/>
        </w:rPr>
        <w:t>°</w:t>
      </w:r>
      <w:r>
        <w:t xml:space="preserve"> współrzędne chromatyczności i współczynnik luminancji </w:t>
      </w:r>
      <w:r>
        <w:rPr>
          <w:rFonts w:ascii="SymbolMT" w:hAnsi="SymbolMT"/>
        </w:rPr>
        <w:sym w:font="Symbol" w:char="F062"/>
      </w:r>
      <w:r>
        <w:t>powinny być zgodne z wymaganiami podanymi w tablicach 2 i 3.</w:t>
      </w:r>
    </w:p>
    <w:p w:rsidR="002D7D6F" w:rsidRPr="00356674" w:rsidRDefault="002D7D6F" w:rsidP="00677B8E">
      <w:pPr>
        <w:pStyle w:val="tekst"/>
        <w:jc w:val="center"/>
      </w:pPr>
      <w:r w:rsidRPr="00356674">
        <w:t>Tablica 2. Wymagania dla współczynnika luminancji i współrzędnych chromatyczności x, y oraz współczynnika odblasku R’</w:t>
      </w:r>
    </w:p>
    <w:tbl>
      <w:tblPr>
        <w:tblW w:w="0" w:type="auto"/>
        <w:tblInd w:w="910" w:type="dxa"/>
        <w:tblLayout w:type="fixed"/>
        <w:tblCellMar>
          <w:left w:w="0" w:type="dxa"/>
          <w:right w:w="0" w:type="dxa"/>
        </w:tblCellMar>
        <w:tblLook w:val="0000"/>
      </w:tblPr>
      <w:tblGrid>
        <w:gridCol w:w="580"/>
        <w:gridCol w:w="2840"/>
        <w:gridCol w:w="1000"/>
        <w:gridCol w:w="1560"/>
        <w:gridCol w:w="1580"/>
      </w:tblGrid>
      <w:tr w:rsidR="002D7D6F" w:rsidRPr="00133390" w:rsidTr="002D7D6F">
        <w:trPr>
          <w:trHeight w:val="506"/>
        </w:trPr>
        <w:tc>
          <w:tcPr>
            <w:tcW w:w="580" w:type="dxa"/>
            <w:tcBorders>
              <w:top w:val="single" w:sz="8" w:space="0" w:color="auto"/>
              <w:left w:val="single" w:sz="8" w:space="0" w:color="auto"/>
              <w:bottom w:val="double" w:sz="4" w:space="0" w:color="auto"/>
              <w:right w:val="single" w:sz="8" w:space="0" w:color="auto"/>
            </w:tcBorders>
            <w:shd w:val="clear" w:color="auto" w:fill="auto"/>
            <w:vAlign w:val="center"/>
          </w:tcPr>
          <w:p w:rsidR="002D7D6F" w:rsidRPr="00133390" w:rsidRDefault="002D7D6F" w:rsidP="002D7D6F">
            <w:pPr>
              <w:spacing w:line="360" w:lineRule="auto"/>
              <w:ind w:left="80"/>
              <w:jc w:val="center"/>
              <w:rPr>
                <w:rFonts w:eastAsia="Times New Roman" w:cstheme="minorHAnsi"/>
                <w:sz w:val="18"/>
                <w:szCs w:val="18"/>
              </w:rPr>
            </w:pPr>
            <w:r w:rsidRPr="00133390">
              <w:rPr>
                <w:rFonts w:eastAsia="Times New Roman" w:cstheme="minorHAnsi"/>
                <w:sz w:val="18"/>
                <w:szCs w:val="18"/>
              </w:rPr>
              <w:t>Lp.</w:t>
            </w:r>
          </w:p>
        </w:tc>
        <w:tc>
          <w:tcPr>
            <w:tcW w:w="2840" w:type="dxa"/>
            <w:tcBorders>
              <w:top w:val="single" w:sz="8" w:space="0" w:color="auto"/>
              <w:bottom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Właściwości</w:t>
            </w:r>
          </w:p>
        </w:tc>
        <w:tc>
          <w:tcPr>
            <w:tcW w:w="1000" w:type="dxa"/>
            <w:tcBorders>
              <w:top w:val="single" w:sz="8" w:space="0" w:color="auto"/>
              <w:bottom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Jednostki</w:t>
            </w:r>
          </w:p>
        </w:tc>
        <w:tc>
          <w:tcPr>
            <w:tcW w:w="3140" w:type="dxa"/>
            <w:gridSpan w:val="2"/>
            <w:tcBorders>
              <w:top w:val="single" w:sz="8" w:space="0" w:color="auto"/>
              <w:bottom w:val="double" w:sz="4"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r w:rsidRPr="00133390">
              <w:rPr>
                <w:rFonts w:eastAsia="Times New Roman" w:cstheme="minorHAnsi"/>
                <w:sz w:val="18"/>
                <w:szCs w:val="18"/>
              </w:rPr>
              <w:t>Wymagania</w:t>
            </w:r>
          </w:p>
        </w:tc>
      </w:tr>
      <w:tr w:rsidR="002D7D6F" w:rsidRPr="00133390" w:rsidTr="002D7D6F">
        <w:trPr>
          <w:trHeight w:val="227"/>
        </w:trPr>
        <w:tc>
          <w:tcPr>
            <w:tcW w:w="580" w:type="dxa"/>
            <w:vMerge w:val="restart"/>
            <w:tcBorders>
              <w:top w:val="double" w:sz="4" w:space="0" w:color="auto"/>
              <w:left w:val="single" w:sz="8" w:space="0" w:color="auto"/>
              <w:right w:val="single" w:sz="8" w:space="0" w:color="auto"/>
            </w:tcBorders>
            <w:shd w:val="clear" w:color="auto" w:fill="auto"/>
            <w:vAlign w:val="center"/>
          </w:tcPr>
          <w:p w:rsidR="002D7D6F" w:rsidRPr="00133390" w:rsidRDefault="002D7D6F" w:rsidP="002D7D6F">
            <w:pPr>
              <w:spacing w:line="360" w:lineRule="auto"/>
              <w:ind w:left="80"/>
              <w:jc w:val="center"/>
              <w:rPr>
                <w:rFonts w:eastAsia="Times New Roman" w:cstheme="minorHAnsi"/>
                <w:sz w:val="18"/>
                <w:szCs w:val="18"/>
              </w:rPr>
            </w:pPr>
            <w:r w:rsidRPr="00133390">
              <w:rPr>
                <w:rFonts w:eastAsia="Times New Roman" w:cstheme="minorHAnsi"/>
                <w:sz w:val="18"/>
                <w:szCs w:val="18"/>
              </w:rPr>
              <w:t>1</w:t>
            </w:r>
          </w:p>
        </w:tc>
        <w:tc>
          <w:tcPr>
            <w:tcW w:w="2840" w:type="dxa"/>
            <w:vMerge w:val="restart"/>
            <w:tcBorders>
              <w:top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Współczynnik odblasku R’ (kąt oświetlenia 5</w:t>
            </w:r>
            <w:r w:rsidRPr="00133390">
              <w:rPr>
                <w:rFonts w:eastAsia="Times New Roman" w:cstheme="minorHAnsi"/>
                <w:sz w:val="18"/>
                <w:szCs w:val="18"/>
                <w:vertAlign w:val="superscript"/>
              </w:rPr>
              <w:t>o</w:t>
            </w:r>
            <w:r w:rsidRPr="00133390">
              <w:rPr>
                <w:rFonts w:eastAsia="Times New Roman" w:cstheme="minorHAnsi"/>
                <w:sz w:val="18"/>
                <w:szCs w:val="18"/>
              </w:rPr>
              <w:t>, kąt obserwacji 0,33</w:t>
            </w:r>
            <w:r w:rsidRPr="00133390">
              <w:rPr>
                <w:rFonts w:eastAsia="Times New Roman" w:cstheme="minorHAnsi"/>
                <w:sz w:val="18"/>
                <w:szCs w:val="18"/>
                <w:vertAlign w:val="superscript"/>
              </w:rPr>
              <w:t>o</w:t>
            </w:r>
            <w:r w:rsidRPr="00133390">
              <w:rPr>
                <w:rFonts w:eastAsia="Times New Roman" w:cstheme="minorHAnsi"/>
                <w:sz w:val="18"/>
                <w:szCs w:val="18"/>
              </w:rPr>
              <w:t>)</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dla folii:</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białej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żółtej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czerwonej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zielonej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niebieskiej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brązowej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pomarańczowej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szarej</w:t>
            </w:r>
          </w:p>
        </w:tc>
        <w:tc>
          <w:tcPr>
            <w:tcW w:w="1000" w:type="dxa"/>
            <w:vMerge w:val="restart"/>
            <w:tcBorders>
              <w:top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roofErr w:type="spellStart"/>
            <w:r w:rsidRPr="00133390">
              <w:rPr>
                <w:rFonts w:eastAsia="Times New Roman" w:cstheme="minorHAnsi"/>
                <w:sz w:val="18"/>
                <w:szCs w:val="18"/>
              </w:rPr>
              <w:t>cd</w:t>
            </w:r>
            <w:proofErr w:type="spellEnd"/>
            <w:r w:rsidRPr="00133390">
              <w:rPr>
                <w:rFonts w:eastAsia="Times New Roman" w:cstheme="minorHAnsi"/>
                <w:sz w:val="18"/>
                <w:szCs w:val="18"/>
              </w:rPr>
              <w:t>/m</w:t>
            </w:r>
            <w:r w:rsidRPr="00133390">
              <w:rPr>
                <w:rFonts w:eastAsia="Times New Roman" w:cstheme="minorHAnsi"/>
                <w:sz w:val="18"/>
                <w:szCs w:val="18"/>
                <w:vertAlign w:val="superscript"/>
              </w:rPr>
              <w:t>2</w:t>
            </w:r>
            <w:r w:rsidRPr="00133390">
              <w:rPr>
                <w:rFonts w:eastAsia="Times New Roman" w:cstheme="minorHAnsi"/>
                <w:sz w:val="18"/>
                <w:szCs w:val="18"/>
              </w:rPr>
              <w:t>lx</w:t>
            </w:r>
          </w:p>
        </w:tc>
        <w:tc>
          <w:tcPr>
            <w:tcW w:w="1560" w:type="dxa"/>
            <w:tcBorders>
              <w:top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typ 1</w:t>
            </w:r>
          </w:p>
        </w:tc>
        <w:tc>
          <w:tcPr>
            <w:tcW w:w="1580" w:type="dxa"/>
            <w:tcBorders>
              <w:top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typ 2</w:t>
            </w: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80" w:type="dxa"/>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80" w:type="dxa"/>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58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50</w:t>
            </w:r>
          </w:p>
        </w:tc>
        <w:tc>
          <w:tcPr>
            <w:tcW w:w="158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180</w:t>
            </w: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35</w:t>
            </w:r>
          </w:p>
        </w:tc>
        <w:tc>
          <w:tcPr>
            <w:tcW w:w="158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120</w:t>
            </w: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10</w:t>
            </w:r>
          </w:p>
        </w:tc>
        <w:tc>
          <w:tcPr>
            <w:tcW w:w="158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45</w:t>
            </w:r>
          </w:p>
        </w:tc>
      </w:tr>
      <w:tr w:rsidR="002D7D6F" w:rsidRPr="00133390" w:rsidTr="002D7D6F">
        <w:trPr>
          <w:trHeight w:val="227"/>
        </w:trPr>
        <w:tc>
          <w:tcPr>
            <w:tcW w:w="580" w:type="dxa"/>
            <w:vMerge/>
            <w:tcBorders>
              <w:left w:val="single" w:sz="8" w:space="0" w:color="auto"/>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7</w:t>
            </w:r>
          </w:p>
        </w:tc>
        <w:tc>
          <w:tcPr>
            <w:tcW w:w="158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21</w:t>
            </w:r>
          </w:p>
        </w:tc>
      </w:tr>
      <w:tr w:rsidR="002D7D6F" w:rsidRPr="00133390" w:rsidTr="002D7D6F">
        <w:trPr>
          <w:trHeight w:val="227"/>
        </w:trPr>
        <w:tc>
          <w:tcPr>
            <w:tcW w:w="580" w:type="dxa"/>
            <w:vMerge/>
            <w:tcBorders>
              <w:left w:val="single" w:sz="8" w:space="0" w:color="auto"/>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2</w:t>
            </w:r>
          </w:p>
        </w:tc>
        <w:tc>
          <w:tcPr>
            <w:tcW w:w="158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14</w:t>
            </w:r>
          </w:p>
        </w:tc>
      </w:tr>
      <w:tr w:rsidR="002D7D6F" w:rsidRPr="00133390" w:rsidTr="002D7D6F">
        <w:trPr>
          <w:trHeight w:val="227"/>
        </w:trPr>
        <w:tc>
          <w:tcPr>
            <w:tcW w:w="580" w:type="dxa"/>
            <w:vMerge/>
            <w:tcBorders>
              <w:left w:val="single" w:sz="8" w:space="0" w:color="auto"/>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0,6</w:t>
            </w:r>
          </w:p>
        </w:tc>
        <w:tc>
          <w:tcPr>
            <w:tcW w:w="158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8</w:t>
            </w:r>
          </w:p>
        </w:tc>
      </w:tr>
      <w:tr w:rsidR="002D7D6F" w:rsidRPr="00133390" w:rsidTr="002D7D6F">
        <w:trPr>
          <w:trHeight w:val="227"/>
        </w:trPr>
        <w:tc>
          <w:tcPr>
            <w:tcW w:w="580" w:type="dxa"/>
            <w:vMerge/>
            <w:tcBorders>
              <w:left w:val="single" w:sz="8" w:space="0" w:color="auto"/>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00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20</w:t>
            </w:r>
          </w:p>
        </w:tc>
        <w:tc>
          <w:tcPr>
            <w:tcW w:w="158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65</w:t>
            </w:r>
          </w:p>
        </w:tc>
      </w:tr>
      <w:tr w:rsidR="002D7D6F" w:rsidRPr="00133390" w:rsidTr="002D7D6F">
        <w:trPr>
          <w:trHeight w:val="227"/>
        </w:trPr>
        <w:tc>
          <w:tcPr>
            <w:tcW w:w="580" w:type="dxa"/>
            <w:vMerge/>
            <w:tcBorders>
              <w:left w:val="single" w:sz="8" w:space="0" w:color="auto"/>
              <w:bottom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000" w:type="dxa"/>
            <w:vMerge/>
            <w:tcBorders>
              <w:bottom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single" w:sz="8"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30</w:t>
            </w:r>
          </w:p>
        </w:tc>
        <w:tc>
          <w:tcPr>
            <w:tcW w:w="1580" w:type="dxa"/>
            <w:tcBorders>
              <w:bottom w:val="single" w:sz="8"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90</w:t>
            </w:r>
          </w:p>
        </w:tc>
      </w:tr>
      <w:tr w:rsidR="002D7D6F" w:rsidRPr="00133390" w:rsidTr="002D7D6F">
        <w:trPr>
          <w:trHeight w:val="195"/>
        </w:trPr>
        <w:tc>
          <w:tcPr>
            <w:tcW w:w="580" w:type="dxa"/>
            <w:tcBorders>
              <w:left w:val="single" w:sz="8" w:space="0" w:color="auto"/>
              <w:bottom w:val="single" w:sz="8" w:space="0" w:color="auto"/>
              <w:right w:val="single" w:sz="8" w:space="0" w:color="auto"/>
            </w:tcBorders>
            <w:shd w:val="clear" w:color="auto" w:fill="auto"/>
            <w:vAlign w:val="center"/>
          </w:tcPr>
          <w:p w:rsidR="002D7D6F" w:rsidRPr="00133390" w:rsidRDefault="002D7D6F" w:rsidP="002D7D6F">
            <w:pPr>
              <w:spacing w:line="360" w:lineRule="auto"/>
              <w:ind w:left="80"/>
              <w:jc w:val="center"/>
              <w:rPr>
                <w:rFonts w:eastAsia="Times New Roman" w:cstheme="minorHAnsi"/>
                <w:sz w:val="18"/>
                <w:szCs w:val="18"/>
              </w:rPr>
            </w:pPr>
            <w:r w:rsidRPr="00133390">
              <w:rPr>
                <w:rFonts w:eastAsia="Times New Roman" w:cstheme="minorHAnsi"/>
                <w:sz w:val="18"/>
                <w:szCs w:val="18"/>
              </w:rPr>
              <w:t>2</w:t>
            </w:r>
          </w:p>
        </w:tc>
        <w:tc>
          <w:tcPr>
            <w:tcW w:w="2840" w:type="dxa"/>
            <w:tcBorders>
              <w:bottom w:val="single" w:sz="8" w:space="0" w:color="auto"/>
              <w:right w:val="single" w:sz="8" w:space="0" w:color="auto"/>
            </w:tcBorders>
            <w:shd w:val="clear" w:color="auto" w:fill="auto"/>
            <w:vAlign w:val="center"/>
          </w:tcPr>
          <w:p w:rsidR="002D7D6F" w:rsidRPr="00133390" w:rsidRDefault="002D7D6F" w:rsidP="002D7D6F">
            <w:pPr>
              <w:spacing w:line="360" w:lineRule="auto"/>
              <w:ind w:left="60"/>
              <w:rPr>
                <w:rFonts w:eastAsia="Times New Roman" w:cstheme="minorHAnsi"/>
                <w:sz w:val="18"/>
                <w:szCs w:val="18"/>
              </w:rPr>
            </w:pPr>
            <w:r w:rsidRPr="00133390">
              <w:rPr>
                <w:rFonts w:eastAsia="Times New Roman" w:cstheme="minorHAnsi"/>
                <w:sz w:val="18"/>
                <w:szCs w:val="18"/>
              </w:rPr>
              <w:t>Współczynnik luminacji β i współrzędne chromatyczności x, y *) dla folii:</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białej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żółtej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czerwonej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zielonej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niebieskiej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brązowej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pomarańczowej</w:t>
            </w:r>
          </w:p>
          <w:p w:rsidR="002D7D6F" w:rsidRPr="00133390" w:rsidRDefault="002D7D6F" w:rsidP="002D7D6F">
            <w:pPr>
              <w:spacing w:line="360" w:lineRule="auto"/>
              <w:ind w:left="60"/>
              <w:rPr>
                <w:rFonts w:eastAsia="Times New Roman" w:cstheme="minorHAnsi"/>
                <w:w w:val="78"/>
                <w:sz w:val="18"/>
                <w:szCs w:val="18"/>
              </w:rPr>
            </w:pPr>
            <w:r w:rsidRPr="00133390">
              <w:rPr>
                <w:rFonts w:eastAsia="Times New Roman" w:cstheme="minorHAnsi"/>
                <w:sz w:val="18"/>
                <w:szCs w:val="18"/>
              </w:rPr>
              <w:t>- szarej</w:t>
            </w:r>
          </w:p>
        </w:tc>
        <w:tc>
          <w:tcPr>
            <w:tcW w:w="1000" w:type="dxa"/>
            <w:tcBorders>
              <w:bottom w:val="single" w:sz="8"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w:t>
            </w:r>
          </w:p>
        </w:tc>
        <w:tc>
          <w:tcPr>
            <w:tcW w:w="1560" w:type="dxa"/>
            <w:tcBorders>
              <w:bottom w:val="single" w:sz="8" w:space="0" w:color="auto"/>
              <w:right w:val="single" w:sz="8" w:space="0" w:color="auto"/>
            </w:tcBorders>
            <w:shd w:val="clear" w:color="auto" w:fill="auto"/>
            <w:vAlign w:val="bottom"/>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0,35</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0,27</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0,05</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0,04</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0,01</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0,09 ≥ Β ≥ 0,03</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0,17</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0,18 ≥ Β ≥ 0,12</w:t>
            </w:r>
          </w:p>
        </w:tc>
        <w:tc>
          <w:tcPr>
            <w:tcW w:w="1580" w:type="dxa"/>
            <w:tcBorders>
              <w:bottom w:val="single" w:sz="8" w:space="0" w:color="auto"/>
              <w:right w:val="single" w:sz="8" w:space="0" w:color="auto"/>
            </w:tcBorders>
            <w:shd w:val="clear" w:color="auto" w:fill="auto"/>
            <w:vAlign w:val="bottom"/>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0,27</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0,16</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0,03</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0,03</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0,01</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0,09 ≥ Β ≥ 0,03</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0,14</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0,18 ≥ Β ≥ 0,12</w:t>
            </w:r>
          </w:p>
        </w:tc>
      </w:tr>
    </w:tbl>
    <w:p w:rsidR="002D7D6F" w:rsidRPr="00677B8E" w:rsidRDefault="002D7D6F" w:rsidP="00677B8E">
      <w:pPr>
        <w:pStyle w:val="tekst"/>
        <w:rPr>
          <w:sz w:val="18"/>
        </w:rPr>
      </w:pPr>
      <w:r w:rsidRPr="00677B8E">
        <w:rPr>
          <w:sz w:val="18"/>
        </w:rPr>
        <w:t>*) współrzędne chromatyczności x, y w polu barw według Tab.3.</w:t>
      </w:r>
    </w:p>
    <w:p w:rsidR="002D7D6F" w:rsidRPr="00A16E2E" w:rsidRDefault="002D7D6F" w:rsidP="00677B8E">
      <w:pPr>
        <w:pStyle w:val="tekst"/>
        <w:jc w:val="center"/>
        <w:rPr>
          <w:szCs w:val="20"/>
        </w:rPr>
      </w:pPr>
      <w:r>
        <w:lastRenderedPageBreak/>
        <w:t>Tablica 3. Współrzędne punktów narożnych wyznaczających pola barw</w:t>
      </w:r>
    </w:p>
    <w:tbl>
      <w:tblPr>
        <w:tblW w:w="0" w:type="auto"/>
        <w:jc w:val="center"/>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1940"/>
        <w:gridCol w:w="840"/>
        <w:gridCol w:w="1140"/>
        <w:gridCol w:w="1140"/>
        <w:gridCol w:w="1120"/>
        <w:gridCol w:w="1140"/>
      </w:tblGrid>
      <w:tr w:rsidR="002D7D6F" w:rsidRPr="00133390" w:rsidTr="002D7D6F">
        <w:trPr>
          <w:trHeight w:val="614"/>
          <w:jc w:val="center"/>
        </w:trPr>
        <w:tc>
          <w:tcPr>
            <w:tcW w:w="2780" w:type="dxa"/>
            <w:gridSpan w:val="2"/>
            <w:vMerge w:val="restart"/>
            <w:shd w:val="clear" w:color="auto" w:fill="auto"/>
            <w:vAlign w:val="center"/>
          </w:tcPr>
          <w:p w:rsidR="002D7D6F" w:rsidRPr="00133390" w:rsidRDefault="002D7D6F" w:rsidP="002D7D6F">
            <w:pPr>
              <w:spacing w:line="360" w:lineRule="auto"/>
              <w:jc w:val="center"/>
              <w:rPr>
                <w:rFonts w:eastAsia="Times New Roman"/>
                <w:sz w:val="18"/>
                <w:szCs w:val="18"/>
              </w:rPr>
            </w:pPr>
            <w:bookmarkStart w:id="2" w:name="page88"/>
            <w:bookmarkEnd w:id="2"/>
            <w:r w:rsidRPr="00133390">
              <w:rPr>
                <w:rFonts w:eastAsia="Times New Roman"/>
                <w:sz w:val="18"/>
                <w:szCs w:val="18"/>
              </w:rPr>
              <w:t>Barwa folii</w:t>
            </w:r>
          </w:p>
        </w:tc>
        <w:tc>
          <w:tcPr>
            <w:tcW w:w="4540" w:type="dxa"/>
            <w:gridSpan w:val="4"/>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 xml:space="preserve">Współrzędne chromatyczności </w:t>
            </w:r>
            <w:r w:rsidRPr="00133390">
              <w:rPr>
                <w:rFonts w:eastAsia="Times New Roman"/>
                <w:w w:val="98"/>
                <w:sz w:val="18"/>
                <w:szCs w:val="18"/>
              </w:rPr>
              <w:t>punktów</w:t>
            </w:r>
            <w:r w:rsidRPr="00133390">
              <w:rPr>
                <w:rFonts w:eastAsia="Times New Roman"/>
                <w:sz w:val="18"/>
                <w:szCs w:val="18"/>
              </w:rPr>
              <w:t xml:space="preserve"> narożnych wyznaczających pole barwy</w:t>
            </w:r>
          </w:p>
          <w:p w:rsidR="002D7D6F" w:rsidRPr="00133390" w:rsidRDefault="002D7D6F" w:rsidP="002D7D6F">
            <w:pPr>
              <w:spacing w:line="360" w:lineRule="auto"/>
              <w:jc w:val="center"/>
              <w:rPr>
                <w:rFonts w:eastAsia="Times New Roman"/>
                <w:sz w:val="18"/>
                <w:szCs w:val="18"/>
              </w:rPr>
            </w:pPr>
            <w:r w:rsidRPr="00133390">
              <w:rPr>
                <w:rFonts w:eastAsia="Times New Roman"/>
                <w:w w:val="98"/>
                <w:sz w:val="18"/>
                <w:szCs w:val="18"/>
              </w:rPr>
              <w:t>(źródło światła D</w:t>
            </w:r>
            <w:r w:rsidRPr="00133390">
              <w:rPr>
                <w:rFonts w:eastAsia="Times New Roman"/>
                <w:w w:val="98"/>
                <w:sz w:val="18"/>
                <w:szCs w:val="18"/>
                <w:vertAlign w:val="subscript"/>
              </w:rPr>
              <w:t>65</w:t>
            </w:r>
            <w:r w:rsidRPr="00133390">
              <w:rPr>
                <w:rFonts w:eastAsia="Times New Roman"/>
                <w:w w:val="98"/>
                <w:sz w:val="18"/>
                <w:szCs w:val="18"/>
              </w:rPr>
              <w:t>, geometria pomiaru 45/0°)</w:t>
            </w:r>
          </w:p>
        </w:tc>
      </w:tr>
      <w:tr w:rsidR="002D7D6F" w:rsidRPr="00133390" w:rsidTr="002D7D6F">
        <w:trPr>
          <w:trHeight w:val="196"/>
          <w:jc w:val="center"/>
        </w:trPr>
        <w:tc>
          <w:tcPr>
            <w:tcW w:w="2780" w:type="dxa"/>
            <w:gridSpan w:val="2"/>
            <w:vMerge/>
            <w:tcBorders>
              <w:bottom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1140" w:type="dxa"/>
            <w:tcBorders>
              <w:bottom w:val="double" w:sz="4" w:space="0" w:color="auto"/>
            </w:tcBorders>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1</w:t>
            </w:r>
          </w:p>
        </w:tc>
        <w:tc>
          <w:tcPr>
            <w:tcW w:w="1140" w:type="dxa"/>
            <w:tcBorders>
              <w:bottom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2</w:t>
            </w:r>
          </w:p>
        </w:tc>
        <w:tc>
          <w:tcPr>
            <w:tcW w:w="1120" w:type="dxa"/>
            <w:tcBorders>
              <w:bottom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3</w:t>
            </w:r>
          </w:p>
        </w:tc>
        <w:tc>
          <w:tcPr>
            <w:tcW w:w="1140" w:type="dxa"/>
            <w:tcBorders>
              <w:bottom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4</w:t>
            </w:r>
          </w:p>
        </w:tc>
      </w:tr>
      <w:tr w:rsidR="002D7D6F" w:rsidRPr="00133390" w:rsidTr="002D7D6F">
        <w:trPr>
          <w:trHeight w:val="258"/>
          <w:jc w:val="center"/>
        </w:trPr>
        <w:tc>
          <w:tcPr>
            <w:tcW w:w="1940" w:type="dxa"/>
            <w:vMerge w:val="restart"/>
            <w:tcBorders>
              <w:top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Biała</w:t>
            </w:r>
          </w:p>
        </w:tc>
        <w:tc>
          <w:tcPr>
            <w:tcW w:w="840" w:type="dxa"/>
            <w:tcBorders>
              <w:top w:val="double" w:sz="4" w:space="0" w:color="auto"/>
            </w:tcBorders>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tcBorders>
              <w:top w:val="double" w:sz="4" w:space="0" w:color="auto"/>
            </w:tcBorders>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0,355</w:t>
            </w:r>
          </w:p>
        </w:tc>
        <w:tc>
          <w:tcPr>
            <w:tcW w:w="1140" w:type="dxa"/>
            <w:tcBorders>
              <w:top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0,305</w:t>
            </w:r>
          </w:p>
        </w:tc>
        <w:tc>
          <w:tcPr>
            <w:tcW w:w="1120" w:type="dxa"/>
            <w:tcBorders>
              <w:top w:val="double" w:sz="4" w:space="0" w:color="auto"/>
            </w:tcBorders>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0,285</w:t>
            </w:r>
          </w:p>
        </w:tc>
        <w:tc>
          <w:tcPr>
            <w:tcW w:w="1140" w:type="dxa"/>
            <w:tcBorders>
              <w:top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0,335</w:t>
            </w:r>
          </w:p>
        </w:tc>
      </w:tr>
      <w:tr w:rsidR="002D7D6F" w:rsidRPr="00133390" w:rsidTr="002D7D6F">
        <w:trPr>
          <w:trHeight w:val="268"/>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0,355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0,305</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0,325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0,375</w:t>
            </w:r>
          </w:p>
        </w:tc>
      </w:tr>
      <w:tr w:rsidR="002D7D6F" w:rsidRPr="00133390" w:rsidTr="002D7D6F">
        <w:trPr>
          <w:trHeight w:val="201"/>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Żółta typ 1 folii</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0,522</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0,470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0,427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0,465</w:t>
            </w:r>
          </w:p>
        </w:tc>
      </w:tr>
      <w:tr w:rsidR="002D7D6F" w:rsidRPr="00133390" w:rsidTr="002D7D6F">
        <w:trPr>
          <w:trHeight w:val="273"/>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0,477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0,440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0,483</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0,534</w:t>
            </w:r>
          </w:p>
        </w:tc>
      </w:tr>
      <w:tr w:rsidR="002D7D6F" w:rsidRPr="00133390" w:rsidTr="002D7D6F">
        <w:trPr>
          <w:trHeight w:val="196"/>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Żółta typ 2 folii</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0,545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0,487</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0,427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0,465</w:t>
            </w:r>
          </w:p>
        </w:tc>
      </w:tr>
      <w:tr w:rsidR="002D7D6F" w:rsidRPr="00133390" w:rsidTr="002D7D6F">
        <w:trPr>
          <w:trHeight w:val="207"/>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0,454</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0,423</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0,483</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0,534</w:t>
            </w:r>
          </w:p>
        </w:tc>
      </w:tr>
      <w:tr w:rsidR="002D7D6F" w:rsidRPr="00133390" w:rsidTr="002D7D6F">
        <w:trPr>
          <w:trHeight w:val="201"/>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Czerwona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0,735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0,674</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0,569</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0,655</w:t>
            </w:r>
          </w:p>
        </w:tc>
      </w:tr>
      <w:tr w:rsidR="002D7D6F" w:rsidRPr="00133390" w:rsidTr="002D7D6F">
        <w:trPr>
          <w:trHeight w:val="207"/>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0,265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0,236</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0,341</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0,345</w:t>
            </w:r>
          </w:p>
        </w:tc>
      </w:tr>
      <w:tr w:rsidR="002D7D6F" w:rsidRPr="00133390" w:rsidTr="002D7D6F">
        <w:trPr>
          <w:trHeight w:val="234"/>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Niebieska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0,078</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0,150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0,210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0,137</w:t>
            </w:r>
          </w:p>
        </w:tc>
      </w:tr>
      <w:tr w:rsidR="002D7D6F" w:rsidRPr="00133390" w:rsidTr="002D7D6F">
        <w:trPr>
          <w:trHeight w:val="207"/>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0,171</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0,220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0,160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0,038</w:t>
            </w:r>
          </w:p>
        </w:tc>
      </w:tr>
      <w:tr w:rsidR="002D7D6F" w:rsidRPr="00133390" w:rsidTr="002D7D6F">
        <w:trPr>
          <w:trHeight w:val="206"/>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Zielona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0,007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0,248</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0,177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0,026</w:t>
            </w:r>
          </w:p>
        </w:tc>
      </w:tr>
      <w:tr w:rsidR="002D7D6F" w:rsidRPr="00133390" w:rsidTr="002D7D6F">
        <w:trPr>
          <w:trHeight w:val="220"/>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0,703</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0,409</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0,362</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0,399</w:t>
            </w:r>
          </w:p>
        </w:tc>
      </w:tr>
      <w:tr w:rsidR="002D7D6F" w:rsidRPr="00133390" w:rsidTr="002D7D6F">
        <w:trPr>
          <w:trHeight w:val="201"/>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Brązowa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0,455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0,523</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0,479</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0,558</w:t>
            </w:r>
          </w:p>
        </w:tc>
      </w:tr>
      <w:tr w:rsidR="002D7D6F" w:rsidRPr="00133390" w:rsidTr="002D7D6F">
        <w:trPr>
          <w:trHeight w:val="220"/>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0,397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0,429</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0,373</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0,394</w:t>
            </w:r>
          </w:p>
        </w:tc>
      </w:tr>
      <w:tr w:rsidR="002D7D6F" w:rsidRPr="00133390" w:rsidTr="002D7D6F">
        <w:trPr>
          <w:trHeight w:val="206"/>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Pomarańczowa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0,610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0,535</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0,506</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0,570</w:t>
            </w:r>
          </w:p>
        </w:tc>
      </w:tr>
      <w:tr w:rsidR="002D7D6F" w:rsidRPr="00133390" w:rsidTr="002D7D6F">
        <w:trPr>
          <w:trHeight w:val="220"/>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0,390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0,375</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0,404</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0,429</w:t>
            </w:r>
          </w:p>
        </w:tc>
      </w:tr>
      <w:tr w:rsidR="002D7D6F" w:rsidRPr="00133390" w:rsidTr="002D7D6F">
        <w:trPr>
          <w:trHeight w:val="196"/>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Szara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0,350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0,300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0,285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0,335</w:t>
            </w:r>
          </w:p>
        </w:tc>
      </w:tr>
      <w:tr w:rsidR="002D7D6F" w:rsidRPr="00133390" w:rsidTr="002D7D6F">
        <w:trPr>
          <w:trHeight w:val="111"/>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0,360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0,310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0,325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0,375</w:t>
            </w:r>
          </w:p>
        </w:tc>
      </w:tr>
    </w:tbl>
    <w:p w:rsidR="00677B8E" w:rsidRPr="00677B8E" w:rsidRDefault="00677B8E" w:rsidP="00677B8E">
      <w:pPr>
        <w:rPr>
          <w:sz w:val="14"/>
        </w:rPr>
      </w:pPr>
    </w:p>
    <w:p w:rsidR="002D7D6F" w:rsidRPr="00281400" w:rsidRDefault="002D7D6F" w:rsidP="002D7D6F">
      <w:pPr>
        <w:pStyle w:val="Nagwek3"/>
      </w:pPr>
      <w:r>
        <w:t>Wymagania jakościowe</w:t>
      </w:r>
    </w:p>
    <w:p w:rsidR="002D7D6F" w:rsidRDefault="002D7D6F" w:rsidP="00677B8E">
      <w:pPr>
        <w:pStyle w:val="tekst"/>
      </w:pPr>
      <w:r>
        <w:tab/>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t>mm</w:t>
      </w:r>
      <w:proofErr w:type="spellEnd"/>
      <w:r>
        <w:t>. Rysy nie mają prawa wystąpić.</w:t>
      </w:r>
    </w:p>
    <w:p w:rsidR="002D7D6F" w:rsidRDefault="002D7D6F" w:rsidP="00677B8E">
      <w:pPr>
        <w:pStyle w:val="tekst"/>
      </w:pPr>
      <w:r>
        <w:tab/>
        <w:t>Sposób połączenia folii z powierzchnią tarczy znaku powinien uniemożliwiać jej odłączenie od tarczy bez jej zniszczenia.</w:t>
      </w:r>
    </w:p>
    <w:p w:rsidR="002D7D6F" w:rsidRDefault="002D7D6F" w:rsidP="00677B8E">
      <w:pPr>
        <w:pStyle w:val="tekst"/>
      </w:pPr>
      <w:r>
        <w:tab/>
        <w:t>Dokładność rysunku znaku powinna być taka, aby wady konturów znaku, które mogą powstać przy nanoszeniu farby na odblaskową powierzchnię znaku, nie były większe niż podane w p. 2.6.3.</w:t>
      </w:r>
    </w:p>
    <w:p w:rsidR="002D7D6F" w:rsidRDefault="002D7D6F" w:rsidP="00677B8E">
      <w:pPr>
        <w:pStyle w:val="tekst"/>
      </w:pPr>
      <w:r>
        <w:t>Lica znaków wykonane drukiem sitowym powinny być wolne od smug i cieni.</w:t>
      </w:r>
    </w:p>
    <w:p w:rsidR="002D7D6F" w:rsidRDefault="002D7D6F" w:rsidP="00677B8E">
      <w:pPr>
        <w:pStyle w:val="tekst"/>
      </w:pPr>
      <w:r>
        <w:tab/>
        <w:t>Krawędzie lica znaku z folii typu 2 i folii pryzmatycznej powinny być odpowiednio zabezpieczone np. przez lakierowanie lub ramą z profilu ceowego.</w:t>
      </w:r>
    </w:p>
    <w:p w:rsidR="002D7D6F" w:rsidRDefault="002D7D6F" w:rsidP="00677B8E">
      <w:pPr>
        <w:pStyle w:val="tekst"/>
      </w:pPr>
      <w:r>
        <w:tab/>
        <w:t>Powłoka lakiernicza w kolorze RAL 7037 na tylnej stronie znaku powinna być równa, gładka bez smug i zacieków. Sprawdzenie polega na ocenie wizualnej.</w:t>
      </w:r>
    </w:p>
    <w:p w:rsidR="002D7D6F" w:rsidRDefault="002D7D6F" w:rsidP="002D7D6F">
      <w:pPr>
        <w:pStyle w:val="Nagwek3"/>
      </w:pPr>
      <w:r>
        <w:lastRenderedPageBreak/>
        <w:t>Tolerancje wymiarowe znaków drogowych</w:t>
      </w:r>
    </w:p>
    <w:p w:rsidR="00677B8E" w:rsidRPr="00677B8E" w:rsidRDefault="00677B8E" w:rsidP="00677B8E">
      <w:pPr>
        <w:pStyle w:val="Akapitzlist"/>
        <w:numPr>
          <w:ilvl w:val="0"/>
          <w:numId w:val="2"/>
        </w:numPr>
        <w:spacing w:line="360" w:lineRule="auto"/>
        <w:contextualSpacing w:val="0"/>
        <w:outlineLvl w:val="3"/>
        <w:rPr>
          <w:rFonts w:eastAsia="Arial"/>
          <w:vanish/>
          <w:szCs w:val="20"/>
        </w:rPr>
      </w:pPr>
    </w:p>
    <w:p w:rsidR="00677B8E" w:rsidRPr="00677B8E" w:rsidRDefault="00677B8E" w:rsidP="00677B8E">
      <w:pPr>
        <w:pStyle w:val="Akapitzlist"/>
        <w:numPr>
          <w:ilvl w:val="0"/>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2"/>
          <w:numId w:val="2"/>
        </w:numPr>
        <w:spacing w:line="360" w:lineRule="auto"/>
        <w:contextualSpacing w:val="0"/>
        <w:outlineLvl w:val="3"/>
        <w:rPr>
          <w:rFonts w:eastAsia="Arial"/>
          <w:vanish/>
          <w:szCs w:val="20"/>
        </w:rPr>
      </w:pPr>
    </w:p>
    <w:p w:rsidR="00677B8E" w:rsidRPr="00677B8E" w:rsidRDefault="00677B8E" w:rsidP="00677B8E">
      <w:pPr>
        <w:pStyle w:val="Akapitzlist"/>
        <w:numPr>
          <w:ilvl w:val="2"/>
          <w:numId w:val="2"/>
        </w:numPr>
        <w:spacing w:line="360" w:lineRule="auto"/>
        <w:contextualSpacing w:val="0"/>
        <w:outlineLvl w:val="3"/>
        <w:rPr>
          <w:rFonts w:eastAsia="Arial"/>
          <w:vanish/>
          <w:szCs w:val="20"/>
        </w:rPr>
      </w:pPr>
    </w:p>
    <w:p w:rsidR="00677B8E" w:rsidRPr="00677B8E" w:rsidRDefault="00677B8E" w:rsidP="00677B8E">
      <w:pPr>
        <w:pStyle w:val="Akapitzlist"/>
        <w:numPr>
          <w:ilvl w:val="2"/>
          <w:numId w:val="2"/>
        </w:numPr>
        <w:spacing w:line="360" w:lineRule="auto"/>
        <w:contextualSpacing w:val="0"/>
        <w:outlineLvl w:val="3"/>
        <w:rPr>
          <w:rFonts w:eastAsia="Arial"/>
          <w:vanish/>
          <w:szCs w:val="20"/>
        </w:rPr>
      </w:pPr>
    </w:p>
    <w:p w:rsidR="002D7D6F" w:rsidRPr="00677B8E" w:rsidRDefault="002D7D6F" w:rsidP="005C4FF4">
      <w:pPr>
        <w:pStyle w:val="tekst"/>
        <w:numPr>
          <w:ilvl w:val="0"/>
          <w:numId w:val="13"/>
        </w:numPr>
      </w:pPr>
      <w:r w:rsidRPr="00677B8E">
        <w:t>Tolerancje wymiarowe dla grubości blach</w:t>
      </w:r>
    </w:p>
    <w:p w:rsidR="002D7D6F" w:rsidRDefault="002D7D6F" w:rsidP="00133390">
      <w:pPr>
        <w:pStyle w:val="tekst"/>
        <w:spacing w:after="0"/>
      </w:pPr>
      <w:r>
        <w:tab/>
        <w:t>Sprawdzanie śrubą mikrometryczną:</w:t>
      </w:r>
    </w:p>
    <w:p w:rsidR="002D7D6F" w:rsidRDefault="002D7D6F" w:rsidP="00133390">
      <w:pPr>
        <w:pStyle w:val="tekst"/>
        <w:numPr>
          <w:ilvl w:val="0"/>
          <w:numId w:val="14"/>
        </w:numPr>
        <w:spacing w:after="0"/>
        <w:ind w:left="714" w:hanging="357"/>
      </w:pPr>
      <w:r>
        <w:t>dla blachy stalowej ocynkowanej ogniowo o gr. 1,25 – 1,5 mm wynosi:</w:t>
      </w:r>
      <w:r>
        <w:tab/>
        <w:t>- 0,14 mm,</w:t>
      </w:r>
    </w:p>
    <w:p w:rsidR="002D7D6F" w:rsidRDefault="002D7D6F" w:rsidP="005C4FF4">
      <w:pPr>
        <w:pStyle w:val="tekst"/>
        <w:numPr>
          <w:ilvl w:val="0"/>
          <w:numId w:val="14"/>
        </w:numPr>
        <w:ind w:left="714" w:hanging="357"/>
      </w:pPr>
      <w:r>
        <w:t>dla blach aluminiowych o gr. 1,5 – 2,0 mm wynosi:</w:t>
      </w:r>
      <w:r>
        <w:tab/>
      </w:r>
      <w:r>
        <w:tab/>
      </w:r>
      <w:r>
        <w:tab/>
      </w:r>
      <w:r>
        <w:tab/>
        <w:t xml:space="preserve">- 0,10 </w:t>
      </w:r>
      <w:proofErr w:type="spellStart"/>
      <w:r>
        <w:t>mm</w:t>
      </w:r>
      <w:proofErr w:type="spellEnd"/>
      <w:r>
        <w:t>.</w:t>
      </w:r>
    </w:p>
    <w:p w:rsidR="002D7D6F" w:rsidRDefault="002D7D6F" w:rsidP="005C4FF4">
      <w:pPr>
        <w:pStyle w:val="tekst"/>
        <w:numPr>
          <w:ilvl w:val="0"/>
          <w:numId w:val="13"/>
        </w:numPr>
      </w:pPr>
      <w:r>
        <w:t>Tolerancje wymiarowe dla grubości powłok malarskich</w:t>
      </w:r>
    </w:p>
    <w:p w:rsidR="002D7D6F" w:rsidRDefault="002D7D6F" w:rsidP="00677B8E">
      <w:pPr>
        <w:pStyle w:val="tekst"/>
      </w:pPr>
      <w:r>
        <w:tab/>
        <w:t>Dla powłoki lakierniczej na tylnej powierzchni tarczy znaku o grubości 60 µm wynosi 15 nm. Sprawdzenie wg PN-EN ISO 2808.</w:t>
      </w:r>
    </w:p>
    <w:p w:rsidR="002D7D6F" w:rsidRDefault="002D7D6F" w:rsidP="005C4FF4">
      <w:pPr>
        <w:pStyle w:val="tekst"/>
        <w:numPr>
          <w:ilvl w:val="0"/>
          <w:numId w:val="13"/>
        </w:numPr>
      </w:pPr>
      <w:bookmarkStart w:id="3" w:name="page89"/>
      <w:bookmarkEnd w:id="3"/>
      <w:r>
        <w:t>Tolerancje wymiarowe dla płaskości powierzchni</w:t>
      </w:r>
    </w:p>
    <w:p w:rsidR="002D7D6F" w:rsidRDefault="002D7D6F" w:rsidP="00677B8E">
      <w:pPr>
        <w:pStyle w:val="tekst"/>
      </w:pPr>
      <w:r>
        <w:tab/>
        <w:t>Odchylenia od poziomu nie mogą wynieść więcej niż 0,2 %, wyjątkowo do 0,5 %. Sprawdzenie szczelinomierzem.</w:t>
      </w:r>
    </w:p>
    <w:p w:rsidR="002D7D6F" w:rsidRDefault="002D7D6F" w:rsidP="005C4FF4">
      <w:pPr>
        <w:pStyle w:val="tekst"/>
        <w:numPr>
          <w:ilvl w:val="0"/>
          <w:numId w:val="13"/>
        </w:numPr>
      </w:pPr>
      <w:r>
        <w:t>Tolerancje wymiarowe dla tarcz znaków</w:t>
      </w:r>
    </w:p>
    <w:p w:rsidR="002D7D6F" w:rsidRDefault="002D7D6F" w:rsidP="00677B8E">
      <w:pPr>
        <w:pStyle w:val="tekst"/>
      </w:pPr>
      <w:r>
        <w:tab/>
        <w:t>Sprawdzenie przymiarem liniowym:</w:t>
      </w:r>
    </w:p>
    <w:p w:rsidR="002D7D6F" w:rsidRDefault="002D7D6F" w:rsidP="005C4FF4">
      <w:pPr>
        <w:pStyle w:val="tekst"/>
        <w:numPr>
          <w:ilvl w:val="0"/>
          <w:numId w:val="15"/>
        </w:numPr>
      </w:pPr>
      <w:r>
        <w:t>wymiary dla tarcz znaków o powierzchni &lt; 1m</w:t>
      </w:r>
      <w:r w:rsidRPr="00C510B8">
        <w:rPr>
          <w:sz w:val="24"/>
          <w:vertAlign w:val="superscript"/>
        </w:rPr>
        <w:t>2</w:t>
      </w:r>
      <w:r>
        <w:t xml:space="preserve"> podane w opisach sz</w:t>
      </w:r>
      <w:r w:rsidR="00133390">
        <w:t>czegółowych załącznika nr 1</w:t>
      </w:r>
      <w:r>
        <w:t xml:space="preserve"> są należy powiększyć o 10 mm i wykonać w tolerancji wymiarowej 5 mm,</w:t>
      </w:r>
    </w:p>
    <w:p w:rsidR="002D7D6F" w:rsidRDefault="002D7D6F" w:rsidP="005C4FF4">
      <w:pPr>
        <w:pStyle w:val="tekst"/>
        <w:numPr>
          <w:ilvl w:val="0"/>
          <w:numId w:val="15"/>
        </w:numPr>
      </w:pPr>
      <w:r>
        <w:t>wymiary dla tarcz znaków i tablic o powierzchni &gt; 1m</w:t>
      </w:r>
      <w:r w:rsidRPr="00C510B8">
        <w:rPr>
          <w:sz w:val="24"/>
          <w:vertAlign w:val="superscript"/>
        </w:rPr>
        <w:t>2</w:t>
      </w:r>
      <w:r>
        <w:t xml:space="preserve"> podane w opisach szc</w:t>
      </w:r>
      <w:r w:rsidR="00133390">
        <w:t xml:space="preserve">zegółowych załącznika nr 1 </w:t>
      </w:r>
      <w:r>
        <w:t>oraz wymiary wynikowe dla tablic grupy E należy powiększyć o 15 mm i wykonać w tolerancji wymiarowej 10 </w:t>
      </w:r>
      <w:proofErr w:type="spellStart"/>
      <w:r>
        <w:t>mm</w:t>
      </w:r>
      <w:proofErr w:type="spellEnd"/>
      <w:r>
        <w:t>.</w:t>
      </w:r>
    </w:p>
    <w:p w:rsidR="002D7D6F" w:rsidRDefault="002D7D6F" w:rsidP="005C4FF4">
      <w:pPr>
        <w:pStyle w:val="tekst"/>
        <w:numPr>
          <w:ilvl w:val="0"/>
          <w:numId w:val="13"/>
        </w:numPr>
      </w:pPr>
      <w:r>
        <w:t>Tolerancje wymiarowe dla lica znaku</w:t>
      </w:r>
    </w:p>
    <w:p w:rsidR="002D7D6F" w:rsidRDefault="002D7D6F" w:rsidP="00133390">
      <w:pPr>
        <w:pStyle w:val="tekst"/>
        <w:spacing w:after="0"/>
      </w:pPr>
      <w:r>
        <w:tab/>
        <w:t>Sprawdzone przymiarem liniowym:</w:t>
      </w:r>
    </w:p>
    <w:p w:rsidR="002D7D6F" w:rsidRDefault="002D7D6F" w:rsidP="00133390">
      <w:pPr>
        <w:pStyle w:val="tekst"/>
        <w:numPr>
          <w:ilvl w:val="0"/>
          <w:numId w:val="16"/>
        </w:numPr>
        <w:spacing w:after="0"/>
      </w:pPr>
      <w:r>
        <w:t>tolerancje wymiarowe rysunku lica wykonanego drukiem sitowym wynoszą ± 1,5 mm,</w:t>
      </w:r>
    </w:p>
    <w:p w:rsidR="002D7D6F" w:rsidRDefault="002D7D6F" w:rsidP="00133390">
      <w:pPr>
        <w:pStyle w:val="tekst"/>
        <w:numPr>
          <w:ilvl w:val="0"/>
          <w:numId w:val="16"/>
        </w:numPr>
        <w:spacing w:after="0"/>
      </w:pPr>
      <w:r>
        <w:t>tolerancje wymiarowe rysunku lica wykonanego metodą wyklejania wynoszą ± 2 mm,</w:t>
      </w:r>
    </w:p>
    <w:p w:rsidR="002D7D6F" w:rsidRDefault="002D7D6F" w:rsidP="005C4FF4">
      <w:pPr>
        <w:pStyle w:val="tekst"/>
        <w:numPr>
          <w:ilvl w:val="0"/>
          <w:numId w:val="16"/>
        </w:numPr>
      </w:pPr>
      <w:r>
        <w:t xml:space="preserve">kontury rysunku znaku (obwódka i symbol) muszą być równe z dokładnością w każdym kierunku do 1,0 </w:t>
      </w:r>
      <w:proofErr w:type="spellStart"/>
      <w:r>
        <w:t>mm</w:t>
      </w:r>
      <w:proofErr w:type="spellEnd"/>
      <w:r>
        <w:t>.</w:t>
      </w:r>
    </w:p>
    <w:p w:rsidR="002D7D6F" w:rsidRDefault="002D7D6F" w:rsidP="00677B8E">
      <w:pPr>
        <w:pStyle w:val="tekst"/>
      </w:pPr>
      <w: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D7D6F" w:rsidRDefault="002D7D6F" w:rsidP="00677B8E">
      <w:pPr>
        <w:pStyle w:val="tekst"/>
      </w:pPr>
      <w: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t>cm</w:t>
      </w:r>
      <w:proofErr w:type="spellEnd"/>
      <w:r>
        <w:t>. Na całkowitej długości znaku dopuszcza się nie więcej niż 5 rys szerokości nie większej niż 0,8 mm i długości przekraczającej 10 cm  pod warunkiem, że zarysowania te nie zniekształcają treści znaku.</w:t>
      </w:r>
    </w:p>
    <w:p w:rsidR="002D7D6F" w:rsidRDefault="002D7D6F" w:rsidP="00677B8E">
      <w:pPr>
        <w:pStyle w:val="tekst"/>
      </w:pPr>
      <w:r>
        <w:tab/>
        <w:t>Na znakach w okresie gwarancji dopuszcza się również lokalne uszkodzenie folii o powierzchni nie przekraczającej 6 mm</w:t>
      </w:r>
      <w:r>
        <w:rPr>
          <w:sz w:val="24"/>
          <w:vertAlign w:val="superscript"/>
        </w:rPr>
        <w:t>2</w:t>
      </w:r>
      <w:r>
        <w:t xml:space="preserve"> każde - w liczbie nie większej niż pięć na powierzchni znaku małego lub średniego, oraz o powierzchni nie przekraczającej 8 mm</w:t>
      </w:r>
      <w:r>
        <w:rPr>
          <w:sz w:val="24"/>
          <w:vertAlign w:val="superscript"/>
        </w:rPr>
        <w:t>2</w:t>
      </w:r>
      <w:r>
        <w:t xml:space="preserve"> każde - w liczbie nie większej niż 8 na każdym z fragmentów powierzchni znaku dużego lub wielkiego (włączając znaki informacyjne) o wymiarach 1200 × 1200 </w:t>
      </w:r>
      <w:proofErr w:type="spellStart"/>
      <w:r>
        <w:t>mm</w:t>
      </w:r>
      <w:proofErr w:type="spellEnd"/>
      <w:r>
        <w:t>.</w:t>
      </w:r>
    </w:p>
    <w:p w:rsidR="002D7D6F" w:rsidRDefault="002D7D6F" w:rsidP="00677B8E">
      <w:pPr>
        <w:pStyle w:val="tekst"/>
      </w:pPr>
      <w:r>
        <w:tab/>
        <w:t>Uszkodzenia folii nie mogą zniekształcać treści znaku - w przypadku występowania takiego zniekształcenia znak musi być bezzwłocznie wymieniony.</w:t>
      </w:r>
    </w:p>
    <w:p w:rsidR="002D7D6F" w:rsidRDefault="002D7D6F" w:rsidP="00677B8E">
      <w:pPr>
        <w:pStyle w:val="tekst"/>
      </w:pPr>
      <w: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D7D6F" w:rsidRDefault="002D7D6F" w:rsidP="00677B8E">
      <w:pPr>
        <w:pStyle w:val="tekst"/>
      </w:pPr>
      <w:r>
        <w:tab/>
        <w:t xml:space="preserve">W znakach eksploatowanych dopuszczalne jest występowanie co najwyżej dwóch lokalnych ognisk korozji o wymiarach nie przekraczających 2,0 mm w każdym kierunku na powierzchni każdego z fragmentów znaku o wymiarach 4 × 4 </w:t>
      </w:r>
      <w:proofErr w:type="spellStart"/>
      <w:r>
        <w:t>cm</w:t>
      </w:r>
      <w:proofErr w:type="spellEnd"/>
      <w:r>
        <w:t>. W znakach nowych oraz w znakach znajdujących się w okresie wymaganej gwarancji żadna korozja tarczy znaku nie może występować.</w:t>
      </w:r>
    </w:p>
    <w:p w:rsidR="002D7D6F" w:rsidRDefault="002D7D6F" w:rsidP="00677B8E">
      <w:pPr>
        <w:pStyle w:val="tekst"/>
      </w:pPr>
      <w:r>
        <w:lastRenderedPageBreak/>
        <w:tab/>
        <w:t>Wymagana jest taka wytrzymałość połączenia folii odblaskowej z tarczą znaku, by po zgięciu tarczy o 90</w:t>
      </w:r>
      <w:r>
        <w:rPr>
          <w:sz w:val="24"/>
        </w:rPr>
        <w:t>°</w:t>
      </w:r>
      <w:r>
        <w:t xml:space="preserve"> przy promieniu łuku zgięcia do 10 mm w żadnym miejscu nie uległo ono zniszczeniu.</w:t>
      </w:r>
    </w:p>
    <w:p w:rsidR="002D7D6F" w:rsidRDefault="002D7D6F" w:rsidP="002D7D6F">
      <w:pPr>
        <w:pStyle w:val="Nagwek3"/>
      </w:pPr>
      <w:r>
        <w:t>Obowiązujący system oceny zgodności</w:t>
      </w:r>
    </w:p>
    <w:p w:rsidR="002D7D6F" w:rsidRDefault="002D7D6F" w:rsidP="00677B8E">
      <w:pPr>
        <w:pStyle w:val="tekst"/>
      </w:pPr>
      <w:r>
        <w:tab/>
        <w:t xml:space="preserve">Zgodnie z art. 4, art. 5 ust. 1 oraz art. 8, ust. 1 ustawy z dnia 16 kwietnia 2004 r. o wyrobach budowlanych </w:t>
      </w:r>
      <w:r w:rsidRPr="00446F2B">
        <w:t>[38]</w:t>
      </w:r>
      <w:r>
        <w:t xml:space="preserve">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D7D6F" w:rsidRDefault="002D7D6F" w:rsidP="00677B8E">
      <w:pPr>
        <w:pStyle w:val="tekst"/>
      </w:pPr>
      <w:r>
        <w:tab/>
        <w:t>Zgodnie z rozporządzeniem Ministra Infrastruktury z dnia 11 sierpnia 2004 r. oceny zgodności wyrobu z aprobatą techniczną dokonuje producent, stosując system 1.</w:t>
      </w:r>
    </w:p>
    <w:p w:rsidR="002D7D6F" w:rsidRDefault="002D7D6F" w:rsidP="00133390">
      <w:pPr>
        <w:pStyle w:val="Nagwek2"/>
      </w:pPr>
      <w:r>
        <w:t>Znaki podświetlane</w:t>
      </w:r>
    </w:p>
    <w:p w:rsidR="002D7D6F" w:rsidRDefault="002D7D6F" w:rsidP="002D7D6F">
      <w:pPr>
        <w:pStyle w:val="Nagwek3"/>
      </w:pPr>
      <w:r>
        <w:t>Wymagania ogólne dotyczące znaków podświetlanych</w:t>
      </w:r>
    </w:p>
    <w:p w:rsidR="002D7D6F" w:rsidRDefault="002D7D6F" w:rsidP="00677B8E">
      <w:pPr>
        <w:pStyle w:val="tekst"/>
      </w:pPr>
      <w:r>
        <w:tab/>
        <w:t>Znaki drogowe podświetlane wykonuje się jako urządzenia, których integralnym składnikiem jest oprawa oświetleniowa wbudowana w znak - osłonięta licem znaku z materiału przepuszczającego światło.</w:t>
      </w:r>
    </w:p>
    <w:p w:rsidR="002D7D6F" w:rsidRDefault="002D7D6F" w:rsidP="00677B8E">
      <w:pPr>
        <w:pStyle w:val="tekst"/>
      </w:pPr>
      <w:r>
        <w:t>Oprawy oświetleniowe powinny być zgodne z normą PN-EN 60598-2</w:t>
      </w:r>
      <w:r w:rsidRPr="00895147">
        <w:t>.</w:t>
      </w:r>
    </w:p>
    <w:p w:rsidR="002D7D6F" w:rsidRDefault="002D7D6F" w:rsidP="00133390">
      <w:pPr>
        <w:pStyle w:val="tekst"/>
        <w:spacing w:after="0"/>
      </w:pPr>
      <w:r>
        <w:tab/>
        <w:t>Znak drogowy podświetlany musi mieć umieszczone w sposób trwały oznaczenia przewidziane na naklejce według ustalenia punktu 5.</w:t>
      </w:r>
      <w:r w:rsidR="00677B8E">
        <w:t>9</w:t>
      </w:r>
      <w:r>
        <w:t xml:space="preserve"> a ponadto oznaczenie oprawy:</w:t>
      </w:r>
    </w:p>
    <w:p w:rsidR="002D7D6F" w:rsidRDefault="002D7D6F" w:rsidP="00133390">
      <w:pPr>
        <w:pStyle w:val="tekst"/>
        <w:numPr>
          <w:ilvl w:val="0"/>
          <w:numId w:val="17"/>
        </w:numPr>
        <w:spacing w:after="0"/>
      </w:pPr>
      <w:r>
        <w:t>napięcia znamionowego zasilania,</w:t>
      </w:r>
    </w:p>
    <w:p w:rsidR="002D7D6F" w:rsidRDefault="002D7D6F" w:rsidP="00133390">
      <w:pPr>
        <w:pStyle w:val="tekst"/>
        <w:numPr>
          <w:ilvl w:val="0"/>
          <w:numId w:val="17"/>
        </w:numPr>
        <w:spacing w:after="0"/>
      </w:pPr>
      <w:r>
        <w:t>rodzaju prądu,</w:t>
      </w:r>
    </w:p>
    <w:p w:rsidR="002D7D6F" w:rsidRDefault="002D7D6F" w:rsidP="00133390">
      <w:pPr>
        <w:pStyle w:val="tekst"/>
        <w:numPr>
          <w:ilvl w:val="0"/>
          <w:numId w:val="17"/>
        </w:numPr>
        <w:spacing w:after="0"/>
      </w:pPr>
      <w:r>
        <w:t>liczby typu i mocy znamionowej źródeł światła,</w:t>
      </w:r>
    </w:p>
    <w:p w:rsidR="002D7D6F" w:rsidRDefault="002D7D6F" w:rsidP="00133390">
      <w:pPr>
        <w:pStyle w:val="tekst"/>
        <w:numPr>
          <w:ilvl w:val="0"/>
          <w:numId w:val="17"/>
        </w:numPr>
        <w:spacing w:after="0"/>
      </w:pPr>
      <w:r>
        <w:t>symbolu klasy ochronności elektrycznej oprawy wbudowanej w znak,</w:t>
      </w:r>
    </w:p>
    <w:p w:rsidR="002D7D6F" w:rsidRDefault="002D7D6F" w:rsidP="005C4FF4">
      <w:pPr>
        <w:pStyle w:val="tekst"/>
        <w:numPr>
          <w:ilvl w:val="0"/>
          <w:numId w:val="17"/>
        </w:numPr>
      </w:pPr>
      <w:r>
        <w:t>symbolu IP stopnia ochrony odporności na wnikanie wilgoci i ciał obcych.</w:t>
      </w:r>
    </w:p>
    <w:p w:rsidR="002D7D6F" w:rsidRDefault="002D7D6F" w:rsidP="002D7D6F">
      <w:pPr>
        <w:pStyle w:val="Nagwek3"/>
      </w:pPr>
      <w:r>
        <w:t>Lico znaku podświetlanego</w:t>
      </w:r>
    </w:p>
    <w:p w:rsidR="002D7D6F" w:rsidRDefault="002D7D6F" w:rsidP="00677B8E">
      <w:pPr>
        <w:pStyle w:val="tekst"/>
      </w:pPr>
      <w:r>
        <w:tab/>
        <w:t>Lico znaku powinno być tak wykonane, aby nie występowały niedokładności w postaci pęcherzy, pęknięć itp. Niedopuszczalne są lokalne nierówności oraz cząstki mechaniczne zatopione w warstwie podświetlanej.</w:t>
      </w:r>
    </w:p>
    <w:p w:rsidR="002D7D6F" w:rsidRDefault="002D7D6F" w:rsidP="00133390">
      <w:pPr>
        <w:pStyle w:val="Nagwek2"/>
      </w:pPr>
      <w:r>
        <w:t>Znaki oświetlane</w:t>
      </w:r>
    </w:p>
    <w:p w:rsidR="002D7D6F" w:rsidRDefault="002D7D6F" w:rsidP="002D7D6F">
      <w:pPr>
        <w:pStyle w:val="Nagwek3"/>
      </w:pPr>
      <w:r>
        <w:t>Wymagania ogólne dotyczące znaków oświetlanych</w:t>
      </w:r>
    </w:p>
    <w:p w:rsidR="002D7D6F" w:rsidRDefault="002D7D6F" w:rsidP="00677B8E">
      <w:pPr>
        <w:pStyle w:val="tekst"/>
      </w:pPr>
      <w:r>
        <w:tab/>
        <w:t>Znaki drogowe oświetlane wykonuje się jak znaki nie odblaskowe. Ze znakiem sprzężona jest w sposób sztywny oprawa oświetleniowa, oświetlająca w nocy lico znaku. Oprawa umieszczona jest na zewnątrz znaku.</w:t>
      </w:r>
    </w:p>
    <w:p w:rsidR="002D7D6F" w:rsidRDefault="002D7D6F" w:rsidP="00677B8E">
      <w:pPr>
        <w:pStyle w:val="tekst"/>
      </w:pPr>
      <w:r>
        <w:tab/>
        <w:t>Jeśli Dokumentacja Projektowa lub SST przewiduje wykonanie znaku z materiałów odblaskowych, znak musi spełniać dodatkowo wymagania określone w punkcie 2.6.</w:t>
      </w:r>
      <w:bookmarkStart w:id="4" w:name="page90"/>
      <w:bookmarkEnd w:id="4"/>
    </w:p>
    <w:p w:rsidR="002D7D6F" w:rsidRDefault="002D7D6F" w:rsidP="00677B8E">
      <w:pPr>
        <w:pStyle w:val="tekst"/>
      </w:pPr>
      <w:r>
        <w:tab/>
        <w:t>Oznaczenia na naklejce oprawy muszą spełniać wymagania określone w punkcie 2.7.1.</w:t>
      </w:r>
    </w:p>
    <w:p w:rsidR="002D7D6F" w:rsidRDefault="002D7D6F" w:rsidP="002D7D6F">
      <w:pPr>
        <w:pStyle w:val="Nagwek3"/>
      </w:pPr>
      <w:r>
        <w:t>Lico znaku oświetlonego</w:t>
      </w:r>
    </w:p>
    <w:p w:rsidR="002D7D6F" w:rsidRDefault="002D7D6F" w:rsidP="00677B8E">
      <w:pPr>
        <w:pStyle w:val="tekst"/>
      </w:pPr>
      <w:r>
        <w:tab/>
        <w:t>Wymagania dotyczące lica znaku oświetlanego ustala się jak dla znaku podświetlanego (pkt. 2.7.2).</w:t>
      </w:r>
    </w:p>
    <w:p w:rsidR="002D7D6F" w:rsidRDefault="002D7D6F" w:rsidP="00133390">
      <w:pPr>
        <w:pStyle w:val="Nagwek2"/>
      </w:pPr>
      <w:r>
        <w:t>Materiały do montażu znaków</w:t>
      </w:r>
    </w:p>
    <w:p w:rsidR="002D7D6F" w:rsidRDefault="002D7D6F" w:rsidP="00677B8E">
      <w:pPr>
        <w:pStyle w:val="tekst"/>
      </w:pPr>
      <w:r>
        <w:tab/>
        <w:t xml:space="preserve">Wszystkie łączniki metalowe przewidywane do mocowania między sobą elementów konstrukcji wsporczych znaków jak śruby, listwy, wkręty, nakrętki itp. powinny być czyste, gładkie, bez pęknięć, </w:t>
      </w:r>
      <w:proofErr w:type="spellStart"/>
      <w:r>
        <w:t>naderwań</w:t>
      </w:r>
      <w:proofErr w:type="spellEnd"/>
      <w:r>
        <w:t>, rozwarstwień i wypukłych karbów.</w:t>
      </w:r>
    </w:p>
    <w:p w:rsidR="002D7D6F" w:rsidRDefault="002D7D6F" w:rsidP="00677B8E">
      <w:pPr>
        <w:pStyle w:val="tekst"/>
      </w:pPr>
      <w: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D7D6F" w:rsidRDefault="002D7D6F" w:rsidP="00133390">
      <w:pPr>
        <w:pStyle w:val="Nagwek2"/>
        <w:tabs>
          <w:tab w:val="left" w:pos="851"/>
        </w:tabs>
      </w:pPr>
      <w:r>
        <w:t>Przechowywanie i składowanie materiałów</w:t>
      </w:r>
    </w:p>
    <w:p w:rsidR="002D7D6F" w:rsidRDefault="002D7D6F" w:rsidP="00677B8E">
      <w:pPr>
        <w:pStyle w:val="tekst"/>
      </w:pPr>
      <w:r>
        <w:tab/>
        <w:t>Prefabrykaty betonowe powinny być składowane na wyrównanym, utwardzonym i odwodnionym podłożu. Prefabrykaty należy układać na podkładach z zachowaniem prześwitu minimum 10 cm między podłożem a prefabrykatem.</w:t>
      </w:r>
    </w:p>
    <w:p w:rsidR="002D7D6F" w:rsidRDefault="002D7D6F" w:rsidP="00677B8E">
      <w:pPr>
        <w:pStyle w:val="tekst"/>
      </w:pPr>
      <w:r>
        <w:tab/>
        <w:t>Znaki powinny być przechowywane w pomieszczeniach suchych, z dala od materiałów działających korodująco i w warunkach zabezpieczających przed uszkodzeniami.</w:t>
      </w:r>
    </w:p>
    <w:p w:rsidR="002D7D6F" w:rsidRPr="00677B8E" w:rsidRDefault="002D7D6F" w:rsidP="00133390">
      <w:pPr>
        <w:pStyle w:val="Nagwek1"/>
      </w:pPr>
      <w:r w:rsidRPr="00677B8E">
        <w:lastRenderedPageBreak/>
        <w:t>SPRZĘT</w:t>
      </w:r>
    </w:p>
    <w:p w:rsidR="002D7D6F" w:rsidRDefault="002D7D6F" w:rsidP="00133390">
      <w:pPr>
        <w:pStyle w:val="Nagwek2"/>
      </w:pPr>
      <w:r>
        <w:t>Ogólne wymagania dotyczące sprzętu</w:t>
      </w:r>
    </w:p>
    <w:p w:rsidR="002D7D6F" w:rsidRDefault="002D7D6F" w:rsidP="00677B8E">
      <w:pPr>
        <w:pStyle w:val="tekst"/>
      </w:pPr>
      <w:r>
        <w:tab/>
        <w:t xml:space="preserve">Ogólne wymagania dotyczące sprzętu podano w ST </w:t>
      </w:r>
      <w:r w:rsidRPr="002E54EA">
        <w:rPr>
          <w:lang w:eastAsia="pl-PL"/>
        </w:rPr>
        <w:t>D-M-00.00.00</w:t>
      </w:r>
      <w:r>
        <w:t>„Wymagania ogólne” pkt. 3.</w:t>
      </w:r>
    </w:p>
    <w:p w:rsidR="002D7D6F" w:rsidRDefault="002D7D6F" w:rsidP="00133390">
      <w:pPr>
        <w:pStyle w:val="Nagwek2"/>
      </w:pPr>
      <w:r>
        <w:t>Sprzęt do wykonania oznakowania pionowego</w:t>
      </w:r>
    </w:p>
    <w:p w:rsidR="002D7D6F" w:rsidRDefault="002D7D6F" w:rsidP="00133390">
      <w:pPr>
        <w:pStyle w:val="tekst"/>
        <w:spacing w:after="0"/>
      </w:pPr>
      <w:r>
        <w:tab/>
        <w:t>Wykonawca przystępujący do wykonania oznakowania pionowego powinien wykazać się możliwością korzystania z następującego sprzętu:</w:t>
      </w:r>
    </w:p>
    <w:p w:rsidR="002D7D6F" w:rsidRDefault="002D7D6F" w:rsidP="00133390">
      <w:pPr>
        <w:pStyle w:val="tekst"/>
        <w:numPr>
          <w:ilvl w:val="0"/>
          <w:numId w:val="18"/>
        </w:numPr>
        <w:spacing w:after="0"/>
      </w:pPr>
      <w:r>
        <w:t>koparek kołowych, np. 0,15 m</w:t>
      </w:r>
      <w:r w:rsidRPr="00796D83">
        <w:rPr>
          <w:sz w:val="24"/>
          <w:vertAlign w:val="superscript"/>
        </w:rPr>
        <w:t>3</w:t>
      </w:r>
      <w:r>
        <w:t xml:space="preserve"> lub koparek gąsienicowych, np. 0,25 m</w:t>
      </w:r>
      <w:r w:rsidRPr="00796D83">
        <w:rPr>
          <w:sz w:val="24"/>
          <w:vertAlign w:val="superscript"/>
        </w:rPr>
        <w:t>3</w:t>
      </w:r>
      <w:r>
        <w:t>,</w:t>
      </w:r>
    </w:p>
    <w:p w:rsidR="002D7D6F" w:rsidRDefault="002D7D6F" w:rsidP="00133390">
      <w:pPr>
        <w:pStyle w:val="tekst"/>
        <w:numPr>
          <w:ilvl w:val="0"/>
          <w:numId w:val="18"/>
        </w:numPr>
        <w:spacing w:after="0"/>
      </w:pPr>
      <w:r>
        <w:t>żurawi samochodowych o udźwigu do 4 t,</w:t>
      </w:r>
    </w:p>
    <w:p w:rsidR="002D7D6F" w:rsidRDefault="002D7D6F" w:rsidP="00133390">
      <w:pPr>
        <w:pStyle w:val="tekst"/>
        <w:numPr>
          <w:ilvl w:val="0"/>
          <w:numId w:val="18"/>
        </w:numPr>
        <w:spacing w:after="0"/>
      </w:pPr>
      <w:r>
        <w:t>wiertnic do wykonywania dołów pod słupki w gruncie spoistym,</w:t>
      </w:r>
    </w:p>
    <w:p w:rsidR="002D7D6F" w:rsidRDefault="002D7D6F" w:rsidP="00133390">
      <w:pPr>
        <w:pStyle w:val="tekst"/>
        <w:numPr>
          <w:ilvl w:val="0"/>
          <w:numId w:val="18"/>
        </w:numPr>
        <w:spacing w:after="0"/>
      </w:pPr>
      <w:r>
        <w:t>betoniarek przewoźnych do wykonywania fundamentów betonowych „na mokro”,</w:t>
      </w:r>
    </w:p>
    <w:p w:rsidR="002D7D6F" w:rsidRDefault="002D7D6F" w:rsidP="00133390">
      <w:pPr>
        <w:pStyle w:val="tekst"/>
        <w:numPr>
          <w:ilvl w:val="0"/>
          <w:numId w:val="18"/>
        </w:numPr>
        <w:spacing w:after="0"/>
      </w:pPr>
      <w:r>
        <w:t>środków transportowych do przewozu materiałów,</w:t>
      </w:r>
    </w:p>
    <w:p w:rsidR="002D7D6F" w:rsidRDefault="002D7D6F" w:rsidP="00133390">
      <w:pPr>
        <w:pStyle w:val="tekst"/>
        <w:numPr>
          <w:ilvl w:val="0"/>
          <w:numId w:val="18"/>
        </w:numPr>
        <w:spacing w:after="0"/>
      </w:pPr>
      <w:r>
        <w:t>przewoźnych zbiorników na wodę,</w:t>
      </w:r>
    </w:p>
    <w:p w:rsidR="002D7D6F" w:rsidRDefault="002D7D6F" w:rsidP="005C4FF4">
      <w:pPr>
        <w:pStyle w:val="tekst"/>
        <w:numPr>
          <w:ilvl w:val="0"/>
          <w:numId w:val="18"/>
        </w:numPr>
      </w:pPr>
      <w:r>
        <w:t>sprzętu spawalniczego, itp.</w:t>
      </w:r>
    </w:p>
    <w:p w:rsidR="002D7D6F" w:rsidRDefault="002D7D6F" w:rsidP="00677B8E">
      <w:pPr>
        <w:pStyle w:val="tekst"/>
      </w:pPr>
      <w:r>
        <w:tab/>
        <w:t>Pierwsze dwie pozycje dotyczą wykonawcy znaków bramowych.</w:t>
      </w:r>
    </w:p>
    <w:p w:rsidR="002D7D6F" w:rsidRDefault="002D7D6F" w:rsidP="00133390">
      <w:pPr>
        <w:pStyle w:val="Nagwek1"/>
      </w:pPr>
      <w:r>
        <w:t>TRANSPORT</w:t>
      </w:r>
    </w:p>
    <w:p w:rsidR="002D7D6F" w:rsidRDefault="002D7D6F" w:rsidP="00133390">
      <w:pPr>
        <w:pStyle w:val="Nagwek2"/>
      </w:pPr>
      <w:r>
        <w:t>Ogólne wymagania dotyczące transportu</w:t>
      </w:r>
    </w:p>
    <w:p w:rsidR="002D7D6F" w:rsidRDefault="002D7D6F" w:rsidP="00677B8E">
      <w:pPr>
        <w:pStyle w:val="tekst"/>
      </w:pPr>
      <w:r>
        <w:tab/>
        <w:t xml:space="preserve">Ogólne wymagania dotyczące transportu podano w ST </w:t>
      </w:r>
      <w:r w:rsidRPr="002E54EA">
        <w:rPr>
          <w:lang w:eastAsia="pl-PL"/>
        </w:rPr>
        <w:t>D-M-00.00.00</w:t>
      </w:r>
      <w:r>
        <w:t>„Wymagania ogólne” pkt. 4.</w:t>
      </w:r>
    </w:p>
    <w:p w:rsidR="002D7D6F" w:rsidRDefault="002D7D6F" w:rsidP="00133390">
      <w:pPr>
        <w:pStyle w:val="Nagwek2"/>
      </w:pPr>
      <w:r>
        <w:t>Transport znaków do pionowego oznakowania dróg</w:t>
      </w:r>
    </w:p>
    <w:p w:rsidR="002D7D6F" w:rsidRDefault="002D7D6F" w:rsidP="00677B8E">
      <w:pPr>
        <w:pStyle w:val="tekst"/>
      </w:pPr>
      <w:r>
        <w:tab/>
        <w:t>Znaki drogowe należy na okres transportu odpowiednio zabezpieczyć, tak aby nie ulegały przemieszczaniu i w sposób nie uszkodzony dotarły do odbiorcy.</w:t>
      </w:r>
    </w:p>
    <w:p w:rsidR="002D7D6F" w:rsidRDefault="002D7D6F" w:rsidP="00133390">
      <w:pPr>
        <w:pStyle w:val="Nagwek1"/>
      </w:pPr>
      <w:r>
        <w:t>WYKONANIE ROBÓT</w:t>
      </w:r>
    </w:p>
    <w:p w:rsidR="002D7D6F" w:rsidRDefault="002D7D6F" w:rsidP="00133390">
      <w:pPr>
        <w:pStyle w:val="Nagwek2"/>
      </w:pPr>
      <w:r>
        <w:t>Ogólne zasady wykonywania robót</w:t>
      </w:r>
    </w:p>
    <w:p w:rsidR="002D7D6F" w:rsidRDefault="002D7D6F" w:rsidP="002D7D6F">
      <w:pPr>
        <w:spacing w:line="360" w:lineRule="auto"/>
      </w:pPr>
      <w:r>
        <w:tab/>
        <w:t xml:space="preserve">Ogólne zasady wykonywania robót podano w ST </w:t>
      </w:r>
      <w:r w:rsidRPr="002E54EA">
        <w:rPr>
          <w:lang w:eastAsia="pl-PL"/>
        </w:rPr>
        <w:t>D-M-00.00.00</w:t>
      </w:r>
      <w:r>
        <w:t>„Wymagania ogólne” pkt. 5.</w:t>
      </w:r>
    </w:p>
    <w:p w:rsidR="002D7D6F" w:rsidRDefault="002D7D6F" w:rsidP="00133390">
      <w:pPr>
        <w:pStyle w:val="Nagwek2"/>
      </w:pPr>
      <w:r>
        <w:t>Roboty przygotowawcze</w:t>
      </w:r>
    </w:p>
    <w:p w:rsidR="002D7D6F" w:rsidRDefault="002D7D6F" w:rsidP="00133390">
      <w:pPr>
        <w:pStyle w:val="tekst"/>
        <w:spacing w:after="0"/>
      </w:pPr>
      <w:r>
        <w:tab/>
        <w:t>Przed przystąpieniem do robót należy wyznaczyć:</w:t>
      </w:r>
    </w:p>
    <w:p w:rsidR="002D7D6F" w:rsidRDefault="002D7D6F" w:rsidP="00133390">
      <w:pPr>
        <w:pStyle w:val="tekst"/>
        <w:numPr>
          <w:ilvl w:val="0"/>
          <w:numId w:val="19"/>
        </w:numPr>
        <w:spacing w:after="0"/>
      </w:pPr>
      <w:r>
        <w:t xml:space="preserve">lokalizację znaku, tj. jego </w:t>
      </w:r>
      <w:proofErr w:type="spellStart"/>
      <w:r>
        <w:t>pikietaż</w:t>
      </w:r>
      <w:proofErr w:type="spellEnd"/>
      <w:r>
        <w:t xml:space="preserve"> oraz odległość od krawędzi jezdni, krawędzi pobocza umocnionego lub pasa awaryjnego postoju,</w:t>
      </w:r>
    </w:p>
    <w:p w:rsidR="002D7D6F" w:rsidRPr="00796D83" w:rsidRDefault="002D7D6F" w:rsidP="005C4FF4">
      <w:pPr>
        <w:pStyle w:val="tekst"/>
        <w:numPr>
          <w:ilvl w:val="0"/>
          <w:numId w:val="19"/>
        </w:numPr>
      </w:pPr>
      <w:r w:rsidRPr="00796D83">
        <w:t>wysokość zamocowania znaku na konstrukcji wsporczej.</w:t>
      </w:r>
    </w:p>
    <w:p w:rsidR="002D7D6F" w:rsidRPr="00796D83" w:rsidRDefault="002D7D6F" w:rsidP="00677B8E">
      <w:pPr>
        <w:pStyle w:val="tekst"/>
      </w:pPr>
      <w:r>
        <w:tab/>
      </w:r>
      <w:r w:rsidRPr="00796D83">
        <w:t xml:space="preserve">Punkty stabilizujące miejsca ustawienia znaków należy zabezpieczyć w taki sposób, aby w czasie trwania </w:t>
      </w:r>
      <w:r>
        <w:t>i </w:t>
      </w:r>
      <w:r w:rsidRPr="00796D83">
        <w:t>odbioru robót istniała możliwość sprawdzenia lokalizacji znaków.</w:t>
      </w:r>
    </w:p>
    <w:p w:rsidR="002D7D6F" w:rsidRPr="00796D83" w:rsidRDefault="002D7D6F" w:rsidP="00677B8E">
      <w:pPr>
        <w:pStyle w:val="tekst"/>
      </w:pPr>
      <w:r>
        <w:tab/>
      </w:r>
      <w:r w:rsidRPr="00796D83">
        <w:t xml:space="preserve">Lokalizacja i wysokość zamocowania znaku powinny być zgodne z </w:t>
      </w:r>
      <w:r>
        <w:t>D</w:t>
      </w:r>
      <w:r w:rsidRPr="00796D83">
        <w:t xml:space="preserve">okumentacją </w:t>
      </w:r>
      <w:r>
        <w:t>P</w:t>
      </w:r>
      <w:r w:rsidRPr="00796D83">
        <w:t>rojektową.</w:t>
      </w:r>
    </w:p>
    <w:p w:rsidR="002D7D6F" w:rsidRPr="00796D83" w:rsidRDefault="002D7D6F" w:rsidP="00677B8E">
      <w:pPr>
        <w:pStyle w:val="tekst"/>
      </w:pPr>
      <w:r>
        <w:tab/>
      </w:r>
      <w:r w:rsidRPr="00796D83">
        <w:t>Miejsce wykonywania prac należy oznakować, w celu zabezpieczenia pracowników i kierujących pojazdami na drodze.</w:t>
      </w:r>
    </w:p>
    <w:p w:rsidR="002D7D6F" w:rsidRPr="00796D83" w:rsidRDefault="002D7D6F" w:rsidP="00133390">
      <w:pPr>
        <w:pStyle w:val="Nagwek2"/>
      </w:pPr>
      <w:r w:rsidRPr="00796D83">
        <w:t>Wykonanie wykopów i fundamentów dla konstrukcji wsporczych znaków</w:t>
      </w:r>
    </w:p>
    <w:p w:rsidR="002D7D6F" w:rsidRPr="00796D83" w:rsidRDefault="002D7D6F" w:rsidP="00677B8E">
      <w:pPr>
        <w:pStyle w:val="tekst"/>
      </w:pPr>
      <w:r>
        <w:tab/>
      </w:r>
      <w:r w:rsidRPr="00796D83">
        <w:t xml:space="preserve">Sposób wykonania wykopu pod fundament znaku pionowego powinien być dostosowany do głębokości wykopu, rodzaju gruntu i posiadanego sprzętu. Wymiary wykopu powinny być zgodne z </w:t>
      </w:r>
      <w:r>
        <w:t>D</w:t>
      </w:r>
      <w:r w:rsidRPr="00796D83">
        <w:t xml:space="preserve">okumentacją </w:t>
      </w:r>
      <w:r>
        <w:t>P</w:t>
      </w:r>
      <w:r w:rsidRPr="00796D83">
        <w:t>rojektową lub wskazaniami Inżyniera.</w:t>
      </w:r>
    </w:p>
    <w:p w:rsidR="002D7D6F" w:rsidRPr="00796D83" w:rsidRDefault="002D7D6F" w:rsidP="00677B8E">
      <w:pPr>
        <w:pStyle w:val="tekst"/>
      </w:pPr>
      <w:r>
        <w:tab/>
      </w:r>
      <w:r w:rsidRPr="00796D83">
        <w:t>Wykopy fundamentowe powinny być wykonane w takim okresie, aby po ich zakończeniu można było przystąpić natychmiast do wykonania w nich robót fundamentowych.</w:t>
      </w:r>
    </w:p>
    <w:p w:rsidR="002D7D6F" w:rsidRPr="00796D83" w:rsidRDefault="002D7D6F" w:rsidP="002D7D6F">
      <w:pPr>
        <w:pStyle w:val="Nagwek3"/>
      </w:pPr>
      <w:r w:rsidRPr="00796D83">
        <w:t>Prefabrykaty betonowe</w:t>
      </w:r>
    </w:p>
    <w:p w:rsidR="002D7D6F" w:rsidRPr="00796D83" w:rsidRDefault="002D7D6F" w:rsidP="00677B8E">
      <w:pPr>
        <w:pStyle w:val="tekst"/>
      </w:pPr>
      <w:r>
        <w:tab/>
      </w:r>
      <w:r w:rsidRPr="00796D83">
        <w:t>Dno wykopu przed ułożeniem prefabrykatu należy wyrównać i zagęścić. Wolne przestrzenie między ścianami gruntu i prefabrykatem należy wypełnić materiałem kamiennym, np. klińcem i dokładnie zagęścić ubijakami ręcznymi.</w:t>
      </w:r>
    </w:p>
    <w:p w:rsidR="002D7D6F" w:rsidRPr="00796D83" w:rsidRDefault="002D7D6F" w:rsidP="00677B8E">
      <w:pPr>
        <w:pStyle w:val="tekst"/>
      </w:pPr>
      <w:r>
        <w:tab/>
      </w:r>
      <w:r w:rsidRPr="00796D83">
        <w:t>Jeżeli znak jest zlokalizowany na poboczu drogi, to górna powierzchnia prefabrykatu powinna być równa z</w:t>
      </w:r>
      <w:r>
        <w:t> </w:t>
      </w:r>
      <w:r w:rsidRPr="00796D83">
        <w:t>powierzchnią pobocza lub być wyniesiona nad tę powierzchnię nie więcej niż 0,03 m.</w:t>
      </w:r>
    </w:p>
    <w:p w:rsidR="002D7D6F" w:rsidRPr="00796D83" w:rsidRDefault="002D7D6F" w:rsidP="002D7D6F">
      <w:pPr>
        <w:pStyle w:val="Nagwek3"/>
      </w:pPr>
      <w:r w:rsidRPr="00796D83">
        <w:lastRenderedPageBreak/>
        <w:t>Fundamenty z betonu i betonu zbrojonego</w:t>
      </w:r>
    </w:p>
    <w:p w:rsidR="002D7D6F" w:rsidRPr="00796D83" w:rsidRDefault="002D7D6F" w:rsidP="00677B8E">
      <w:pPr>
        <w:pStyle w:val="tekst"/>
      </w:pPr>
      <w:r>
        <w:tab/>
      </w:r>
      <w:r w:rsidRPr="00796D83">
        <w:t>Wykopy pod fundamenty konstrukcji wsporczych dla zamocowania znaków wielkowymiarowych (znak kierunku i miejscowości), wykonywane z betonu „na mokro” lub z betonu zbro</w:t>
      </w:r>
      <w:r>
        <w:t>jonego należy wykonać zgodnie z </w:t>
      </w:r>
      <w:r w:rsidR="00677B8E">
        <w:t>PN-S-02205</w:t>
      </w:r>
      <w:r w:rsidRPr="00B53AD6">
        <w:t>.</w:t>
      </w:r>
    </w:p>
    <w:p w:rsidR="002D7D6F" w:rsidRPr="00796D83" w:rsidRDefault="002D7D6F" w:rsidP="00677B8E">
      <w:pPr>
        <w:pStyle w:val="tekst"/>
      </w:pPr>
      <w:r>
        <w:tab/>
      </w:r>
      <w:r w:rsidRPr="00796D83">
        <w:t>Posadowienie fundamentów w wykopach otwartych bądź rozpartych należy wykonywać zgodnie z</w:t>
      </w:r>
      <w:r>
        <w:t> D</w:t>
      </w:r>
      <w:r w:rsidRPr="00796D83">
        <w:t xml:space="preserve">okumentacją </w:t>
      </w:r>
      <w:r>
        <w:t>P</w:t>
      </w:r>
      <w:r w:rsidRPr="00796D83">
        <w:t>rojektową, SST lub wskazaniami Inżyniera. Wykopy należy zabezpieczyć przed napływem wód opadowych przez</w:t>
      </w:r>
      <w:bookmarkStart w:id="5" w:name="page91"/>
      <w:bookmarkEnd w:id="5"/>
      <w:r>
        <w:t xml:space="preserve"> </w:t>
      </w:r>
      <w:r w:rsidRPr="00796D83">
        <w:t xml:space="preserve">wyprofilowanie terenu ze spadkiem umożliwiającym łatwy odpływ wody poza teren przylegający do wykopu. Dno wykopu powinno być wyrównane z dokładnością </w:t>
      </w:r>
      <w:r>
        <w:t xml:space="preserve">± </w:t>
      </w:r>
      <w:r w:rsidRPr="00796D83">
        <w:t xml:space="preserve">2 </w:t>
      </w:r>
      <w:proofErr w:type="spellStart"/>
      <w:r w:rsidRPr="00796D83">
        <w:t>cm</w:t>
      </w:r>
      <w:proofErr w:type="spellEnd"/>
      <w:r w:rsidRPr="00796D83">
        <w:t>.</w:t>
      </w:r>
    </w:p>
    <w:p w:rsidR="002D7D6F" w:rsidRPr="00796D83" w:rsidRDefault="002D7D6F" w:rsidP="00677B8E">
      <w:pPr>
        <w:pStyle w:val="tekst"/>
      </w:pPr>
      <w:r>
        <w:tab/>
      </w:r>
      <w:r w:rsidRPr="00796D83">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D7D6F" w:rsidRPr="00796D83" w:rsidRDefault="002D7D6F" w:rsidP="00133390">
      <w:pPr>
        <w:pStyle w:val="Nagwek2"/>
      </w:pPr>
      <w:r w:rsidRPr="00796D83">
        <w:t>Tolerancje ustawienia znaku pionowego</w:t>
      </w:r>
    </w:p>
    <w:p w:rsidR="002D7D6F" w:rsidRPr="00796D83" w:rsidRDefault="002D7D6F" w:rsidP="00677B8E">
      <w:pPr>
        <w:pStyle w:val="tekst"/>
      </w:pPr>
      <w:r>
        <w:tab/>
      </w:r>
      <w:r w:rsidRPr="00796D83">
        <w:t xml:space="preserve">Konstrukcje wsporcze znaków - słupki, słupy, wysięgniki, konstrukcje dla tablic wielkowymiarowych, powinny być wykonane zgodnie z </w:t>
      </w:r>
      <w:r>
        <w:t>D</w:t>
      </w:r>
      <w:r w:rsidRPr="00796D83">
        <w:t>okumentacją</w:t>
      </w:r>
      <w:r>
        <w:t xml:space="preserve"> Projektową</w:t>
      </w:r>
      <w:r w:rsidRPr="00796D83">
        <w:t xml:space="preserve"> i SST.</w:t>
      </w:r>
    </w:p>
    <w:p w:rsidR="002D7D6F" w:rsidRPr="00796D83" w:rsidRDefault="002D7D6F" w:rsidP="00133390">
      <w:pPr>
        <w:pStyle w:val="tekst"/>
        <w:spacing w:after="0"/>
      </w:pPr>
      <w:r w:rsidRPr="00796D83">
        <w:t>Dopuszczalne tolerancje ustawienia znaku:</w:t>
      </w:r>
    </w:p>
    <w:p w:rsidR="002D7D6F" w:rsidRPr="002A4B44" w:rsidRDefault="002D7D6F" w:rsidP="00133390">
      <w:pPr>
        <w:pStyle w:val="tekst"/>
        <w:numPr>
          <w:ilvl w:val="0"/>
          <w:numId w:val="20"/>
        </w:numPr>
        <w:spacing w:after="0"/>
      </w:pPr>
      <w:r w:rsidRPr="002A4B44">
        <w:t>odchyłka od pionu, nie więcej niż  1 %,</w:t>
      </w:r>
    </w:p>
    <w:p w:rsidR="002D7D6F" w:rsidRPr="002A4B44" w:rsidRDefault="002D7D6F" w:rsidP="00133390">
      <w:pPr>
        <w:pStyle w:val="tekst"/>
        <w:numPr>
          <w:ilvl w:val="0"/>
          <w:numId w:val="20"/>
        </w:numPr>
        <w:spacing w:after="0"/>
      </w:pPr>
      <w:r w:rsidRPr="002A4B44">
        <w:t>odchyłka w wysokości umieszczenia znaku, nie więcej niż  2 cm,</w:t>
      </w:r>
    </w:p>
    <w:p w:rsidR="002D7D6F" w:rsidRPr="002A4B44" w:rsidRDefault="002D7D6F" w:rsidP="00133390">
      <w:pPr>
        <w:pStyle w:val="tekst"/>
        <w:numPr>
          <w:ilvl w:val="0"/>
          <w:numId w:val="20"/>
        </w:numPr>
        <w:spacing w:after="0"/>
      </w:pPr>
      <w:r w:rsidRPr="002A4B44">
        <w:t>odchyłka w odległości ustawienia znaku od krawędzi jezdni utwardzonego pobocza lub pasa awaryjnego postoju, nie więcej niż 5 cm, przy zachowaniu minimalnej odległoś</w:t>
      </w:r>
      <w:r>
        <w:t>ci umieszczenia znaku zgodnie z </w:t>
      </w:r>
      <w:r w:rsidRPr="002A4B44">
        <w:t>załącznikiem nr 1 do rozporządzenia</w:t>
      </w:r>
      <w:r>
        <w:t xml:space="preserve"> </w:t>
      </w:r>
      <w:r w:rsidRPr="002A4B44">
        <w:t>Ministra Infrastruktury z dnia 3 lipca 2003 r. w sprawie szczegółowych warunków technicznych dla znaków i sygnałów drogowych oraz urządzeń bezpieczeństwa ruchu drogowego i warunków ich umieszczania na drogach</w:t>
      </w:r>
      <w:r w:rsidRPr="00895147">
        <w:t>.</w:t>
      </w:r>
    </w:p>
    <w:p w:rsidR="002D7D6F" w:rsidRDefault="002D7D6F" w:rsidP="00133390">
      <w:pPr>
        <w:pStyle w:val="Nagwek2"/>
      </w:pPr>
      <w:r>
        <w:t>Konstrukcje wsporcze</w:t>
      </w:r>
    </w:p>
    <w:p w:rsidR="002D7D6F" w:rsidRPr="002A4B44" w:rsidRDefault="002D7D6F" w:rsidP="002D7D6F">
      <w:pPr>
        <w:pStyle w:val="Nagwek3"/>
        <w:rPr>
          <w:b/>
          <w:szCs w:val="20"/>
        </w:rPr>
      </w:pPr>
      <w:r>
        <w:t>Zabezpieczenie konstrukcji wsporczej przed najechaniem</w:t>
      </w:r>
    </w:p>
    <w:p w:rsidR="002D7D6F" w:rsidRDefault="002D7D6F" w:rsidP="00677B8E">
      <w:pPr>
        <w:pStyle w:val="tekst"/>
      </w:pPr>
      <w:r>
        <w:tab/>
      </w:r>
      <w:r w:rsidRPr="002A4B44">
        <w:t>Konstrukcje wsporcze znaków drogowych bramowych lub wysięgnikowych jedno lub dwustronnych, jak również konstrukcje wsporcze znaków tablicowych bocznych o powierzchni większej od 4,5 m</w:t>
      </w:r>
      <w:r w:rsidRPr="002A4B44">
        <w:rPr>
          <w:vertAlign w:val="superscript"/>
        </w:rPr>
        <w:t>2</w:t>
      </w:r>
      <w:r w:rsidRPr="002A4B44">
        <w:t>, gdy występuje możliwość bezpośredniego najechania na nie przez pojazd - muszą być zabezpieczone odpowiednio umieszczonymi barierami ochronnymi lub innego rodzaju urządzeniami ochronnymi lub przeciw</w:t>
      </w:r>
      <w:r>
        <w:t xml:space="preserve"> </w:t>
      </w:r>
      <w:r w:rsidRPr="002A4B44">
        <w:t xml:space="preserve">destrukcyjnymi, zgodnie z </w:t>
      </w:r>
      <w:r>
        <w:t>D</w:t>
      </w:r>
      <w:r w:rsidRPr="002A4B44">
        <w:t xml:space="preserve">okumentacją </w:t>
      </w:r>
      <w:r>
        <w:t>P</w:t>
      </w:r>
      <w:r w:rsidRPr="002A4B44">
        <w:t xml:space="preserve">rojektową lub wskazaniami </w:t>
      </w:r>
      <w:r>
        <w:t>Inżyniera</w:t>
      </w:r>
      <w:r w:rsidRPr="002A4B44">
        <w:t>. Podobne zabezpieczenie należy stosować w</w:t>
      </w:r>
      <w:r>
        <w:t> </w:t>
      </w:r>
      <w:r w:rsidRPr="002A4B44">
        <w:t xml:space="preserve">przypadku innych konstrukcji wsporczych, gdy najechanie na nie w większym stopniu zagraża bezpieczeństwu użytkowników pojazdów, niż najechanie pojazdu na barierę, jeśli przewiduje to </w:t>
      </w:r>
      <w:r>
        <w:t>D</w:t>
      </w:r>
      <w:r w:rsidRPr="002A4B44">
        <w:t xml:space="preserve">okumentacja </w:t>
      </w:r>
      <w:r>
        <w:t>P</w:t>
      </w:r>
      <w:r w:rsidRPr="002A4B44">
        <w:t xml:space="preserve">rojektowa lub </w:t>
      </w:r>
      <w:r>
        <w:t>Inżyniera</w:t>
      </w:r>
      <w:r w:rsidRPr="002A4B44">
        <w:t>.</w:t>
      </w:r>
    </w:p>
    <w:p w:rsidR="002D7D6F" w:rsidRPr="002A4B44" w:rsidRDefault="002D7D6F" w:rsidP="002D7D6F">
      <w:pPr>
        <w:pStyle w:val="Nagwek3"/>
        <w:rPr>
          <w:b/>
        </w:rPr>
      </w:pPr>
      <w:r w:rsidRPr="002A4B44">
        <w:t xml:space="preserve">Łatwo </w:t>
      </w:r>
      <w:proofErr w:type="spellStart"/>
      <w:r w:rsidRPr="002A4B44">
        <w:t>zrywalne</w:t>
      </w:r>
      <w:proofErr w:type="spellEnd"/>
      <w:r w:rsidRPr="002A4B44">
        <w:t xml:space="preserve"> złą</w:t>
      </w:r>
      <w:r>
        <w:t>cza konstrukcji wsporczej</w:t>
      </w:r>
    </w:p>
    <w:p w:rsidR="002D7D6F" w:rsidRDefault="002D7D6F" w:rsidP="00677B8E">
      <w:pPr>
        <w:pStyle w:val="tekst"/>
      </w:pPr>
      <w:r>
        <w:tab/>
      </w:r>
      <w:r w:rsidRPr="002A4B44">
        <w:t xml:space="preserve">W przypadku konstrukcji wsporczych, nie osłoniętych barierami ochronnymi - zaleca się stosowanie łatwo </w:t>
      </w:r>
      <w:proofErr w:type="spellStart"/>
      <w:r w:rsidRPr="002A4B44">
        <w:t>zrywalnych</w:t>
      </w:r>
      <w:proofErr w:type="spellEnd"/>
      <w:r w:rsidRPr="002A4B44">
        <w:t xml:space="preserve"> lub łatwo rozłączalnych przekrojów, złączy lub przegubów o odpowiednio bezpiecznej konstrukcji, umieszczonych na wysokości od 0,15 do 0,20 m nad powierzchnią terenu.</w:t>
      </w:r>
    </w:p>
    <w:p w:rsidR="002D7D6F" w:rsidRDefault="002D7D6F" w:rsidP="00677B8E">
      <w:pPr>
        <w:pStyle w:val="tekst"/>
      </w:pPr>
      <w:r>
        <w:tab/>
        <w:t>W szczególno</w:t>
      </w:r>
      <w:r>
        <w:rPr>
          <w:rFonts w:ascii="TTE1FCBCF0t00" w:hAnsi="TTE1FCBCF0t00"/>
        </w:rPr>
        <w:t>ś</w:t>
      </w:r>
      <w:r>
        <w:t>ci - zaleca si</w:t>
      </w:r>
      <w:r>
        <w:rPr>
          <w:rFonts w:ascii="TTE1FCBCF0t00" w:hAnsi="TTE1FCBCF0t00"/>
        </w:rPr>
        <w:t xml:space="preserve">ę </w:t>
      </w:r>
      <w:r>
        <w:t>stosowanie takich przekrojów, zł</w:t>
      </w:r>
      <w:r>
        <w:rPr>
          <w:rFonts w:ascii="TTE1FCBCF0t00" w:hAnsi="TTE1FCBCF0t00"/>
        </w:rPr>
        <w:t>ą</w:t>
      </w:r>
      <w:r>
        <w:t>czy lub przegubów w konstrukcjach wsporczych nie osłoni</w:t>
      </w:r>
      <w:r>
        <w:rPr>
          <w:rFonts w:ascii="TTE1FCBCF0t00" w:hAnsi="TTE1FCBCF0t00"/>
        </w:rPr>
        <w:t>ę</w:t>
      </w:r>
      <w:r>
        <w:t>tych barierami ochronnymi, które znajduj</w:t>
      </w:r>
      <w:r>
        <w:rPr>
          <w:rFonts w:ascii="TTE1FCBCF0t00" w:hAnsi="TTE1FCBCF0t00"/>
        </w:rPr>
        <w:t xml:space="preserve">ą </w:t>
      </w:r>
      <w:r>
        <w:t>si</w:t>
      </w:r>
      <w:r>
        <w:rPr>
          <w:rFonts w:ascii="TTE1FCBCF0t00" w:hAnsi="TTE1FCBCF0t00"/>
        </w:rPr>
        <w:t xml:space="preserve">ę </w:t>
      </w:r>
      <w:r>
        <w:t>na obszarach zwi</w:t>
      </w:r>
      <w:r>
        <w:rPr>
          <w:rFonts w:ascii="TTE1FCBCF0t00" w:hAnsi="TTE1FCBCF0t00"/>
        </w:rPr>
        <w:t>ę</w:t>
      </w:r>
      <w:r>
        <w:t>kszonego zagro</w:t>
      </w:r>
      <w:r>
        <w:rPr>
          <w:rFonts w:ascii="TTE1FCBCF0t00" w:hAnsi="TTE1FCBCF0t00"/>
        </w:rPr>
        <w:t>ż</w:t>
      </w:r>
      <w:r>
        <w:t>enia kolizyjnego (ostrza rozgał</w:t>
      </w:r>
      <w:r>
        <w:rPr>
          <w:rFonts w:ascii="TTE1FCBCF0t00" w:hAnsi="TTE1FCBCF0t00"/>
        </w:rPr>
        <w:t>ę</w:t>
      </w:r>
      <w:r>
        <w:t>zie</w:t>
      </w:r>
      <w:r>
        <w:rPr>
          <w:rFonts w:ascii="TTE1FCBCF0t00" w:hAnsi="TTE1FCBCF0t00"/>
        </w:rPr>
        <w:t xml:space="preserve">ń </w:t>
      </w:r>
      <w:r>
        <w:t>dróg ł</w:t>
      </w:r>
      <w:r>
        <w:rPr>
          <w:rFonts w:ascii="TTE1FCBCF0t00" w:hAnsi="TTE1FCBCF0t00"/>
        </w:rPr>
        <w:t>ą</w:t>
      </w:r>
      <w:r>
        <w:t>cznikowych, zewn</w:t>
      </w:r>
      <w:r>
        <w:rPr>
          <w:rFonts w:ascii="TTE1FCBCF0t00" w:hAnsi="TTE1FCBCF0t00"/>
        </w:rPr>
        <w:t>ę</w:t>
      </w:r>
      <w:r>
        <w:t>trzna strona łuków drogi itp.).</w:t>
      </w:r>
    </w:p>
    <w:p w:rsidR="002D7D6F" w:rsidRPr="00133390" w:rsidRDefault="002D7D6F" w:rsidP="00133390">
      <w:pPr>
        <w:pStyle w:val="tekst"/>
      </w:pPr>
      <w:r w:rsidRPr="00133390">
        <w:tab/>
        <w:t xml:space="preserve">Łatwo </w:t>
      </w:r>
      <w:proofErr w:type="spellStart"/>
      <w:r w:rsidRPr="00133390">
        <w:t>zrywalne</w:t>
      </w:r>
      <w:proofErr w:type="spellEnd"/>
      <w:r w:rsidRPr="00133390">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D7D6F" w:rsidRDefault="002D7D6F" w:rsidP="002D7D6F">
      <w:pPr>
        <w:pStyle w:val="Nagwek3"/>
        <w:rPr>
          <w:rFonts w:ascii="TTE1FCBCF0t00" w:hAnsi="TTE1FCBCF0t00"/>
        </w:rPr>
      </w:pPr>
      <w:r>
        <w:t>Zapobieganie zagro</w:t>
      </w:r>
      <w:r>
        <w:rPr>
          <w:rFonts w:ascii="TTE1FCBCF0t00" w:hAnsi="TTE1FCBCF0t00"/>
        </w:rPr>
        <w:t>ż</w:t>
      </w:r>
      <w:r>
        <w:t>eniu u</w:t>
      </w:r>
      <w:r>
        <w:rPr>
          <w:rFonts w:ascii="TTE1FCBCF0t00" w:hAnsi="TTE1FCBCF0t00"/>
        </w:rPr>
        <w:t>ż</w:t>
      </w:r>
      <w:r>
        <w:t>ytkowników drogi i terenu przyległego - przez konstrukcj</w:t>
      </w:r>
      <w:r>
        <w:rPr>
          <w:rFonts w:ascii="TTE1FCBCF0t00" w:hAnsi="TTE1FCBCF0t00"/>
        </w:rPr>
        <w:t>ę wsporczą</w:t>
      </w:r>
    </w:p>
    <w:p w:rsidR="002D7D6F" w:rsidRDefault="002D7D6F" w:rsidP="00677B8E">
      <w:pPr>
        <w:pStyle w:val="tekst"/>
      </w:pPr>
      <w:r>
        <w:tab/>
      </w:r>
      <w:r w:rsidRPr="002A4B44">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D7D6F" w:rsidRDefault="002D7D6F" w:rsidP="002D7D6F">
      <w:pPr>
        <w:pStyle w:val="Nagwek3"/>
      </w:pPr>
      <w:r w:rsidRPr="002A4B44">
        <w:t>Tablicowe znaki drogowe na dwóch słupach lub podporach</w:t>
      </w:r>
    </w:p>
    <w:p w:rsidR="002D7D6F" w:rsidRDefault="002D7D6F" w:rsidP="00677B8E">
      <w:pPr>
        <w:pStyle w:val="tekst"/>
      </w:pPr>
      <w:r>
        <w:tab/>
      </w:r>
      <w:r w:rsidRPr="002A4B44">
        <w:t>Przy stosowaniu tablicowych znaków drogowych (drogowskazów tablicowych, tablic przed</w:t>
      </w:r>
      <w:r>
        <w:t xml:space="preserve"> </w:t>
      </w:r>
      <w:r w:rsidRPr="002A4B44">
        <w:t xml:space="preserve">drogowskazowych, tablic szlaku drogowego, tablic objazdów itp.) umieszczanych na dwóch słupach lub podporach - odległość między tymi słupami lub podporami, mierzona prostopadle do przewidywanego kierunku najechania przez pojazd, nie </w:t>
      </w:r>
      <w:r w:rsidRPr="002A4B44">
        <w:lastRenderedPageBreak/>
        <w:t>może być mniejsza od 1,75 m. Przy stosowaniu większej liczby słupów niż dwa - odległość między nimi może być mniejsza.</w:t>
      </w:r>
    </w:p>
    <w:p w:rsidR="002D7D6F" w:rsidRDefault="002D7D6F" w:rsidP="002D7D6F">
      <w:pPr>
        <w:pStyle w:val="Nagwek3"/>
      </w:pPr>
      <w:r w:rsidRPr="002A4B44">
        <w:t>Poziom górnej powierzchni fundamentu</w:t>
      </w:r>
    </w:p>
    <w:p w:rsidR="002D7D6F" w:rsidRDefault="002D7D6F" w:rsidP="00677B8E">
      <w:pPr>
        <w:pStyle w:val="tekst"/>
      </w:pPr>
      <w:r>
        <w:tab/>
      </w:r>
      <w:r w:rsidRPr="002A4B44">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r>
        <w:t>.</w:t>
      </w:r>
    </w:p>
    <w:p w:rsidR="002D7D6F" w:rsidRDefault="002D7D6F" w:rsidP="002D7D6F">
      <w:pPr>
        <w:pStyle w:val="Nagwek3"/>
      </w:pPr>
      <w:r w:rsidRPr="002A4B44">
        <w:t>Barwa konstrukcji wsporczej</w:t>
      </w:r>
    </w:p>
    <w:p w:rsidR="002D7D6F" w:rsidRDefault="002D7D6F" w:rsidP="00677B8E">
      <w:pPr>
        <w:pStyle w:val="tekst"/>
      </w:pPr>
      <w:r>
        <w:tab/>
      </w:r>
      <w:r w:rsidRPr="002A4B44">
        <w:t>Konstrukcje wsporcze znaków drogowych pionowych muszą mieć barwę szarą neutralną z tym, że dopuszcza się barwę naturalną pokryć cynkowanych. Zabrania się stosowania pokryć konstrukcji wsporczych o</w:t>
      </w:r>
      <w:r>
        <w:t> </w:t>
      </w:r>
      <w:r w:rsidRPr="002A4B44">
        <w:t>jaskrawej barwie - z wyjątkiem przypadków, gdy jest to wymagane odrębnymi przepisami, wytycznymi lub warunkami technicznymi.</w:t>
      </w:r>
    </w:p>
    <w:p w:rsidR="002D7D6F" w:rsidRDefault="002D7D6F" w:rsidP="00133390">
      <w:pPr>
        <w:pStyle w:val="Nagwek2"/>
      </w:pPr>
      <w:r w:rsidRPr="002A4B44">
        <w:t>Połączenie tarczy znaku z konstrukcją wsporczą</w:t>
      </w:r>
    </w:p>
    <w:p w:rsidR="002D7D6F" w:rsidRDefault="002D7D6F" w:rsidP="00677B8E">
      <w:pPr>
        <w:pStyle w:val="tekst"/>
      </w:pPr>
      <w:r>
        <w:tab/>
      </w:r>
      <w:r w:rsidRPr="002A4B44">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w:t>
      </w:r>
      <w:r>
        <w:t>ytkowania znaku.</w:t>
      </w:r>
    </w:p>
    <w:p w:rsidR="002D7D6F" w:rsidRDefault="002D7D6F" w:rsidP="00677B8E">
      <w:pPr>
        <w:pStyle w:val="tekst"/>
      </w:pPr>
      <w:r>
        <w:tab/>
      </w:r>
      <w:r w:rsidRPr="002A4B44">
        <w:t>Na drogach i obszarach, na których występują częste przypadki dewastacji znaków, zaleca się stosowanie elementów złącznych o konstrukcji uniemożliwiającej lub znacznie utrudniającej ich rozłączenie przez osoby niepowołane.</w:t>
      </w:r>
    </w:p>
    <w:p w:rsidR="002D7D6F" w:rsidRDefault="002D7D6F" w:rsidP="00677B8E">
      <w:pPr>
        <w:pStyle w:val="tekst"/>
      </w:pPr>
      <w:r>
        <w:tab/>
      </w:r>
      <w:r w:rsidRPr="002A4B44">
        <w:t>Tarcza znaku składanego musi wykazywać pełną integralność podczas najechania przez pojazd w każdych warunkach kolizji. W szczególności - żaden z segmentów lub elementów tarczy nie może się od niej odłączać w</w:t>
      </w:r>
      <w:r>
        <w:t> </w:t>
      </w:r>
      <w:r w:rsidRPr="002A4B44">
        <w:t>sposób powodujący narażenie kogokolwiek na niebezpieczeństwo lub szkodę.</w:t>
      </w:r>
    </w:p>
    <w:p w:rsidR="002D7D6F" w:rsidRDefault="002D7D6F" w:rsidP="00677B8E">
      <w:pPr>
        <w:pStyle w:val="tekst"/>
      </w:pPr>
      <w:r>
        <w:tab/>
      </w:r>
      <w:r w:rsidRPr="002A4B44">
        <w:t>Nie dopuszcza się zamocowania znaku do konstrukcji wsporczej w sposób wymagający bezpośredniego przeprowadzenia śrub mocujących przez lico znaku.</w:t>
      </w:r>
    </w:p>
    <w:p w:rsidR="002D7D6F" w:rsidRDefault="002D7D6F" w:rsidP="00133390">
      <w:pPr>
        <w:pStyle w:val="Nagwek2"/>
      </w:pPr>
      <w:r w:rsidRPr="002A4B44">
        <w:t>Urządzenia elektryczne na konstrukcji wsporczej</w:t>
      </w:r>
    </w:p>
    <w:p w:rsidR="002D7D6F" w:rsidRDefault="002D7D6F" w:rsidP="00677B8E">
      <w:pPr>
        <w:pStyle w:val="tekst"/>
      </w:pPr>
      <w:r>
        <w:tab/>
      </w:r>
      <w:r w:rsidRPr="002A4B44">
        <w:t>Przy umieszczaniu na konstrukcji wsporczej znaku drogowego jakichkolwiek urządzeń elektrycznych - obowiązują zasady oznaczania i zabezpieczania tych urządzeń, określone w odpowiednich przepisach i</w:t>
      </w:r>
      <w:r>
        <w:t> </w:t>
      </w:r>
      <w:r w:rsidRPr="002A4B44">
        <w:t xml:space="preserve">zaleceniach dotyczących urządzeń </w:t>
      </w:r>
      <w:r>
        <w:t>elektroenergetycznych.</w:t>
      </w:r>
    </w:p>
    <w:p w:rsidR="002D7D6F" w:rsidRDefault="002D7D6F" w:rsidP="00677B8E">
      <w:pPr>
        <w:pStyle w:val="tekst"/>
      </w:pPr>
      <w:r>
        <w:tab/>
      </w:r>
      <w:r w:rsidRPr="002A4B44">
        <w:t xml:space="preserve">Aparaturę elektryczną należy montować na pojedynczym słupie. Na słupie powinna być zamocowana skrzynka elektryczna zgodnie z </w:t>
      </w:r>
      <w:r w:rsidRPr="00B53AD6">
        <w:t>PN-EN 40-5</w:t>
      </w:r>
      <w:r>
        <w:t>[8]</w:t>
      </w:r>
      <w:r w:rsidRPr="002A4B44">
        <w:t xml:space="preserve">. Każda skrzynka elektryczna powinna być zabezpieczona zamkiem natomiast poziomem zabezpieczenia przed przenikaniem kurzu i wody, określonym w </w:t>
      </w:r>
      <w:r w:rsidRPr="00B53AD6">
        <w:t>PN-EN 60529</w:t>
      </w:r>
      <w:r>
        <w:t>[18],</w:t>
      </w:r>
      <w:r w:rsidRPr="002A4B44">
        <w:t xml:space="preserve"> powinien być poziom 2 dla cząstek stałych i poziom 3 dla wod</w:t>
      </w:r>
      <w:r>
        <w:t>y.</w:t>
      </w:r>
    </w:p>
    <w:p w:rsidR="002D7D6F" w:rsidRDefault="002D7D6F" w:rsidP="00133390">
      <w:pPr>
        <w:pStyle w:val="Nagwek2"/>
      </w:pPr>
      <w:r w:rsidRPr="002A4B44">
        <w:t>Trw</w:t>
      </w:r>
      <w:r>
        <w:t>ałość wykonania znaku pionowego</w:t>
      </w:r>
    </w:p>
    <w:p w:rsidR="002D7D6F" w:rsidRPr="002A4B44" w:rsidRDefault="002D7D6F" w:rsidP="00677B8E">
      <w:pPr>
        <w:pStyle w:val="tekst"/>
        <w:rPr>
          <w:b/>
        </w:rPr>
      </w:pPr>
      <w:r w:rsidRPr="002A4B44">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2D7D6F" w:rsidRPr="00796D83" w:rsidRDefault="002D7D6F" w:rsidP="00133390">
      <w:pPr>
        <w:pStyle w:val="Nagwek2"/>
      </w:pPr>
      <w:r w:rsidRPr="00796D83">
        <w:t>Oznakowanie znaku</w:t>
      </w:r>
    </w:p>
    <w:p w:rsidR="002D7D6F" w:rsidRPr="00796D83" w:rsidRDefault="002D7D6F" w:rsidP="00133390">
      <w:pPr>
        <w:pStyle w:val="tekst"/>
        <w:spacing w:after="0"/>
      </w:pPr>
      <w:r>
        <w:tab/>
      </w:r>
      <w:r w:rsidRPr="00796D83">
        <w:t>Każdy wykonany znak drogowy musi mieć naklejoną na rewersie naklejkę zawierającą następujące informacje:</w:t>
      </w:r>
    </w:p>
    <w:p w:rsidR="002D7D6F" w:rsidRPr="00894425" w:rsidRDefault="002D7D6F" w:rsidP="00133390">
      <w:pPr>
        <w:pStyle w:val="tekst"/>
        <w:numPr>
          <w:ilvl w:val="0"/>
          <w:numId w:val="21"/>
        </w:numPr>
        <w:spacing w:after="0"/>
      </w:pPr>
      <w:r w:rsidRPr="00894425">
        <w:t>numer</w:t>
      </w:r>
      <w:r w:rsidR="00133390">
        <w:t xml:space="preserve"> i datę normy tj. PN-EN 12899-1</w:t>
      </w:r>
      <w:r w:rsidRPr="00894425">
        <w:t>,</w:t>
      </w:r>
    </w:p>
    <w:p w:rsidR="002D7D6F" w:rsidRPr="00894425" w:rsidRDefault="002D7D6F" w:rsidP="00133390">
      <w:pPr>
        <w:pStyle w:val="tekst"/>
        <w:numPr>
          <w:ilvl w:val="0"/>
          <w:numId w:val="21"/>
        </w:numPr>
        <w:spacing w:after="0"/>
      </w:pPr>
      <w:r w:rsidRPr="00894425">
        <w:t>klasy istotnych właściwości wyrobu,</w:t>
      </w:r>
    </w:p>
    <w:p w:rsidR="002D7D6F" w:rsidRPr="00894425" w:rsidRDefault="002D7D6F" w:rsidP="00133390">
      <w:pPr>
        <w:pStyle w:val="tekst"/>
        <w:numPr>
          <w:ilvl w:val="0"/>
          <w:numId w:val="21"/>
        </w:numPr>
        <w:spacing w:after="0"/>
      </w:pPr>
      <w:r w:rsidRPr="00894425">
        <w:t>miesiąc i dwie ostatnie cyfry roku produkcji</w:t>
      </w:r>
    </w:p>
    <w:p w:rsidR="002D7D6F" w:rsidRPr="00894425" w:rsidRDefault="002D7D6F" w:rsidP="00133390">
      <w:pPr>
        <w:pStyle w:val="tekst"/>
        <w:numPr>
          <w:ilvl w:val="0"/>
          <w:numId w:val="21"/>
        </w:numPr>
        <w:spacing w:after="0"/>
      </w:pPr>
      <w:r w:rsidRPr="00894425">
        <w:t>nazwę, znak handlowy i inne oznaczenia identyfikujące producenta lub dostawcę jeśli nie jest producentem,</w:t>
      </w:r>
    </w:p>
    <w:p w:rsidR="002D7D6F" w:rsidRPr="00894425" w:rsidRDefault="002D7D6F" w:rsidP="00133390">
      <w:pPr>
        <w:pStyle w:val="tekst"/>
        <w:numPr>
          <w:ilvl w:val="0"/>
          <w:numId w:val="21"/>
        </w:numPr>
        <w:spacing w:after="0"/>
      </w:pPr>
      <w:r w:rsidRPr="00894425">
        <w:t>znak budowlany „B”,</w:t>
      </w:r>
    </w:p>
    <w:p w:rsidR="002D7D6F" w:rsidRPr="00894425" w:rsidRDefault="002D7D6F" w:rsidP="00133390">
      <w:pPr>
        <w:pStyle w:val="tekst"/>
        <w:numPr>
          <w:ilvl w:val="0"/>
          <w:numId w:val="21"/>
        </w:numPr>
        <w:spacing w:after="0"/>
      </w:pPr>
      <w:r w:rsidRPr="00894425">
        <w:t xml:space="preserve">numer aprobaty technicznej </w:t>
      </w:r>
      <w:proofErr w:type="spellStart"/>
      <w:r w:rsidRPr="00894425">
        <w:t>IBDiM</w:t>
      </w:r>
      <w:proofErr w:type="spellEnd"/>
      <w:r w:rsidRPr="00894425">
        <w:t>,</w:t>
      </w:r>
    </w:p>
    <w:p w:rsidR="002D7D6F" w:rsidRPr="00894425" w:rsidRDefault="002D7D6F" w:rsidP="005C4FF4">
      <w:pPr>
        <w:pStyle w:val="tekst"/>
        <w:numPr>
          <w:ilvl w:val="0"/>
          <w:numId w:val="21"/>
        </w:numPr>
      </w:pPr>
      <w:r w:rsidRPr="00894425">
        <w:t>numer certyfikatu zgodności i numer jednostki certyfikującej.</w:t>
      </w:r>
    </w:p>
    <w:p w:rsidR="002D7D6F" w:rsidRDefault="002D7D6F" w:rsidP="00677B8E">
      <w:pPr>
        <w:pStyle w:val="tekst"/>
      </w:pPr>
      <w:r>
        <w:tab/>
      </w:r>
      <w:r w:rsidRPr="00796D83">
        <w:t>Oznakowania powinny być wykonane w sposób trwały i wyraźny, czytelny z n</w:t>
      </w:r>
      <w:r>
        <w:t>ormalnej odległości widzenia, a </w:t>
      </w:r>
      <w:r w:rsidRPr="00796D83">
        <w:t>całkowita powierzchnia naklejki nie była większa niż 30 cm</w:t>
      </w:r>
      <w:r w:rsidRPr="00796D83">
        <w:rPr>
          <w:vertAlign w:val="superscript"/>
        </w:rPr>
        <w:t>2</w:t>
      </w:r>
      <w:r w:rsidRPr="00796D83">
        <w:t xml:space="preserve"> . Czytelność i trwałość cechy na tylnej stronie tarczy znaku nie powinna być niższa od wymaganej trwałości znaku. Naklejkę należy wykonać z folii </w:t>
      </w:r>
      <w:proofErr w:type="spellStart"/>
      <w:r w:rsidRPr="00796D83">
        <w:t>nieodblaskowej</w:t>
      </w:r>
      <w:proofErr w:type="spellEnd"/>
      <w:r w:rsidRPr="00796D83">
        <w:t>.</w:t>
      </w:r>
    </w:p>
    <w:p w:rsidR="002D7D6F" w:rsidRDefault="002D7D6F" w:rsidP="00133390">
      <w:pPr>
        <w:pStyle w:val="Nagwek1"/>
      </w:pPr>
      <w:r w:rsidRPr="00796D83">
        <w:lastRenderedPageBreak/>
        <w:t>KONTROLA JAKOŚCI ROBÓT</w:t>
      </w:r>
    </w:p>
    <w:p w:rsidR="002D7D6F" w:rsidRPr="00796D83" w:rsidRDefault="002D7D6F" w:rsidP="00133390">
      <w:pPr>
        <w:pStyle w:val="Nagwek2"/>
      </w:pPr>
      <w:r w:rsidRPr="00796D83">
        <w:t>Ogólne zasady kontroli jakości robót</w:t>
      </w:r>
    </w:p>
    <w:p w:rsidR="002D7D6F" w:rsidRPr="00796D83" w:rsidRDefault="002D7D6F" w:rsidP="00677B8E">
      <w:pPr>
        <w:pStyle w:val="tekst"/>
      </w:pPr>
      <w:r>
        <w:tab/>
      </w:r>
      <w:r w:rsidRPr="00796D83">
        <w:t>Ogólne zasady kontroli jakości robót podano w ST D</w:t>
      </w:r>
      <w:r>
        <w:t>-M</w:t>
      </w:r>
      <w:r w:rsidRPr="00796D83">
        <w:t>-00.00.00 „Wymagania ogólne” pkt</w:t>
      </w:r>
      <w:r>
        <w:t>.</w:t>
      </w:r>
      <w:r w:rsidRPr="00796D83">
        <w:t xml:space="preserve"> 6.</w:t>
      </w:r>
    </w:p>
    <w:p w:rsidR="002D7D6F" w:rsidRPr="00796D83" w:rsidRDefault="002D7D6F" w:rsidP="00133390">
      <w:pPr>
        <w:pStyle w:val="Nagwek2"/>
      </w:pPr>
      <w:r w:rsidRPr="00796D83">
        <w:t>Badania materiałów do wykonania fundamentów betonowych</w:t>
      </w:r>
    </w:p>
    <w:p w:rsidR="002D7D6F" w:rsidRPr="00796D83" w:rsidRDefault="002D7D6F" w:rsidP="00677B8E">
      <w:pPr>
        <w:pStyle w:val="tekst"/>
      </w:pPr>
      <w:r>
        <w:tab/>
      </w:r>
      <w:r w:rsidRPr="00796D83">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D7D6F" w:rsidRPr="00796D83" w:rsidRDefault="002D7D6F" w:rsidP="00133390">
      <w:pPr>
        <w:pStyle w:val="Nagwek2"/>
      </w:pPr>
      <w:r w:rsidRPr="00796D83">
        <w:t>Badania w czasie wykonywania robót</w:t>
      </w:r>
    </w:p>
    <w:p w:rsidR="002D7D6F" w:rsidRPr="00796D83" w:rsidRDefault="002D7D6F" w:rsidP="002D7D6F">
      <w:pPr>
        <w:pStyle w:val="Nagwek3"/>
      </w:pPr>
      <w:r w:rsidRPr="00796D83">
        <w:t>Badania materiałów w czasie wykonywania robót</w:t>
      </w:r>
    </w:p>
    <w:p w:rsidR="002D7D6F" w:rsidRPr="00796D83" w:rsidRDefault="002D7D6F" w:rsidP="00677B8E">
      <w:pPr>
        <w:pStyle w:val="tekst"/>
      </w:pPr>
      <w:r>
        <w:tab/>
      </w:r>
      <w:r w:rsidRPr="00796D83">
        <w:t>Wszystkie materiały dostarczone na budowę powinny być sprawdzone w zakresie powierzchni wyrobu i jego wymiarów.</w:t>
      </w:r>
    </w:p>
    <w:p w:rsidR="002D7D6F" w:rsidRPr="00796D83" w:rsidRDefault="002D7D6F" w:rsidP="00677B8E">
      <w:pPr>
        <w:pStyle w:val="tekst"/>
      </w:pPr>
      <w:r>
        <w:tab/>
      </w:r>
      <w:r w:rsidRPr="00796D83">
        <w:t xml:space="preserve">Częstotliwość badań i ocena ich wyników powinna być zgodna z ustaleniami zawartymi w </w:t>
      </w:r>
      <w:r>
        <w:t>Tab.4</w:t>
      </w:r>
      <w:r w:rsidRPr="00796D83">
        <w:t>.</w:t>
      </w:r>
    </w:p>
    <w:p w:rsidR="002D7D6F" w:rsidRPr="00796D83" w:rsidRDefault="002D7D6F" w:rsidP="00677B8E">
      <w:pPr>
        <w:pStyle w:val="tekst"/>
        <w:jc w:val="center"/>
      </w:pPr>
      <w:r>
        <w:t>Tab.4.</w:t>
      </w:r>
      <w:r w:rsidRPr="00796D83">
        <w:t xml:space="preserve"> Częstotliwość badań przy sprawdzeniu powierzchni i wymiar</w:t>
      </w:r>
      <w:r>
        <w:t>ów wyrobów dostarczonych przez p</w:t>
      </w:r>
      <w:r w:rsidRPr="00796D83">
        <w:t>roducentów</w:t>
      </w:r>
    </w:p>
    <w:tbl>
      <w:tblPr>
        <w:tblW w:w="8931" w:type="dxa"/>
        <w:jc w:val="center"/>
        <w:tblInd w:w="10" w:type="dxa"/>
        <w:tblLayout w:type="fixed"/>
        <w:tblCellMar>
          <w:left w:w="0" w:type="dxa"/>
          <w:right w:w="0" w:type="dxa"/>
        </w:tblCellMar>
        <w:tblLook w:val="0000"/>
      </w:tblPr>
      <w:tblGrid>
        <w:gridCol w:w="426"/>
        <w:gridCol w:w="1984"/>
        <w:gridCol w:w="2268"/>
        <w:gridCol w:w="2268"/>
        <w:gridCol w:w="1985"/>
      </w:tblGrid>
      <w:tr w:rsidR="002D7D6F" w:rsidRPr="0066227B" w:rsidTr="002D7D6F">
        <w:trPr>
          <w:trHeight w:val="113"/>
          <w:jc w:val="center"/>
        </w:trPr>
        <w:tc>
          <w:tcPr>
            <w:tcW w:w="426" w:type="dxa"/>
            <w:tcBorders>
              <w:top w:val="single" w:sz="8" w:space="0" w:color="auto"/>
              <w:left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Lp.</w:t>
            </w:r>
          </w:p>
        </w:tc>
        <w:tc>
          <w:tcPr>
            <w:tcW w:w="1984" w:type="dxa"/>
            <w:tcBorders>
              <w:top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Rodzaj badania</w:t>
            </w:r>
          </w:p>
        </w:tc>
        <w:tc>
          <w:tcPr>
            <w:tcW w:w="2268" w:type="dxa"/>
            <w:tcBorders>
              <w:top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Liczba badań</w:t>
            </w:r>
          </w:p>
        </w:tc>
        <w:tc>
          <w:tcPr>
            <w:tcW w:w="2268" w:type="dxa"/>
            <w:tcBorders>
              <w:top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Opis badań</w:t>
            </w:r>
          </w:p>
        </w:tc>
        <w:tc>
          <w:tcPr>
            <w:tcW w:w="1985" w:type="dxa"/>
            <w:tcBorders>
              <w:top w:val="single" w:sz="8" w:space="0" w:color="auto"/>
              <w:left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Ocena wyników badań</w:t>
            </w:r>
          </w:p>
        </w:tc>
      </w:tr>
      <w:tr w:rsidR="002D7D6F" w:rsidRPr="0066227B" w:rsidTr="002D7D6F">
        <w:trPr>
          <w:trHeight w:val="113"/>
          <w:jc w:val="center"/>
        </w:trPr>
        <w:tc>
          <w:tcPr>
            <w:tcW w:w="426" w:type="dxa"/>
            <w:tcBorders>
              <w:top w:val="double" w:sz="4" w:space="0" w:color="auto"/>
              <w:left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1</w:t>
            </w:r>
          </w:p>
        </w:tc>
        <w:tc>
          <w:tcPr>
            <w:tcW w:w="1984" w:type="dxa"/>
            <w:tcBorders>
              <w:top w:val="double" w:sz="4"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Sprawdzenie powierzchni</w:t>
            </w:r>
          </w:p>
        </w:tc>
        <w:tc>
          <w:tcPr>
            <w:tcW w:w="2268" w:type="dxa"/>
            <w:vMerge w:val="restart"/>
            <w:tcBorders>
              <w:top w:val="double" w:sz="4"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od 5 do 10 badań z wybranych losowo elementów w  każdej dostarczonej partii wyrobów liczącejdo1000elementów</w:t>
            </w:r>
          </w:p>
        </w:tc>
        <w:tc>
          <w:tcPr>
            <w:tcW w:w="2268" w:type="dxa"/>
            <w:tcBorders>
              <w:top w:val="double" w:sz="4"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Powierzchnię zbadać nieuzbrojonym okiem. Do ew. sprawdzenia głębokości wad użyć dostępnych narzędzi (np. liniałów z czujnikiem, suwmiarek</w:t>
            </w:r>
            <w:r w:rsidRPr="0066227B">
              <w:rPr>
                <w:w w:val="98"/>
                <w:sz w:val="16"/>
                <w:szCs w:val="16"/>
              </w:rPr>
              <w:t xml:space="preserve">, </w:t>
            </w:r>
            <w:r w:rsidRPr="0066227B">
              <w:rPr>
                <w:sz w:val="16"/>
                <w:szCs w:val="16"/>
              </w:rPr>
              <w:t>mikrometrów itp.</w:t>
            </w:r>
          </w:p>
        </w:tc>
        <w:tc>
          <w:tcPr>
            <w:tcW w:w="1985" w:type="dxa"/>
            <w:vMerge w:val="restart"/>
            <w:tcBorders>
              <w:top w:val="double" w:sz="4" w:space="0" w:color="auto"/>
              <w:left w:val="single" w:sz="8" w:space="0" w:color="auto"/>
              <w:right w:val="single" w:sz="8" w:space="0" w:color="auto"/>
            </w:tcBorders>
            <w:shd w:val="clear" w:color="auto" w:fill="auto"/>
            <w:vAlign w:val="center"/>
          </w:tcPr>
          <w:p w:rsidR="002D7D6F" w:rsidRPr="0066227B" w:rsidRDefault="002D7D6F" w:rsidP="002D7D6F">
            <w:pPr>
              <w:spacing w:line="360" w:lineRule="auto"/>
              <w:ind w:left="73" w:right="69"/>
              <w:jc w:val="center"/>
              <w:rPr>
                <w:sz w:val="16"/>
                <w:szCs w:val="16"/>
              </w:rPr>
            </w:pPr>
            <w:r w:rsidRPr="0066227B">
              <w:rPr>
                <w:sz w:val="16"/>
                <w:szCs w:val="16"/>
              </w:rPr>
              <w:t>Wyniki badań powinny być zgodne z wymaganiami punktu 2</w:t>
            </w:r>
          </w:p>
        </w:tc>
      </w:tr>
      <w:tr w:rsidR="002D7D6F" w:rsidRPr="0066227B" w:rsidTr="002D7D6F">
        <w:trPr>
          <w:trHeight w:val="113"/>
          <w:jc w:val="center"/>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2</w:t>
            </w:r>
          </w:p>
        </w:tc>
        <w:tc>
          <w:tcPr>
            <w:tcW w:w="1984" w:type="dxa"/>
            <w:tcBorders>
              <w:top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Sprawdzenie</w:t>
            </w:r>
          </w:p>
          <w:p w:rsidR="002D7D6F" w:rsidRPr="0066227B" w:rsidRDefault="002D7D6F" w:rsidP="002D7D6F">
            <w:pPr>
              <w:spacing w:line="360" w:lineRule="auto"/>
              <w:jc w:val="center"/>
              <w:rPr>
                <w:sz w:val="16"/>
                <w:szCs w:val="16"/>
              </w:rPr>
            </w:pPr>
            <w:r w:rsidRPr="0066227B">
              <w:rPr>
                <w:sz w:val="16"/>
                <w:szCs w:val="16"/>
              </w:rPr>
              <w:t>wymiarów</w:t>
            </w:r>
          </w:p>
        </w:tc>
        <w:tc>
          <w:tcPr>
            <w:tcW w:w="2268" w:type="dxa"/>
            <w:vMerge/>
            <w:tcBorders>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Przeprowadzić uniwersalnymi przyrządami</w:t>
            </w:r>
          </w:p>
          <w:p w:rsidR="002D7D6F" w:rsidRPr="0066227B" w:rsidRDefault="002D7D6F" w:rsidP="002D7D6F">
            <w:pPr>
              <w:spacing w:line="360" w:lineRule="auto"/>
              <w:jc w:val="center"/>
              <w:rPr>
                <w:sz w:val="16"/>
                <w:szCs w:val="16"/>
              </w:rPr>
            </w:pPr>
            <w:r w:rsidRPr="0066227B">
              <w:rPr>
                <w:sz w:val="16"/>
                <w:szCs w:val="16"/>
              </w:rPr>
              <w:t>Pomiarowymi lub sprawdzianami (np. liniałami, przymiarami itp.)</w:t>
            </w:r>
          </w:p>
        </w:tc>
        <w:tc>
          <w:tcPr>
            <w:tcW w:w="1985" w:type="dxa"/>
            <w:vMerge/>
            <w:tcBorders>
              <w:left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p>
        </w:tc>
      </w:tr>
    </w:tbl>
    <w:p w:rsidR="002D7D6F" w:rsidRPr="00796D83" w:rsidRDefault="002D7D6F" w:rsidP="00677B8E">
      <w:pPr>
        <w:pStyle w:val="tekst"/>
        <w:rPr>
          <w:szCs w:val="20"/>
        </w:rPr>
      </w:pPr>
      <w:r w:rsidRPr="00677B8E">
        <w:tab/>
        <w:t>W przypadkach budzących wątpliwości można zlecić uprawnionej jednostce zbadanie właściwości</w:t>
      </w:r>
      <w:r w:rsidRPr="00796D83">
        <w:rPr>
          <w:szCs w:val="20"/>
        </w:rPr>
        <w:t xml:space="preserve"> dostarczonych wyrobów i materiałów w zakresie wymagań podanych w punkcie 2.</w:t>
      </w:r>
    </w:p>
    <w:p w:rsidR="002D7D6F" w:rsidRPr="00796D83" w:rsidRDefault="002D7D6F" w:rsidP="002D7D6F">
      <w:pPr>
        <w:pStyle w:val="Nagwek3"/>
      </w:pPr>
      <w:r w:rsidRPr="00796D83">
        <w:t>Kontrola w czasie wykonywania robót</w:t>
      </w:r>
    </w:p>
    <w:p w:rsidR="002D7D6F" w:rsidRPr="00796D83" w:rsidRDefault="002D7D6F" w:rsidP="0066227B">
      <w:pPr>
        <w:pStyle w:val="tekst"/>
        <w:spacing w:after="0"/>
      </w:pPr>
      <w:r>
        <w:tab/>
      </w:r>
      <w:r w:rsidRPr="00796D83">
        <w:t>W czasie wykonywania robót należy sprawdzać:</w:t>
      </w:r>
    </w:p>
    <w:p w:rsidR="002D7D6F" w:rsidRPr="00CD09E5" w:rsidRDefault="002D7D6F" w:rsidP="0066227B">
      <w:pPr>
        <w:pStyle w:val="tekst"/>
        <w:numPr>
          <w:ilvl w:val="0"/>
          <w:numId w:val="22"/>
        </w:numPr>
        <w:spacing w:after="0"/>
      </w:pPr>
      <w:r w:rsidRPr="00CD09E5">
        <w:t xml:space="preserve">zgodność wykonania znaków pionowych z </w:t>
      </w:r>
      <w:r>
        <w:t>D</w:t>
      </w:r>
      <w:r w:rsidRPr="00CD09E5">
        <w:t xml:space="preserve">okumentacją </w:t>
      </w:r>
      <w:r>
        <w:t>P</w:t>
      </w:r>
      <w:r w:rsidRPr="00CD09E5">
        <w:t>rojektową (lokalizacja, wymiary znaków, wysokość zamocowania znaków),</w:t>
      </w:r>
    </w:p>
    <w:p w:rsidR="002D7D6F" w:rsidRPr="00CD09E5" w:rsidRDefault="002D7D6F" w:rsidP="0066227B">
      <w:pPr>
        <w:pStyle w:val="tekst"/>
        <w:numPr>
          <w:ilvl w:val="0"/>
          <w:numId w:val="22"/>
        </w:numPr>
        <w:spacing w:after="0"/>
      </w:pPr>
      <w:r w:rsidRPr="00CD09E5">
        <w:t>zachowanie dopuszczalnych odchyłek wymiarów, zgodnie z p</w:t>
      </w:r>
      <w:r>
        <w:t>kt.</w:t>
      </w:r>
      <w:r w:rsidRPr="00CD09E5">
        <w:t xml:space="preserve"> 2 i 5,</w:t>
      </w:r>
    </w:p>
    <w:p w:rsidR="002D7D6F" w:rsidRPr="00CD09E5" w:rsidRDefault="002D7D6F" w:rsidP="0066227B">
      <w:pPr>
        <w:pStyle w:val="tekst"/>
        <w:numPr>
          <w:ilvl w:val="0"/>
          <w:numId w:val="22"/>
        </w:numPr>
        <w:spacing w:after="0"/>
      </w:pPr>
      <w:r w:rsidRPr="00CD09E5">
        <w:t>prawidłowość wykonania wykopów pod konstrukcje wsporcze, zgodnie z p</w:t>
      </w:r>
      <w:r>
        <w:t>kt.</w:t>
      </w:r>
      <w:r w:rsidRPr="00CD09E5">
        <w:t xml:space="preserve"> 5.3, poprawność wykonania fundamentów pod słupki zgodnie z p</w:t>
      </w:r>
      <w:r>
        <w:t>kt.</w:t>
      </w:r>
      <w:r w:rsidRPr="00CD09E5">
        <w:t xml:space="preserve"> 5.3,</w:t>
      </w:r>
    </w:p>
    <w:p w:rsidR="002D7D6F" w:rsidRPr="00CD09E5" w:rsidRDefault="002D7D6F" w:rsidP="0066227B">
      <w:pPr>
        <w:pStyle w:val="tekst"/>
        <w:numPr>
          <w:ilvl w:val="0"/>
          <w:numId w:val="22"/>
        </w:numPr>
        <w:spacing w:after="0"/>
      </w:pPr>
      <w:r w:rsidRPr="00CD09E5">
        <w:t>poprawność ustawienia słupków i konstrukcji wsporczych, zgodnie z p</w:t>
      </w:r>
      <w:r>
        <w:t>kt.</w:t>
      </w:r>
      <w:r w:rsidRPr="00CD09E5">
        <w:t xml:space="preserve"> 5.4 i 5.5,</w:t>
      </w:r>
    </w:p>
    <w:p w:rsidR="002D7D6F" w:rsidRDefault="002D7D6F" w:rsidP="005C4FF4">
      <w:pPr>
        <w:pStyle w:val="tekst"/>
        <w:numPr>
          <w:ilvl w:val="0"/>
          <w:numId w:val="22"/>
        </w:numPr>
      </w:pPr>
      <w:bookmarkStart w:id="6" w:name="page92"/>
      <w:bookmarkEnd w:id="6"/>
      <w:r w:rsidRPr="00CD09E5">
        <w:t>zgodność rodzaju i grubości blachy ze specyfikacją.</w:t>
      </w:r>
    </w:p>
    <w:p w:rsidR="002D7D6F" w:rsidRDefault="002D7D6F" w:rsidP="00133390">
      <w:pPr>
        <w:pStyle w:val="Nagwek1"/>
      </w:pPr>
      <w:r w:rsidRPr="00796D83">
        <w:t>OBMIAR ROBÓT</w:t>
      </w:r>
    </w:p>
    <w:p w:rsidR="002D7D6F" w:rsidRPr="00796D83" w:rsidRDefault="002D7D6F" w:rsidP="00133390">
      <w:pPr>
        <w:pStyle w:val="Nagwek2"/>
      </w:pPr>
      <w:r w:rsidRPr="00796D83">
        <w:t>Ogólne zasady obmiaru robót</w:t>
      </w:r>
    </w:p>
    <w:p w:rsidR="002D7D6F" w:rsidRPr="00796D83" w:rsidRDefault="002D7D6F" w:rsidP="00677B8E">
      <w:pPr>
        <w:pStyle w:val="tekst"/>
      </w:pPr>
      <w:r>
        <w:tab/>
      </w:r>
      <w:r w:rsidRPr="00796D83">
        <w:t>Ogólne zasady obmiaru robót podano w ST D-</w:t>
      </w:r>
      <w:r>
        <w:t>M-</w:t>
      </w:r>
      <w:r w:rsidRPr="00796D83">
        <w:t>00.00.00 „Wymagania ogólne” pkt</w:t>
      </w:r>
      <w:r>
        <w:t>.</w:t>
      </w:r>
      <w:r w:rsidRPr="00796D83">
        <w:t xml:space="preserve"> 7.</w:t>
      </w:r>
    </w:p>
    <w:p w:rsidR="002D7D6F" w:rsidRPr="00796D83" w:rsidRDefault="002D7D6F" w:rsidP="00133390">
      <w:pPr>
        <w:pStyle w:val="Nagwek2"/>
      </w:pPr>
      <w:r w:rsidRPr="00796D83">
        <w:t>Jednostka obmiarowa</w:t>
      </w:r>
    </w:p>
    <w:p w:rsidR="002D7D6F" w:rsidRPr="00796D83" w:rsidRDefault="002D7D6F" w:rsidP="0066227B">
      <w:pPr>
        <w:pStyle w:val="tekst"/>
        <w:spacing w:after="0"/>
      </w:pPr>
      <w:r>
        <w:tab/>
      </w:r>
      <w:r w:rsidRPr="00796D83">
        <w:t>Jednostkami obmiarowymi są:</w:t>
      </w:r>
    </w:p>
    <w:p w:rsidR="002D7D6F" w:rsidRPr="00CD09E5" w:rsidRDefault="002D7D6F" w:rsidP="0066227B">
      <w:pPr>
        <w:pStyle w:val="tekst"/>
        <w:numPr>
          <w:ilvl w:val="0"/>
          <w:numId w:val="23"/>
        </w:numPr>
        <w:spacing w:after="0"/>
        <w:ind w:left="714" w:hanging="357"/>
      </w:pPr>
      <w:r w:rsidRPr="00CD09E5">
        <w:t>szt. (sztuka), dla znaków drogowych konwencjonalnych oraz konstrukcji wsporczych,</w:t>
      </w:r>
    </w:p>
    <w:p w:rsidR="002D7D6F" w:rsidRDefault="002D7D6F" w:rsidP="005C4FF4">
      <w:pPr>
        <w:pStyle w:val="tekst"/>
        <w:numPr>
          <w:ilvl w:val="0"/>
          <w:numId w:val="23"/>
        </w:numPr>
        <w:spacing w:after="0"/>
        <w:ind w:left="714" w:hanging="357"/>
      </w:pPr>
      <w:r w:rsidRPr="00CD09E5">
        <w:t>m</w:t>
      </w:r>
      <w:r w:rsidRPr="00CD09E5">
        <w:rPr>
          <w:vertAlign w:val="superscript"/>
        </w:rPr>
        <w:t>2</w:t>
      </w:r>
      <w:r w:rsidRPr="00CD09E5">
        <w:t xml:space="preserve"> (metr kwadratowy) powierzchni tablic dla znaków pozostałych.</w:t>
      </w:r>
    </w:p>
    <w:p w:rsidR="002D7D6F" w:rsidRDefault="002D7D6F" w:rsidP="00133390">
      <w:pPr>
        <w:pStyle w:val="Nagwek1"/>
      </w:pPr>
      <w:r w:rsidRPr="00796D83">
        <w:lastRenderedPageBreak/>
        <w:t>ODBIÓR ROBÓT</w:t>
      </w:r>
    </w:p>
    <w:p w:rsidR="002D7D6F" w:rsidRPr="00796D83" w:rsidRDefault="002D7D6F" w:rsidP="00133390">
      <w:pPr>
        <w:pStyle w:val="Nagwek2"/>
      </w:pPr>
      <w:r w:rsidRPr="00796D83">
        <w:t>Ogólne zasady odbioru robót</w:t>
      </w:r>
    </w:p>
    <w:p w:rsidR="002D7D6F" w:rsidRPr="00796D83" w:rsidRDefault="002D7D6F" w:rsidP="00677B8E">
      <w:pPr>
        <w:pStyle w:val="tekst"/>
      </w:pPr>
      <w:r>
        <w:tab/>
      </w:r>
      <w:r w:rsidRPr="00796D83">
        <w:t xml:space="preserve">Ogólne zasady odbioru robót podano w ST </w:t>
      </w:r>
      <w:r w:rsidRPr="002E54EA">
        <w:rPr>
          <w:lang w:eastAsia="pl-PL"/>
        </w:rPr>
        <w:t>D-M-00.00.00</w:t>
      </w:r>
      <w:r w:rsidRPr="00796D83">
        <w:t>„Wymagania ogólne” pkt</w:t>
      </w:r>
      <w:r>
        <w:t>.</w:t>
      </w:r>
      <w:r w:rsidRPr="00796D83">
        <w:t xml:space="preserve"> 8.</w:t>
      </w:r>
    </w:p>
    <w:p w:rsidR="002D7D6F" w:rsidRPr="00796D83" w:rsidRDefault="002D7D6F" w:rsidP="00677B8E">
      <w:pPr>
        <w:pStyle w:val="tekst"/>
      </w:pPr>
      <w:r>
        <w:tab/>
      </w:r>
      <w:r w:rsidRPr="00796D83">
        <w:t xml:space="preserve">Roboty uznaje się za wykonane zgodnie z </w:t>
      </w:r>
      <w:r>
        <w:t>D</w:t>
      </w:r>
      <w:r w:rsidRPr="00796D83">
        <w:t xml:space="preserve">okumentacją </w:t>
      </w:r>
      <w:r>
        <w:t>P</w:t>
      </w:r>
      <w:r w:rsidRPr="00796D83">
        <w:t xml:space="preserve">rojektową, SST i wymaganiami Inżyniera, jeżeli wszystkie pomiary i badania z zachowaniem tolerancji wg </w:t>
      </w:r>
      <w:proofErr w:type="spellStart"/>
      <w:r w:rsidRPr="00796D83">
        <w:t>pkt</w:t>
      </w:r>
      <w:proofErr w:type="spellEnd"/>
      <w:r w:rsidRPr="00796D83">
        <w:t xml:space="preserve"> 6, dały wyniki pozytywne.</w:t>
      </w:r>
    </w:p>
    <w:p w:rsidR="002D7D6F" w:rsidRPr="00796D83" w:rsidRDefault="002D7D6F" w:rsidP="00133390">
      <w:pPr>
        <w:pStyle w:val="Nagwek2"/>
      </w:pPr>
      <w:r w:rsidRPr="00796D83">
        <w:t>Odbiór ostateczny</w:t>
      </w:r>
    </w:p>
    <w:p w:rsidR="002D7D6F" w:rsidRPr="00796D83" w:rsidRDefault="002D7D6F" w:rsidP="00677B8E">
      <w:pPr>
        <w:pStyle w:val="tekst"/>
      </w:pPr>
      <w:r>
        <w:tab/>
      </w:r>
      <w:r w:rsidRPr="00796D83">
        <w:t>Odbiór robót oznakowania pionowego dokonywany jest na zasadzie odbioru ostatecznego.</w:t>
      </w:r>
    </w:p>
    <w:p w:rsidR="002D7D6F" w:rsidRPr="00796D83" w:rsidRDefault="002D7D6F" w:rsidP="00677B8E">
      <w:pPr>
        <w:pStyle w:val="tekst"/>
      </w:pPr>
      <w:r>
        <w:tab/>
      </w:r>
      <w:r w:rsidRPr="00796D83">
        <w:t>Odbiór ostateczny powinien być dokonany po całkowitym zakończeniu robót, na podstawie wyników pomiarów i badań jakościowych określonych w p</w:t>
      </w:r>
      <w:r>
        <w:t>kt.</w:t>
      </w:r>
      <w:r w:rsidRPr="00796D83">
        <w:t xml:space="preserve"> 2 i 5.</w:t>
      </w:r>
    </w:p>
    <w:p w:rsidR="002D7D6F" w:rsidRPr="00796D83" w:rsidRDefault="002D7D6F" w:rsidP="00133390">
      <w:pPr>
        <w:pStyle w:val="Nagwek2"/>
      </w:pPr>
      <w:r w:rsidRPr="00796D83">
        <w:t>Odbiór pogwarancyjny</w:t>
      </w:r>
    </w:p>
    <w:p w:rsidR="002D7D6F" w:rsidRPr="00796D83" w:rsidRDefault="002D7D6F" w:rsidP="00677B8E">
      <w:pPr>
        <w:pStyle w:val="tekst"/>
      </w:pPr>
      <w:r>
        <w:tab/>
      </w:r>
      <w:r w:rsidRPr="00796D83">
        <w:t>Przed upływem okresu gwarancyjnego należy wykonać przegląd znaków i wybraną grupę poddać badaniom fotometrycznym lica. Pozytywne wyniki przeglądu i badań mogą być podstawą odbioru pogwarancyjnego.</w:t>
      </w:r>
    </w:p>
    <w:p w:rsidR="002D7D6F" w:rsidRDefault="002D7D6F" w:rsidP="00677B8E">
      <w:pPr>
        <w:pStyle w:val="tekst"/>
      </w:pPr>
      <w:r>
        <w:tab/>
      </w:r>
      <w:r w:rsidRPr="00796D83">
        <w:t>Odbiór pogwarancyjny należy przeprowadzić w ciągu 1 miesiąca po upływie okresu gwarancyjnego, ustalonego w SST.</w:t>
      </w:r>
    </w:p>
    <w:p w:rsidR="002D7D6F" w:rsidRDefault="002D7D6F" w:rsidP="00133390">
      <w:pPr>
        <w:pStyle w:val="Nagwek1"/>
      </w:pPr>
      <w:r w:rsidRPr="00796D83">
        <w:t>PODSTAWA PŁATNOŚCI</w:t>
      </w:r>
    </w:p>
    <w:p w:rsidR="002D7D6F" w:rsidRPr="00796D83" w:rsidRDefault="002D7D6F" w:rsidP="00133390">
      <w:pPr>
        <w:pStyle w:val="Nagwek2"/>
      </w:pPr>
      <w:r w:rsidRPr="00796D83">
        <w:t>Ogólne ustalenia dotyczące podstawy płatności</w:t>
      </w:r>
    </w:p>
    <w:p w:rsidR="002D7D6F" w:rsidRPr="00796D83" w:rsidRDefault="002D7D6F" w:rsidP="00677B8E">
      <w:pPr>
        <w:pStyle w:val="tekst"/>
      </w:pPr>
      <w:r>
        <w:tab/>
      </w:r>
      <w:r w:rsidRPr="00796D83">
        <w:t>Ogólne ustalenia dotyczą</w:t>
      </w:r>
      <w:r>
        <w:t xml:space="preserve">ce podstawy płatności podano w </w:t>
      </w:r>
      <w:r w:rsidRPr="00796D83">
        <w:t>ST D-</w:t>
      </w:r>
      <w:r>
        <w:t>M-</w:t>
      </w:r>
      <w:r w:rsidRPr="00796D83">
        <w:t>00.00.00 „Wymagania ogólne” pkt</w:t>
      </w:r>
      <w:r>
        <w:t>.</w:t>
      </w:r>
      <w:r w:rsidRPr="00796D83">
        <w:t xml:space="preserve"> 9.</w:t>
      </w:r>
    </w:p>
    <w:p w:rsidR="002D7D6F" w:rsidRPr="00796D83" w:rsidRDefault="002D7D6F" w:rsidP="00133390">
      <w:pPr>
        <w:pStyle w:val="Nagwek2"/>
      </w:pPr>
      <w:r w:rsidRPr="00796D83">
        <w:t>Cena jednostki obmiarowej</w:t>
      </w:r>
    </w:p>
    <w:p w:rsidR="002D7D6F" w:rsidRPr="00796D83" w:rsidRDefault="002D7D6F" w:rsidP="00677B8E">
      <w:pPr>
        <w:pStyle w:val="tekst"/>
      </w:pPr>
      <w:r>
        <w:tab/>
      </w:r>
      <w:r w:rsidRPr="00796D83">
        <w:t>Cena wykonania jednostki obmiarowej oznakowania pionowego obejmuje:</w:t>
      </w:r>
    </w:p>
    <w:p w:rsidR="002D7D6F" w:rsidRDefault="002D7D6F" w:rsidP="005C4FF4">
      <w:pPr>
        <w:pStyle w:val="tekst"/>
        <w:numPr>
          <w:ilvl w:val="0"/>
          <w:numId w:val="24"/>
        </w:numPr>
        <w:spacing w:after="0"/>
        <w:ind w:left="714" w:hanging="357"/>
      </w:pPr>
      <w:r w:rsidRPr="00CD09E5">
        <w:t>prace pom</w:t>
      </w:r>
      <w:r>
        <w:t>iarowe i roboty przygotowawcze,</w:t>
      </w:r>
    </w:p>
    <w:p w:rsidR="002D7D6F" w:rsidRPr="00CD09E5" w:rsidRDefault="002D7D6F" w:rsidP="005C4FF4">
      <w:pPr>
        <w:pStyle w:val="tekst"/>
        <w:numPr>
          <w:ilvl w:val="0"/>
          <w:numId w:val="24"/>
        </w:numPr>
        <w:spacing w:after="0"/>
        <w:ind w:left="714" w:hanging="357"/>
      </w:pPr>
      <w:r w:rsidRPr="00CD09E5">
        <w:t>wykonanie fundamentów,</w:t>
      </w:r>
    </w:p>
    <w:p w:rsidR="002D7D6F" w:rsidRDefault="002D7D6F" w:rsidP="005C4FF4">
      <w:pPr>
        <w:pStyle w:val="tekst"/>
        <w:numPr>
          <w:ilvl w:val="0"/>
          <w:numId w:val="24"/>
        </w:numPr>
        <w:spacing w:after="0"/>
        <w:ind w:left="714" w:hanging="357"/>
      </w:pPr>
      <w:r w:rsidRPr="00CD09E5">
        <w:t>dostarczenie i ustawienie konstrukcji wsporczych,</w:t>
      </w:r>
    </w:p>
    <w:p w:rsidR="002D7D6F" w:rsidRPr="00CD09E5" w:rsidRDefault="002D7D6F" w:rsidP="005C4FF4">
      <w:pPr>
        <w:pStyle w:val="tekst"/>
        <w:numPr>
          <w:ilvl w:val="0"/>
          <w:numId w:val="24"/>
        </w:numPr>
        <w:spacing w:after="0"/>
        <w:ind w:left="714" w:hanging="357"/>
      </w:pPr>
      <w:r w:rsidRPr="00CD09E5">
        <w:t>zamocowanie tarcz znaków drogowych,</w:t>
      </w:r>
    </w:p>
    <w:p w:rsidR="002D7D6F" w:rsidRDefault="002D7D6F" w:rsidP="005C4FF4">
      <w:pPr>
        <w:pStyle w:val="tekst"/>
        <w:numPr>
          <w:ilvl w:val="0"/>
          <w:numId w:val="24"/>
        </w:numPr>
        <w:spacing w:after="0"/>
        <w:ind w:left="714" w:hanging="357"/>
      </w:pPr>
      <w:r w:rsidRPr="00CD09E5">
        <w:t>przeprowadzenie pomiarów i badań wymaganych w SST.</w:t>
      </w:r>
    </w:p>
    <w:p w:rsidR="002D7D6F" w:rsidRDefault="002D7D6F" w:rsidP="00133390">
      <w:pPr>
        <w:pStyle w:val="Nagwek1"/>
      </w:pPr>
      <w:bookmarkStart w:id="7" w:name="page134"/>
      <w:bookmarkEnd w:id="7"/>
      <w:r>
        <w:t>PRZEPISY ZWIĄZANE</w:t>
      </w:r>
    </w:p>
    <w:p w:rsidR="002D7D6F" w:rsidRPr="00281400" w:rsidRDefault="002D7D6F" w:rsidP="00133390">
      <w:pPr>
        <w:pStyle w:val="Nagwek2"/>
      </w:pPr>
      <w:r>
        <w:t>Specyfikacje techniczne</w:t>
      </w:r>
    </w:p>
    <w:p w:rsidR="002D7D6F" w:rsidRDefault="002D7D6F" w:rsidP="00677B8E">
      <w:pPr>
        <w:pStyle w:val="tekst"/>
        <w:rPr>
          <w:lang w:eastAsia="pl-PL"/>
        </w:rPr>
      </w:pPr>
      <w:r w:rsidRPr="002E54EA">
        <w:rPr>
          <w:lang w:eastAsia="pl-PL"/>
        </w:rPr>
        <w:t>D-M-00.00.00</w:t>
      </w:r>
      <w:r w:rsidRPr="002E54EA">
        <w:rPr>
          <w:lang w:eastAsia="pl-PL"/>
        </w:rPr>
        <w:tab/>
        <w:t>Wymagania ogólne</w:t>
      </w:r>
    </w:p>
    <w:p w:rsidR="002D7D6F" w:rsidRDefault="002D7D6F" w:rsidP="00133390">
      <w:pPr>
        <w:pStyle w:val="Nagwek2"/>
      </w:pPr>
      <w:r>
        <w:t>Normy</w:t>
      </w:r>
    </w:p>
    <w:p w:rsidR="00677B8E" w:rsidRDefault="00677B8E" w:rsidP="00677B8E">
      <w:pPr>
        <w:pStyle w:val="tekst"/>
        <w:spacing w:after="0"/>
        <w:rPr>
          <w:lang w:eastAsia="pl-PL"/>
        </w:rPr>
      </w:pPr>
      <w:r>
        <w:rPr>
          <w:lang w:eastAsia="pl-PL"/>
        </w:rPr>
        <w:t>PN-76/C-81521</w:t>
      </w:r>
      <w:r>
        <w:rPr>
          <w:lang w:eastAsia="pl-PL"/>
        </w:rPr>
        <w:tab/>
      </w:r>
      <w:r>
        <w:rPr>
          <w:lang w:eastAsia="pl-PL"/>
        </w:rPr>
        <w:tab/>
        <w:t>Wyroby lakierowane - badanie odporności powłoki lakierowanej na działanie wody</w:t>
      </w:r>
    </w:p>
    <w:p w:rsidR="00677B8E" w:rsidRDefault="00677B8E" w:rsidP="00677B8E">
      <w:pPr>
        <w:pStyle w:val="tekst"/>
        <w:spacing w:after="0"/>
        <w:rPr>
          <w:lang w:eastAsia="pl-PL"/>
        </w:rPr>
      </w:pPr>
      <w:r>
        <w:rPr>
          <w:lang w:eastAsia="pl-PL"/>
        </w:rPr>
        <w:tab/>
      </w:r>
      <w:r>
        <w:rPr>
          <w:lang w:eastAsia="pl-PL"/>
        </w:rPr>
        <w:tab/>
      </w:r>
      <w:r>
        <w:rPr>
          <w:lang w:eastAsia="pl-PL"/>
        </w:rPr>
        <w:tab/>
      </w:r>
      <w:r>
        <w:rPr>
          <w:lang w:eastAsia="pl-PL"/>
        </w:rPr>
        <w:tab/>
        <w:t>oraz oznaczanie nasiąkliwości</w:t>
      </w:r>
    </w:p>
    <w:p w:rsidR="00677B8E" w:rsidRDefault="00677B8E" w:rsidP="00677B8E">
      <w:pPr>
        <w:pStyle w:val="tekst"/>
        <w:spacing w:after="0"/>
        <w:rPr>
          <w:lang w:eastAsia="pl-PL"/>
        </w:rPr>
      </w:pPr>
      <w:r>
        <w:rPr>
          <w:lang w:eastAsia="pl-PL"/>
        </w:rPr>
        <w:t>PN-98/H-74200</w:t>
      </w:r>
      <w:r>
        <w:rPr>
          <w:lang w:eastAsia="pl-PL"/>
        </w:rPr>
        <w:tab/>
      </w:r>
      <w:r>
        <w:rPr>
          <w:lang w:eastAsia="pl-PL"/>
        </w:rPr>
        <w:tab/>
        <w:t>Rury stalowe ze szwem, gwintowane</w:t>
      </w:r>
    </w:p>
    <w:p w:rsidR="00677B8E" w:rsidRDefault="00677B8E" w:rsidP="00677B8E">
      <w:pPr>
        <w:pStyle w:val="tekst"/>
        <w:spacing w:after="0"/>
        <w:rPr>
          <w:lang w:eastAsia="pl-PL"/>
        </w:rPr>
      </w:pPr>
      <w:r>
        <w:rPr>
          <w:lang w:eastAsia="pl-PL"/>
        </w:rPr>
        <w:t>PN-84/H-74220</w:t>
      </w:r>
      <w:r>
        <w:rPr>
          <w:lang w:eastAsia="pl-PL"/>
        </w:rPr>
        <w:tab/>
      </w:r>
      <w:r>
        <w:rPr>
          <w:lang w:eastAsia="pl-PL"/>
        </w:rPr>
        <w:tab/>
        <w:t>Rury stalowe bez szwu ciągnione i walcowane na zimno ogólnego zastosowania</w:t>
      </w:r>
    </w:p>
    <w:p w:rsidR="00677B8E" w:rsidRDefault="00677B8E" w:rsidP="00677B8E">
      <w:pPr>
        <w:pStyle w:val="tekst"/>
        <w:spacing w:after="0"/>
        <w:rPr>
          <w:lang w:eastAsia="pl-PL"/>
        </w:rPr>
      </w:pPr>
      <w:r>
        <w:rPr>
          <w:lang w:eastAsia="pl-PL"/>
        </w:rPr>
        <w:t>PN-88/C-81523</w:t>
      </w:r>
      <w:r>
        <w:rPr>
          <w:lang w:eastAsia="pl-PL"/>
        </w:rPr>
        <w:tab/>
      </w:r>
      <w:r>
        <w:rPr>
          <w:lang w:eastAsia="pl-PL"/>
        </w:rPr>
        <w:tab/>
        <w:t>Wyroby lakierowane - Oznaczanie odporności powłoki na działanie mgły solnej</w:t>
      </w:r>
    </w:p>
    <w:p w:rsidR="00677B8E" w:rsidRDefault="00677B8E" w:rsidP="00677B8E">
      <w:pPr>
        <w:pStyle w:val="tekst"/>
        <w:spacing w:after="0"/>
        <w:rPr>
          <w:lang w:eastAsia="pl-PL"/>
        </w:rPr>
      </w:pPr>
      <w:r>
        <w:rPr>
          <w:lang w:eastAsia="pl-PL"/>
        </w:rPr>
        <w:t>PN-89/H-84023-07</w:t>
      </w:r>
      <w:r>
        <w:rPr>
          <w:lang w:eastAsia="pl-PL"/>
        </w:rPr>
        <w:tab/>
        <w:t>Stal określonego zastosowania. Stal na rury. Gatunki</w:t>
      </w:r>
    </w:p>
    <w:p w:rsidR="00677B8E" w:rsidRDefault="00677B8E" w:rsidP="00677B8E">
      <w:pPr>
        <w:pStyle w:val="tekst"/>
        <w:spacing w:after="0"/>
        <w:rPr>
          <w:lang w:eastAsia="pl-PL"/>
        </w:rPr>
      </w:pPr>
      <w:r>
        <w:rPr>
          <w:lang w:eastAsia="pl-PL"/>
        </w:rPr>
        <w:t>PN-B-03215</w:t>
      </w:r>
      <w:r>
        <w:rPr>
          <w:lang w:eastAsia="pl-PL"/>
        </w:rPr>
        <w:tab/>
      </w:r>
      <w:r>
        <w:rPr>
          <w:lang w:eastAsia="pl-PL"/>
        </w:rPr>
        <w:tab/>
        <w:t>Konstrukcje stalowe - Połączenia z fundamentami - Projektowanie i wykonanie</w:t>
      </w:r>
    </w:p>
    <w:p w:rsidR="00677B8E" w:rsidRDefault="00677B8E" w:rsidP="00677B8E">
      <w:pPr>
        <w:pStyle w:val="tekst"/>
        <w:spacing w:after="0"/>
        <w:rPr>
          <w:lang w:eastAsia="pl-PL"/>
        </w:rPr>
      </w:pPr>
      <w:r>
        <w:rPr>
          <w:lang w:eastAsia="pl-PL"/>
        </w:rPr>
        <w:t>PN-B-03264</w:t>
      </w:r>
      <w:r>
        <w:rPr>
          <w:lang w:eastAsia="pl-PL"/>
        </w:rPr>
        <w:tab/>
      </w:r>
      <w:r>
        <w:rPr>
          <w:lang w:eastAsia="pl-PL"/>
        </w:rPr>
        <w:tab/>
        <w:t>Konstrukcje betonowe, żelbetowe i sprężone - Obliczenia statyczne i projektowanie</w:t>
      </w:r>
    </w:p>
    <w:p w:rsidR="00677B8E" w:rsidRDefault="00677B8E" w:rsidP="00677B8E">
      <w:pPr>
        <w:pStyle w:val="tekst"/>
        <w:spacing w:after="0"/>
        <w:rPr>
          <w:lang w:eastAsia="pl-PL"/>
        </w:rPr>
      </w:pPr>
      <w:r>
        <w:rPr>
          <w:lang w:eastAsia="pl-PL"/>
        </w:rPr>
        <w:t>PN-EN 40-5</w:t>
      </w:r>
      <w:r>
        <w:rPr>
          <w:lang w:eastAsia="pl-PL"/>
        </w:rPr>
        <w:tab/>
      </w:r>
      <w:r>
        <w:rPr>
          <w:lang w:eastAsia="pl-PL"/>
        </w:rPr>
        <w:tab/>
        <w:t>Słupy oświetleniowe. Część 5. Słupy oświetleniowe stalowe. Wymagania.</w:t>
      </w:r>
    </w:p>
    <w:p w:rsidR="00677B8E" w:rsidRDefault="00677B8E" w:rsidP="00677B8E">
      <w:pPr>
        <w:pStyle w:val="tekst"/>
        <w:spacing w:after="0"/>
        <w:rPr>
          <w:lang w:eastAsia="pl-PL"/>
        </w:rPr>
      </w:pPr>
      <w:r>
        <w:rPr>
          <w:lang w:eastAsia="pl-PL"/>
        </w:rPr>
        <w:t>PN-EN 206-1</w:t>
      </w:r>
      <w:r>
        <w:rPr>
          <w:lang w:eastAsia="pl-PL"/>
        </w:rPr>
        <w:tab/>
      </w:r>
      <w:r>
        <w:rPr>
          <w:lang w:eastAsia="pl-PL"/>
        </w:rPr>
        <w:tab/>
        <w:t>Beton Część 1: Wymagania, właściwości, produkcja i zgodność</w:t>
      </w:r>
    </w:p>
    <w:p w:rsidR="00677B8E" w:rsidRDefault="00677B8E" w:rsidP="00677B8E">
      <w:pPr>
        <w:pStyle w:val="tekst"/>
        <w:spacing w:after="0"/>
        <w:ind w:left="2124" w:hanging="2124"/>
        <w:rPr>
          <w:lang w:eastAsia="pl-PL"/>
        </w:rPr>
      </w:pPr>
      <w:r>
        <w:rPr>
          <w:lang w:eastAsia="pl-PL"/>
        </w:rPr>
        <w:t>PN-EN 485-4</w:t>
      </w:r>
      <w:r>
        <w:rPr>
          <w:lang w:eastAsia="pl-PL"/>
        </w:rPr>
        <w:tab/>
      </w:r>
      <w:r>
        <w:rPr>
          <w:lang w:eastAsia="pl-PL"/>
        </w:rPr>
        <w:tab/>
        <w:t>Aluminium i stopy aluminium - Blachy, taśmy i płyty - Tolerancje kształtu i wymiarów wyrobów walcowanych na zimno</w:t>
      </w:r>
    </w:p>
    <w:p w:rsidR="00677B8E" w:rsidRDefault="00677B8E" w:rsidP="00187E6C">
      <w:pPr>
        <w:pStyle w:val="tekst"/>
        <w:spacing w:after="0"/>
        <w:ind w:left="2124" w:hanging="2124"/>
        <w:rPr>
          <w:lang w:eastAsia="pl-PL"/>
        </w:rPr>
      </w:pPr>
      <w:r>
        <w:rPr>
          <w:lang w:eastAsia="pl-PL"/>
        </w:rPr>
        <w:t>PN-EN ISO 1461</w:t>
      </w:r>
      <w:r>
        <w:rPr>
          <w:lang w:eastAsia="pl-PL"/>
        </w:rPr>
        <w:tab/>
      </w:r>
      <w:r w:rsidR="00187E6C">
        <w:rPr>
          <w:lang w:eastAsia="pl-PL"/>
        </w:rPr>
        <w:tab/>
      </w:r>
      <w:r>
        <w:rPr>
          <w:lang w:eastAsia="pl-PL"/>
        </w:rPr>
        <w:t>Powłoki cynkowe nanoszone na stal metodą zanurzeniową (cynkowanie jednostkowe) – Wymaganie i badanie.</w:t>
      </w:r>
    </w:p>
    <w:p w:rsidR="00677B8E" w:rsidRDefault="00677B8E" w:rsidP="00187E6C">
      <w:pPr>
        <w:pStyle w:val="tekst"/>
        <w:spacing w:after="0"/>
        <w:ind w:left="2124" w:hanging="2124"/>
        <w:rPr>
          <w:lang w:eastAsia="pl-PL"/>
        </w:rPr>
      </w:pPr>
      <w:r>
        <w:rPr>
          <w:lang w:eastAsia="pl-PL"/>
        </w:rPr>
        <w:t>PN-EN 10240</w:t>
      </w:r>
      <w:r>
        <w:rPr>
          <w:lang w:eastAsia="pl-PL"/>
        </w:rPr>
        <w:tab/>
      </w:r>
      <w:r>
        <w:rPr>
          <w:lang w:eastAsia="pl-PL"/>
        </w:rPr>
        <w:tab/>
        <w:t>Wewnętrzne i/lub zewnętrzne powłoki ochronne rur stalowych. Wymagania dotyczące powłok wykonanych przez cynkowanie ogniowe w ocynkowniach zautomatyzowanych</w:t>
      </w:r>
    </w:p>
    <w:p w:rsidR="00677B8E" w:rsidRDefault="00677B8E" w:rsidP="00187E6C">
      <w:pPr>
        <w:pStyle w:val="tekst"/>
        <w:spacing w:after="0"/>
        <w:ind w:left="2124" w:hanging="2124"/>
        <w:rPr>
          <w:lang w:eastAsia="pl-PL"/>
        </w:rPr>
      </w:pPr>
      <w:r>
        <w:rPr>
          <w:lang w:eastAsia="pl-PL"/>
        </w:rPr>
        <w:t>PN-EN 10292/ A1:2004/A1:2005(U)</w:t>
      </w:r>
      <w:r>
        <w:rPr>
          <w:lang w:eastAsia="pl-PL"/>
        </w:rPr>
        <w:tab/>
        <w:t>Taśmy i blachy ze stali o podwyższonej granicy plastyczności powlekane ogniowo w sposób ciągły do obróbki plastycznej na zimno. Warunki techniczne dostawy</w:t>
      </w:r>
    </w:p>
    <w:p w:rsidR="00677B8E" w:rsidRDefault="00677B8E" w:rsidP="00187E6C">
      <w:pPr>
        <w:pStyle w:val="tekst"/>
        <w:spacing w:after="0"/>
        <w:ind w:left="2124" w:hanging="2121"/>
        <w:rPr>
          <w:lang w:eastAsia="pl-PL"/>
        </w:rPr>
      </w:pPr>
      <w:r>
        <w:rPr>
          <w:lang w:eastAsia="pl-PL"/>
        </w:rPr>
        <w:lastRenderedPageBreak/>
        <w:t>PN-EN 10327</w:t>
      </w:r>
      <w:r>
        <w:rPr>
          <w:lang w:eastAsia="pl-PL"/>
        </w:rPr>
        <w:tab/>
      </w:r>
      <w:r w:rsidR="00187E6C">
        <w:rPr>
          <w:lang w:eastAsia="pl-PL"/>
        </w:rPr>
        <w:tab/>
      </w:r>
      <w:r>
        <w:rPr>
          <w:lang w:eastAsia="pl-PL"/>
        </w:rPr>
        <w:t>Taśmy i blachy ze stali niskowęglowych powlekane ogniowo w sposób ciągły do obróbki plastycznej na zimno. Warunki techniczne dostawy</w:t>
      </w:r>
    </w:p>
    <w:p w:rsidR="00677B8E" w:rsidRDefault="00677B8E" w:rsidP="00187E6C">
      <w:pPr>
        <w:pStyle w:val="tekst"/>
        <w:spacing w:after="0"/>
        <w:ind w:left="2124" w:hanging="2124"/>
        <w:rPr>
          <w:lang w:eastAsia="pl-PL"/>
        </w:rPr>
      </w:pPr>
      <w:r>
        <w:rPr>
          <w:lang w:eastAsia="pl-PL"/>
        </w:rPr>
        <w:t>PN-EN 12767</w:t>
      </w:r>
      <w:r>
        <w:rPr>
          <w:lang w:eastAsia="pl-PL"/>
        </w:rPr>
        <w:tab/>
      </w:r>
      <w:r w:rsidR="00187E6C">
        <w:rPr>
          <w:lang w:eastAsia="pl-PL"/>
        </w:rPr>
        <w:tab/>
      </w:r>
      <w:r>
        <w:rPr>
          <w:lang w:eastAsia="pl-PL"/>
        </w:rPr>
        <w:t>Bierne bezpieczeństwo konstrukcji wsporczych dla urządzeń drogowych. Wymagania i metody badań</w:t>
      </w:r>
    </w:p>
    <w:p w:rsidR="00677B8E" w:rsidRDefault="00677B8E" w:rsidP="00677B8E">
      <w:pPr>
        <w:pStyle w:val="tekst"/>
        <w:spacing w:after="0"/>
        <w:rPr>
          <w:lang w:eastAsia="pl-PL"/>
        </w:rPr>
      </w:pPr>
      <w:r>
        <w:rPr>
          <w:lang w:eastAsia="pl-PL"/>
        </w:rPr>
        <w:t>PN-EN 12899-1</w:t>
      </w:r>
      <w:r>
        <w:rPr>
          <w:lang w:eastAsia="pl-PL"/>
        </w:rPr>
        <w:tab/>
      </w:r>
      <w:r w:rsidR="00187E6C">
        <w:rPr>
          <w:lang w:eastAsia="pl-PL"/>
        </w:rPr>
        <w:tab/>
      </w:r>
      <w:r>
        <w:rPr>
          <w:lang w:eastAsia="pl-PL"/>
        </w:rPr>
        <w:t>Stałe, pionowe znaki drogowe - Część 1: Znaki stałe</w:t>
      </w:r>
    </w:p>
    <w:p w:rsidR="00677B8E" w:rsidRDefault="00677B8E" w:rsidP="00677B8E">
      <w:pPr>
        <w:pStyle w:val="tekst"/>
        <w:spacing w:after="0"/>
        <w:rPr>
          <w:lang w:eastAsia="pl-PL"/>
        </w:rPr>
      </w:pPr>
      <w:r>
        <w:rPr>
          <w:lang w:eastAsia="pl-PL"/>
        </w:rPr>
        <w:t>PN-EN 12899-5</w:t>
      </w:r>
      <w:r>
        <w:rPr>
          <w:lang w:eastAsia="pl-PL"/>
        </w:rPr>
        <w:tab/>
      </w:r>
      <w:r w:rsidR="00187E6C">
        <w:rPr>
          <w:lang w:eastAsia="pl-PL"/>
        </w:rPr>
        <w:tab/>
      </w:r>
      <w:r>
        <w:rPr>
          <w:lang w:eastAsia="pl-PL"/>
        </w:rPr>
        <w:t>Stałe, pionowe znaki drogowe - Część 5 Badanie wstępne typu</w:t>
      </w:r>
    </w:p>
    <w:p w:rsidR="00677B8E" w:rsidRDefault="00677B8E" w:rsidP="00677B8E">
      <w:pPr>
        <w:pStyle w:val="tekst"/>
        <w:spacing w:after="0"/>
        <w:rPr>
          <w:lang w:eastAsia="pl-PL"/>
        </w:rPr>
      </w:pPr>
      <w:r>
        <w:rPr>
          <w:lang w:eastAsia="pl-PL"/>
        </w:rPr>
        <w:t>PN-EN 60529</w:t>
      </w:r>
      <w:r>
        <w:rPr>
          <w:lang w:eastAsia="pl-PL"/>
        </w:rPr>
        <w:tab/>
      </w:r>
      <w:r w:rsidR="00187E6C">
        <w:rPr>
          <w:lang w:eastAsia="pl-PL"/>
        </w:rPr>
        <w:tab/>
      </w:r>
      <w:r>
        <w:rPr>
          <w:lang w:eastAsia="pl-PL"/>
        </w:rPr>
        <w:t>Stopnie ochrony zapewnianej przez obudowy (Kod IP)</w:t>
      </w:r>
    </w:p>
    <w:p w:rsidR="00677B8E" w:rsidRDefault="00677B8E" w:rsidP="00677B8E">
      <w:pPr>
        <w:pStyle w:val="tekst"/>
        <w:spacing w:after="0"/>
        <w:rPr>
          <w:lang w:eastAsia="pl-PL"/>
        </w:rPr>
      </w:pPr>
      <w:r>
        <w:rPr>
          <w:lang w:eastAsia="pl-PL"/>
        </w:rPr>
        <w:t>PN-EN 60598-1: 1990</w:t>
      </w:r>
      <w:r>
        <w:rPr>
          <w:lang w:eastAsia="pl-PL"/>
        </w:rPr>
        <w:tab/>
        <w:t>Oprawy oświetleniowe. Wymagania ogólne i badania</w:t>
      </w:r>
    </w:p>
    <w:p w:rsidR="00677B8E" w:rsidRDefault="00677B8E" w:rsidP="00677B8E">
      <w:pPr>
        <w:pStyle w:val="tekst"/>
        <w:spacing w:after="0"/>
        <w:rPr>
          <w:lang w:eastAsia="pl-PL"/>
        </w:rPr>
      </w:pPr>
      <w:r>
        <w:rPr>
          <w:lang w:eastAsia="pl-PL"/>
        </w:rPr>
        <w:t>PN-EN 60598-2</w:t>
      </w:r>
      <w:r>
        <w:rPr>
          <w:lang w:eastAsia="pl-PL"/>
        </w:rPr>
        <w:tab/>
      </w:r>
      <w:r w:rsidR="00187E6C">
        <w:rPr>
          <w:lang w:eastAsia="pl-PL"/>
        </w:rPr>
        <w:tab/>
      </w:r>
      <w:r>
        <w:rPr>
          <w:lang w:eastAsia="pl-PL"/>
        </w:rPr>
        <w:t>Oprawy oświetleniowe - Wymagania szczegółowe - Oprawy oświetleniowe drogowe</w:t>
      </w:r>
    </w:p>
    <w:p w:rsidR="00677B8E" w:rsidRDefault="00677B8E" w:rsidP="00677B8E">
      <w:pPr>
        <w:pStyle w:val="tekst"/>
        <w:spacing w:after="0"/>
        <w:rPr>
          <w:lang w:eastAsia="pl-PL"/>
        </w:rPr>
      </w:pPr>
      <w:r>
        <w:rPr>
          <w:lang w:eastAsia="pl-PL"/>
        </w:rPr>
        <w:t>PN-EN ISO 2808</w:t>
      </w:r>
      <w:r>
        <w:rPr>
          <w:lang w:eastAsia="pl-PL"/>
        </w:rPr>
        <w:tab/>
      </w:r>
      <w:r w:rsidR="00187E6C">
        <w:rPr>
          <w:lang w:eastAsia="pl-PL"/>
        </w:rPr>
        <w:tab/>
      </w:r>
      <w:r>
        <w:rPr>
          <w:lang w:eastAsia="pl-PL"/>
        </w:rPr>
        <w:t>Farby i lakiery – oznaczenie grubości powłoki</w:t>
      </w:r>
    </w:p>
    <w:p w:rsidR="00677B8E" w:rsidRDefault="00677B8E" w:rsidP="00677B8E">
      <w:pPr>
        <w:pStyle w:val="tekst"/>
        <w:spacing w:after="0"/>
        <w:rPr>
          <w:lang w:eastAsia="pl-PL"/>
        </w:rPr>
      </w:pPr>
      <w:r>
        <w:rPr>
          <w:lang w:eastAsia="pl-PL"/>
        </w:rPr>
        <w:t>PN-91/H-93010</w:t>
      </w:r>
      <w:r>
        <w:rPr>
          <w:lang w:eastAsia="pl-PL"/>
        </w:rPr>
        <w:tab/>
      </w:r>
      <w:r w:rsidR="00187E6C">
        <w:rPr>
          <w:lang w:eastAsia="pl-PL"/>
        </w:rPr>
        <w:tab/>
      </w:r>
      <w:r>
        <w:rPr>
          <w:lang w:eastAsia="pl-PL"/>
        </w:rPr>
        <w:t>Stal. Kształtowniki walcowane na gorąco</w:t>
      </w:r>
    </w:p>
    <w:p w:rsidR="00677B8E" w:rsidRDefault="00677B8E" w:rsidP="00677B8E">
      <w:pPr>
        <w:pStyle w:val="tekst"/>
        <w:spacing w:after="0"/>
        <w:rPr>
          <w:lang w:eastAsia="pl-PL"/>
        </w:rPr>
      </w:pPr>
      <w:r>
        <w:rPr>
          <w:lang w:eastAsia="pl-PL"/>
        </w:rPr>
        <w:t>PN-S-02205</w:t>
      </w:r>
      <w:r>
        <w:rPr>
          <w:lang w:eastAsia="pl-PL"/>
        </w:rPr>
        <w:tab/>
      </w:r>
      <w:r w:rsidR="00187E6C">
        <w:rPr>
          <w:lang w:eastAsia="pl-PL"/>
        </w:rPr>
        <w:tab/>
      </w:r>
      <w:r>
        <w:rPr>
          <w:lang w:eastAsia="pl-PL"/>
        </w:rPr>
        <w:t>Drogi samochodowe. Roboty ziemne. Wymagania i badania</w:t>
      </w:r>
    </w:p>
    <w:p w:rsidR="00677B8E" w:rsidRDefault="00677B8E" w:rsidP="00187E6C">
      <w:pPr>
        <w:pStyle w:val="tekst"/>
        <w:spacing w:after="0"/>
        <w:ind w:left="2124" w:hanging="2124"/>
        <w:rPr>
          <w:lang w:eastAsia="pl-PL"/>
        </w:rPr>
      </w:pPr>
      <w:r>
        <w:rPr>
          <w:lang w:eastAsia="pl-PL"/>
        </w:rPr>
        <w:t>PN-EN 197-1</w:t>
      </w:r>
      <w:r>
        <w:rPr>
          <w:lang w:eastAsia="pl-PL"/>
        </w:rPr>
        <w:tab/>
      </w:r>
      <w:r w:rsidR="00187E6C">
        <w:rPr>
          <w:lang w:eastAsia="pl-PL"/>
        </w:rPr>
        <w:tab/>
      </w:r>
      <w:r>
        <w:rPr>
          <w:lang w:eastAsia="pl-PL"/>
        </w:rPr>
        <w:t>Cement -- Część 1: Skład, wymagania i kryteria zgodności dotyczące cementów powszechnego użytku</w:t>
      </w:r>
    </w:p>
    <w:p w:rsidR="00677B8E" w:rsidRDefault="00677B8E" w:rsidP="00677B8E">
      <w:pPr>
        <w:pStyle w:val="tekst"/>
        <w:spacing w:after="0"/>
        <w:rPr>
          <w:lang w:eastAsia="pl-PL"/>
        </w:rPr>
      </w:pPr>
      <w:r>
        <w:rPr>
          <w:lang w:eastAsia="pl-PL"/>
        </w:rPr>
        <w:t>PN-EN 12620</w:t>
      </w:r>
      <w:r>
        <w:rPr>
          <w:lang w:eastAsia="pl-PL"/>
        </w:rPr>
        <w:tab/>
      </w:r>
      <w:r w:rsidR="00187E6C">
        <w:rPr>
          <w:lang w:eastAsia="pl-PL"/>
        </w:rPr>
        <w:tab/>
      </w:r>
      <w:r>
        <w:rPr>
          <w:lang w:eastAsia="pl-PL"/>
        </w:rPr>
        <w:t>Kruszywa do betonu</w:t>
      </w:r>
    </w:p>
    <w:p w:rsidR="00677B8E" w:rsidRDefault="00677B8E" w:rsidP="00677B8E">
      <w:pPr>
        <w:pStyle w:val="tekst"/>
        <w:spacing w:after="0"/>
        <w:rPr>
          <w:lang w:eastAsia="pl-PL"/>
        </w:rPr>
      </w:pPr>
      <w:r>
        <w:rPr>
          <w:lang w:eastAsia="pl-PL"/>
        </w:rPr>
        <w:t>PN-EN 1008</w:t>
      </w:r>
      <w:r>
        <w:rPr>
          <w:lang w:eastAsia="pl-PL"/>
        </w:rPr>
        <w:tab/>
      </w:r>
      <w:r w:rsidR="00187E6C">
        <w:rPr>
          <w:lang w:eastAsia="pl-PL"/>
        </w:rPr>
        <w:tab/>
      </w:r>
      <w:r>
        <w:rPr>
          <w:lang w:eastAsia="pl-PL"/>
        </w:rPr>
        <w:t xml:space="preserve">Woda </w:t>
      </w:r>
      <w:proofErr w:type="spellStart"/>
      <w:r>
        <w:rPr>
          <w:lang w:eastAsia="pl-PL"/>
        </w:rPr>
        <w:t>zarobowa</w:t>
      </w:r>
      <w:proofErr w:type="spellEnd"/>
      <w:r>
        <w:rPr>
          <w:lang w:eastAsia="pl-PL"/>
        </w:rPr>
        <w:t xml:space="preserve"> do betonu</w:t>
      </w:r>
    </w:p>
    <w:p w:rsidR="00677B8E" w:rsidRDefault="00677B8E" w:rsidP="00677B8E">
      <w:pPr>
        <w:pStyle w:val="tekst"/>
        <w:spacing w:after="0"/>
        <w:rPr>
          <w:lang w:eastAsia="pl-PL"/>
        </w:rPr>
      </w:pPr>
      <w:r>
        <w:rPr>
          <w:lang w:eastAsia="pl-PL"/>
        </w:rPr>
        <w:t>PN-B-23010</w:t>
      </w:r>
      <w:r>
        <w:rPr>
          <w:lang w:eastAsia="pl-PL"/>
        </w:rPr>
        <w:tab/>
      </w:r>
      <w:r w:rsidR="00187E6C">
        <w:rPr>
          <w:lang w:eastAsia="pl-PL"/>
        </w:rPr>
        <w:tab/>
      </w:r>
      <w:r>
        <w:rPr>
          <w:lang w:eastAsia="pl-PL"/>
        </w:rPr>
        <w:t>Domieszki do betonu -- Klasyfikacja i określenia</w:t>
      </w:r>
    </w:p>
    <w:p w:rsidR="00677B8E" w:rsidRDefault="00677B8E" w:rsidP="00677B8E">
      <w:pPr>
        <w:pStyle w:val="tekst"/>
        <w:spacing w:after="0"/>
        <w:rPr>
          <w:lang w:eastAsia="pl-PL"/>
        </w:rPr>
      </w:pPr>
      <w:r>
        <w:rPr>
          <w:lang w:eastAsia="pl-PL"/>
        </w:rPr>
        <w:t>PN-H-84018</w:t>
      </w:r>
      <w:r>
        <w:rPr>
          <w:lang w:eastAsia="pl-PL"/>
        </w:rPr>
        <w:tab/>
      </w:r>
      <w:r w:rsidR="00187E6C">
        <w:rPr>
          <w:lang w:eastAsia="pl-PL"/>
        </w:rPr>
        <w:tab/>
      </w:r>
      <w:r>
        <w:rPr>
          <w:lang w:eastAsia="pl-PL"/>
        </w:rPr>
        <w:t>Stal niskostopowa o podwyższonej wytrzymałości -- Gatunki</w:t>
      </w:r>
    </w:p>
    <w:p w:rsidR="00677B8E" w:rsidRDefault="00677B8E" w:rsidP="00677B8E">
      <w:pPr>
        <w:pStyle w:val="tekst"/>
        <w:spacing w:after="0"/>
        <w:rPr>
          <w:lang w:eastAsia="pl-PL"/>
        </w:rPr>
      </w:pPr>
      <w:r>
        <w:rPr>
          <w:lang w:eastAsia="pl-PL"/>
        </w:rPr>
        <w:t>PN-H-84019</w:t>
      </w:r>
      <w:r>
        <w:rPr>
          <w:lang w:eastAsia="pl-PL"/>
        </w:rPr>
        <w:tab/>
      </w:r>
      <w:r w:rsidR="00187E6C">
        <w:rPr>
          <w:lang w:eastAsia="pl-PL"/>
        </w:rPr>
        <w:tab/>
      </w:r>
      <w:r>
        <w:rPr>
          <w:lang w:eastAsia="pl-PL"/>
        </w:rPr>
        <w:t>Stal niestopowa do utwardzania powierzchniowego i ulepszania cieplnego -- Gatunki</w:t>
      </w:r>
    </w:p>
    <w:p w:rsidR="00677B8E" w:rsidRDefault="00677B8E" w:rsidP="00677B8E">
      <w:pPr>
        <w:pStyle w:val="tekst"/>
        <w:spacing w:after="0"/>
        <w:rPr>
          <w:lang w:eastAsia="pl-PL"/>
        </w:rPr>
      </w:pPr>
      <w:r>
        <w:rPr>
          <w:lang w:eastAsia="pl-PL"/>
        </w:rPr>
        <w:t>PN-H-84030-02</w:t>
      </w:r>
      <w:r>
        <w:rPr>
          <w:lang w:eastAsia="pl-PL"/>
        </w:rPr>
        <w:tab/>
      </w:r>
      <w:r w:rsidR="00187E6C">
        <w:rPr>
          <w:lang w:eastAsia="pl-PL"/>
        </w:rPr>
        <w:tab/>
      </w:r>
      <w:r>
        <w:rPr>
          <w:lang w:eastAsia="pl-PL"/>
        </w:rPr>
        <w:t>Stal stopowa konstrukcyjna -- Stal do nawęglania -- Gatunki</w:t>
      </w:r>
    </w:p>
    <w:p w:rsidR="00677B8E" w:rsidRDefault="00677B8E" w:rsidP="00677B8E">
      <w:pPr>
        <w:pStyle w:val="tekst"/>
        <w:spacing w:after="0"/>
        <w:rPr>
          <w:lang w:eastAsia="pl-PL"/>
        </w:rPr>
      </w:pPr>
      <w:r>
        <w:rPr>
          <w:lang w:eastAsia="pl-PL"/>
        </w:rPr>
        <w:t>PN-H-82200</w:t>
      </w:r>
      <w:r>
        <w:rPr>
          <w:lang w:eastAsia="pl-PL"/>
        </w:rPr>
        <w:tab/>
      </w:r>
      <w:r w:rsidR="00187E6C">
        <w:rPr>
          <w:lang w:eastAsia="pl-PL"/>
        </w:rPr>
        <w:tab/>
      </w:r>
      <w:r>
        <w:rPr>
          <w:lang w:eastAsia="pl-PL"/>
        </w:rPr>
        <w:t>Cynk</w:t>
      </w:r>
    </w:p>
    <w:p w:rsidR="00677B8E" w:rsidRDefault="00677B8E" w:rsidP="00187E6C">
      <w:pPr>
        <w:pStyle w:val="tekst"/>
        <w:spacing w:after="0"/>
        <w:ind w:left="2124" w:hanging="2124"/>
        <w:rPr>
          <w:lang w:eastAsia="pl-PL"/>
        </w:rPr>
      </w:pPr>
      <w:r>
        <w:rPr>
          <w:lang w:eastAsia="pl-PL"/>
        </w:rPr>
        <w:t>PN-EN 10025</w:t>
      </w:r>
      <w:r>
        <w:rPr>
          <w:lang w:eastAsia="pl-PL"/>
        </w:rPr>
        <w:tab/>
      </w:r>
      <w:r w:rsidR="00187E6C">
        <w:rPr>
          <w:lang w:eastAsia="pl-PL"/>
        </w:rPr>
        <w:tab/>
      </w:r>
      <w:r>
        <w:rPr>
          <w:lang w:eastAsia="pl-PL"/>
        </w:rPr>
        <w:t>Wyroby walcowane na gorąco z niestopowych stali konstrukcyjnych -- Warunki techniczne dostawy</w:t>
      </w:r>
    </w:p>
    <w:p w:rsidR="002D7D6F" w:rsidRDefault="002D7D6F" w:rsidP="00133390">
      <w:pPr>
        <w:pStyle w:val="Nagwek2"/>
      </w:pPr>
      <w:r>
        <w:t>Inne dokumenty</w:t>
      </w:r>
    </w:p>
    <w:p w:rsidR="00187E6C" w:rsidRDefault="00187E6C" w:rsidP="005C4FF4">
      <w:pPr>
        <w:pStyle w:val="tekst"/>
        <w:numPr>
          <w:ilvl w:val="0"/>
          <w:numId w:val="25"/>
        </w:numPr>
        <w:rPr>
          <w:lang w:eastAsia="pl-PL"/>
        </w:rPr>
      </w:pPr>
      <w:r>
        <w:rPr>
          <w:lang w:eastAsia="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187E6C" w:rsidRDefault="00187E6C" w:rsidP="005C4FF4">
      <w:pPr>
        <w:pStyle w:val="tekst"/>
        <w:numPr>
          <w:ilvl w:val="0"/>
          <w:numId w:val="25"/>
        </w:numPr>
        <w:rPr>
          <w:lang w:eastAsia="pl-PL"/>
        </w:rPr>
      </w:pPr>
      <w:r>
        <w:rPr>
          <w:lang w:eastAsia="pl-PL"/>
        </w:rPr>
        <w:t>Rozporządzenie Ministra Infrastruktury z dn. 11 sierpnia 2004 r. w sprawie sposobów deklarowania zgodności wyrobów budowlanych oraz sposobu znakowania ich znakiem budowlanym (Dz. U. nr 198, poz. 2041)</w:t>
      </w:r>
    </w:p>
    <w:p w:rsidR="00187E6C" w:rsidRDefault="00187E6C" w:rsidP="005C4FF4">
      <w:pPr>
        <w:pStyle w:val="tekst"/>
        <w:numPr>
          <w:ilvl w:val="0"/>
          <w:numId w:val="25"/>
        </w:numPr>
        <w:rPr>
          <w:lang w:eastAsia="pl-PL"/>
        </w:rPr>
      </w:pPr>
      <w:r>
        <w:rPr>
          <w:lang w:eastAsia="pl-PL"/>
        </w:rPr>
        <w:t>Rozporządzenie Ministra Infrastruktury z dn. 08 listopada 2004 r. w sprawie aprobat technicznych oraz jednostek organizacyjnych upoważnionych do ich wydawania (Dz. U. nr 249, poz. 2497)</w:t>
      </w:r>
    </w:p>
    <w:p w:rsidR="00187E6C" w:rsidRDefault="00187E6C" w:rsidP="005C4FF4">
      <w:pPr>
        <w:pStyle w:val="tekst"/>
        <w:numPr>
          <w:ilvl w:val="0"/>
          <w:numId w:val="25"/>
        </w:numPr>
        <w:rPr>
          <w:lang w:eastAsia="pl-PL"/>
        </w:rPr>
      </w:pPr>
      <w:r>
        <w:rPr>
          <w:lang w:eastAsia="pl-PL"/>
        </w:rPr>
        <w:t xml:space="preserve">CIE No. 39.2 1983 </w:t>
      </w:r>
      <w:proofErr w:type="spellStart"/>
      <w:r>
        <w:rPr>
          <w:lang w:eastAsia="pl-PL"/>
        </w:rPr>
        <w:t>Recommendations</w:t>
      </w:r>
      <w:proofErr w:type="spellEnd"/>
      <w:r>
        <w:rPr>
          <w:lang w:eastAsia="pl-PL"/>
        </w:rPr>
        <w:t xml:space="preserve"> for </w:t>
      </w:r>
      <w:proofErr w:type="spellStart"/>
      <w:r>
        <w:rPr>
          <w:lang w:eastAsia="pl-PL"/>
        </w:rPr>
        <w:t>surfacecolours</w:t>
      </w:r>
      <w:proofErr w:type="spellEnd"/>
      <w:r>
        <w:rPr>
          <w:lang w:eastAsia="pl-PL"/>
        </w:rPr>
        <w:t xml:space="preserve"> for </w:t>
      </w:r>
      <w:proofErr w:type="spellStart"/>
      <w:r>
        <w:rPr>
          <w:lang w:eastAsia="pl-PL"/>
        </w:rPr>
        <w:t>visualsignalling</w:t>
      </w:r>
      <w:proofErr w:type="spellEnd"/>
      <w:r>
        <w:rPr>
          <w:lang w:eastAsia="pl-PL"/>
        </w:rPr>
        <w:t xml:space="preserve"> (Zalecenia dla barw powierzchniowych sygnalizacji wizualnej)</w:t>
      </w:r>
    </w:p>
    <w:p w:rsidR="00187E6C" w:rsidRDefault="00187E6C" w:rsidP="005C4FF4">
      <w:pPr>
        <w:pStyle w:val="tekst"/>
        <w:numPr>
          <w:ilvl w:val="0"/>
          <w:numId w:val="25"/>
        </w:numPr>
        <w:rPr>
          <w:lang w:eastAsia="pl-PL"/>
        </w:rPr>
      </w:pPr>
      <w:r>
        <w:rPr>
          <w:lang w:eastAsia="pl-PL"/>
        </w:rPr>
        <w:t xml:space="preserve">CIE No. 54 </w:t>
      </w:r>
      <w:proofErr w:type="spellStart"/>
      <w:r>
        <w:rPr>
          <w:lang w:eastAsia="pl-PL"/>
        </w:rPr>
        <w:t>Retroreflectiondefinition</w:t>
      </w:r>
      <w:proofErr w:type="spellEnd"/>
      <w:r>
        <w:rPr>
          <w:lang w:eastAsia="pl-PL"/>
        </w:rPr>
        <w:t xml:space="preserve"> and </w:t>
      </w:r>
      <w:proofErr w:type="spellStart"/>
      <w:r>
        <w:rPr>
          <w:lang w:eastAsia="pl-PL"/>
        </w:rPr>
        <w:t>measurement</w:t>
      </w:r>
      <w:proofErr w:type="spellEnd"/>
      <w:r>
        <w:rPr>
          <w:lang w:eastAsia="pl-PL"/>
        </w:rPr>
        <w:t xml:space="preserve"> (Powierzchniowy współczynnik odblasku definicja i pomiary)</w:t>
      </w:r>
    </w:p>
    <w:p w:rsidR="00187E6C" w:rsidRDefault="00187E6C" w:rsidP="005C4FF4">
      <w:pPr>
        <w:pStyle w:val="tekst"/>
        <w:numPr>
          <w:ilvl w:val="0"/>
          <w:numId w:val="25"/>
        </w:numPr>
        <w:rPr>
          <w:lang w:eastAsia="pl-PL"/>
        </w:rPr>
      </w:pPr>
      <w:r>
        <w:rPr>
          <w:lang w:eastAsia="pl-PL"/>
        </w:rPr>
        <w:t>Ustawa z dnia 16 kwietnia 2004 r. o wyrobach budowlanych ( Dz. U. nr 92, poz. 881)</w:t>
      </w:r>
    </w:p>
    <w:p w:rsidR="00187E6C" w:rsidRDefault="00187E6C" w:rsidP="005C4FF4">
      <w:pPr>
        <w:pStyle w:val="tekst"/>
        <w:numPr>
          <w:ilvl w:val="0"/>
          <w:numId w:val="25"/>
        </w:numPr>
        <w:rPr>
          <w:lang w:eastAsia="pl-PL"/>
        </w:rPr>
      </w:pPr>
      <w:r>
        <w:rPr>
          <w:lang w:eastAsia="pl-PL"/>
        </w:rPr>
        <w:t xml:space="preserve">Stałe odblaskowe znaki drogowe i urządzenia bezpieczeństwa ruchu drogowego. Zalecenia </w:t>
      </w:r>
      <w:proofErr w:type="spellStart"/>
      <w:r>
        <w:rPr>
          <w:lang w:eastAsia="pl-PL"/>
        </w:rPr>
        <w:t>IBDiM</w:t>
      </w:r>
      <w:proofErr w:type="spellEnd"/>
      <w:r>
        <w:rPr>
          <w:lang w:eastAsia="pl-PL"/>
        </w:rPr>
        <w:t xml:space="preserve"> do udzielania aprobat technicznych nr Z/2005-03-009</w:t>
      </w:r>
    </w:p>
    <w:p w:rsidR="00187E6C" w:rsidRPr="00187E6C" w:rsidRDefault="00187E6C" w:rsidP="00187E6C">
      <w:pPr>
        <w:rPr>
          <w:lang w:eastAsia="pl-PL"/>
        </w:rPr>
      </w:pPr>
    </w:p>
    <w:p w:rsidR="002D7D6F" w:rsidRPr="00446F2B" w:rsidRDefault="002D7D6F" w:rsidP="002D7D6F">
      <w:pPr>
        <w:spacing w:line="360" w:lineRule="auto"/>
        <w:rPr>
          <w:sz w:val="2"/>
          <w:lang w:eastAsia="pl-PL"/>
        </w:rPr>
      </w:pPr>
    </w:p>
    <w:p w:rsidR="00C12335" w:rsidRPr="002D7D6F" w:rsidRDefault="00C12335" w:rsidP="002D7D6F"/>
    <w:sectPr w:rsidR="00C12335" w:rsidRPr="002D7D6F" w:rsidSect="00FF4DFD">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23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C57" w:rsidRDefault="00F04C57" w:rsidP="0034676B">
      <w:pPr>
        <w:spacing w:before="0" w:line="240" w:lineRule="auto"/>
      </w:pPr>
      <w:r>
        <w:separator/>
      </w:r>
    </w:p>
  </w:endnote>
  <w:endnote w:type="continuationSeparator" w:id="0">
    <w:p w:rsidR="00F04C57" w:rsidRDefault="00F04C57"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SymbolMT">
    <w:altName w:val="Times New Roman"/>
    <w:panose1 w:val="00000000000000000000"/>
    <w:charset w:val="00"/>
    <w:family w:val="roman"/>
    <w:notTrueType/>
    <w:pitch w:val="default"/>
    <w:sig w:usb0="00000000" w:usb1="00000000" w:usb2="00000000" w:usb3="00000000" w:csb0="00000000" w:csb1="00000000"/>
  </w:font>
  <w:font w:name="TTE1FCBCF0t00">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EA016E" w:rsidRDefault="00EA016E" w:rsidP="006A309C">
        <w:pPr>
          <w:pStyle w:val="Stopka"/>
          <w:jc w:val="right"/>
        </w:pPr>
        <w:r>
          <w:t>6</w:t>
        </w:r>
      </w:p>
    </w:sdtContent>
  </w:sdt>
  <w:p w:rsidR="00EA016E" w:rsidRDefault="00EA016E"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EA016E" w:rsidRPr="00755A40" w:rsidRDefault="0080194B"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EA016E"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FF4DFD">
          <w:rPr>
            <w:rFonts w:asciiTheme="minorHAnsi" w:hAnsiTheme="minorHAnsi" w:cstheme="minorHAnsi"/>
            <w:noProof/>
          </w:rPr>
          <w:t>246</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EA016E" w:rsidRPr="00755A40" w:rsidRDefault="0080194B">
        <w:pPr>
          <w:pStyle w:val="Stopka"/>
          <w:jc w:val="right"/>
          <w:rPr>
            <w:rFonts w:asciiTheme="minorHAnsi" w:hAnsiTheme="minorHAnsi" w:cstheme="minorHAnsi"/>
          </w:rPr>
        </w:pPr>
        <w:r w:rsidRPr="00755A40">
          <w:rPr>
            <w:rFonts w:asciiTheme="minorHAnsi" w:hAnsiTheme="minorHAnsi" w:cstheme="minorHAnsi"/>
          </w:rPr>
          <w:fldChar w:fldCharType="begin"/>
        </w:r>
        <w:r w:rsidR="00EA016E"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FF4DFD">
          <w:rPr>
            <w:rFonts w:asciiTheme="minorHAnsi" w:hAnsiTheme="minorHAnsi" w:cstheme="minorHAnsi"/>
            <w:noProof/>
          </w:rPr>
          <w:t>231</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C57" w:rsidRDefault="00F04C57" w:rsidP="0034676B">
      <w:pPr>
        <w:spacing w:before="0" w:line="240" w:lineRule="auto"/>
      </w:pPr>
      <w:r>
        <w:separator/>
      </w:r>
    </w:p>
  </w:footnote>
  <w:footnote w:type="continuationSeparator" w:id="0">
    <w:p w:rsidR="00F04C57" w:rsidRDefault="00F04C57"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16E" w:rsidRPr="0093623D" w:rsidRDefault="00EA016E"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EA016E" w:rsidRPr="0093623D" w:rsidRDefault="00EA016E"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EA016E" w:rsidRPr="00A75852" w:rsidRDefault="00EA016E"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EA016E" w:rsidRPr="00A75852" w:rsidRDefault="00EA016E"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16E" w:rsidRPr="00CA2936" w:rsidRDefault="00EA016E"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EA016E" w:rsidRPr="00CA2936" w:rsidRDefault="00EA016E"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EA016E" w:rsidRPr="00CA2936" w:rsidRDefault="00EA016E"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EA016E" w:rsidRPr="003D0B82" w:rsidRDefault="00EA016E"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C3D5B"/>
    <w:multiLevelType w:val="hybridMultilevel"/>
    <w:tmpl w:val="228488C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BDC3947"/>
    <w:multiLevelType w:val="hybridMultilevel"/>
    <w:tmpl w:val="24F8927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D17537"/>
    <w:multiLevelType w:val="hybridMultilevel"/>
    <w:tmpl w:val="18642EA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9F0BD8"/>
    <w:multiLevelType w:val="hybridMultilevel"/>
    <w:tmpl w:val="2E12F1F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9C1010"/>
    <w:multiLevelType w:val="hybridMultilevel"/>
    <w:tmpl w:val="DF7A100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70828D5"/>
    <w:multiLevelType w:val="multilevel"/>
    <w:tmpl w:val="F4D06982"/>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27C01D7C"/>
    <w:multiLevelType w:val="hybridMultilevel"/>
    <w:tmpl w:val="9CF637E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8ED49C1"/>
    <w:multiLevelType w:val="hybridMultilevel"/>
    <w:tmpl w:val="4492E03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AD73D7C"/>
    <w:multiLevelType w:val="hybridMultilevel"/>
    <w:tmpl w:val="DB303AD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DD0351"/>
    <w:multiLevelType w:val="hybridMultilevel"/>
    <w:tmpl w:val="C714EAE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165380D"/>
    <w:multiLevelType w:val="hybridMultilevel"/>
    <w:tmpl w:val="2D5812E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104ABD"/>
    <w:multiLevelType w:val="hybridMultilevel"/>
    <w:tmpl w:val="F574232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D3439BE"/>
    <w:multiLevelType w:val="hybridMultilevel"/>
    <w:tmpl w:val="F1D299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071F98"/>
    <w:multiLevelType w:val="hybridMultilevel"/>
    <w:tmpl w:val="AA0AE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1D973F8"/>
    <w:multiLevelType w:val="hybridMultilevel"/>
    <w:tmpl w:val="8CC83B3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2627D32"/>
    <w:multiLevelType w:val="hybridMultilevel"/>
    <w:tmpl w:val="86D2B46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B041811"/>
    <w:multiLevelType w:val="hybridMultilevel"/>
    <w:tmpl w:val="D5A6EC6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C023B1D"/>
    <w:multiLevelType w:val="hybridMultilevel"/>
    <w:tmpl w:val="3006A03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3C575C5"/>
    <w:multiLevelType w:val="hybridMultilevel"/>
    <w:tmpl w:val="8D206FB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51128DA"/>
    <w:multiLevelType w:val="hybridMultilevel"/>
    <w:tmpl w:val="6DC24100"/>
    <w:lvl w:ilvl="0" w:tplc="3278AB2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AC87FB1"/>
    <w:multiLevelType w:val="hybridMultilevel"/>
    <w:tmpl w:val="1212A08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20B7E9B"/>
    <w:multiLevelType w:val="hybridMultilevel"/>
    <w:tmpl w:val="841CD03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1E82BF2"/>
    <w:multiLevelType w:val="hybridMultilevel"/>
    <w:tmpl w:val="310A92D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4B756BE"/>
    <w:multiLevelType w:val="hybridMultilevel"/>
    <w:tmpl w:val="03F06A8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8"/>
  </w:num>
  <w:num w:numId="4">
    <w:abstractNumId w:val="14"/>
  </w:num>
  <w:num w:numId="5">
    <w:abstractNumId w:val="0"/>
  </w:num>
  <w:num w:numId="6">
    <w:abstractNumId w:val="10"/>
  </w:num>
  <w:num w:numId="7">
    <w:abstractNumId w:val="24"/>
  </w:num>
  <w:num w:numId="8">
    <w:abstractNumId w:val="19"/>
  </w:num>
  <w:num w:numId="9">
    <w:abstractNumId w:val="22"/>
  </w:num>
  <w:num w:numId="10">
    <w:abstractNumId w:val="1"/>
  </w:num>
  <w:num w:numId="11">
    <w:abstractNumId w:val="15"/>
  </w:num>
  <w:num w:numId="12">
    <w:abstractNumId w:val="8"/>
  </w:num>
  <w:num w:numId="13">
    <w:abstractNumId w:val="20"/>
  </w:num>
  <w:num w:numId="14">
    <w:abstractNumId w:val="5"/>
  </w:num>
  <w:num w:numId="15">
    <w:abstractNumId w:val="23"/>
  </w:num>
  <w:num w:numId="16">
    <w:abstractNumId w:val="21"/>
  </w:num>
  <w:num w:numId="17">
    <w:abstractNumId w:val="12"/>
  </w:num>
  <w:num w:numId="18">
    <w:abstractNumId w:val="9"/>
  </w:num>
  <w:num w:numId="19">
    <w:abstractNumId w:val="3"/>
  </w:num>
  <w:num w:numId="20">
    <w:abstractNumId w:val="11"/>
  </w:num>
  <w:num w:numId="21">
    <w:abstractNumId w:val="4"/>
  </w:num>
  <w:num w:numId="22">
    <w:abstractNumId w:val="16"/>
  </w:num>
  <w:num w:numId="23">
    <w:abstractNumId w:val="7"/>
  </w:num>
  <w:num w:numId="24">
    <w:abstractNumId w:val="17"/>
  </w:num>
  <w:num w:numId="25">
    <w:abstractNumId w:val="1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hyphenationZone w:val="425"/>
  <w:drawingGridHorizontalSpacing w:val="100"/>
  <w:displayHorizontalDrawingGridEvery w:val="2"/>
  <w:characterSpacingControl w:val="doNotCompress"/>
  <w:hdrShapeDefaults>
    <o:shapedefaults v:ext="edit" spidmax="77826"/>
  </w:hdrShapeDefaults>
  <w:footnotePr>
    <w:footnote w:id="-1"/>
    <w:footnote w:id="0"/>
  </w:footnotePr>
  <w:endnotePr>
    <w:endnote w:id="-1"/>
    <w:endnote w:id="0"/>
  </w:endnotePr>
  <w:compat/>
  <w:rsids>
    <w:rsidRoot w:val="002E5EFC"/>
    <w:rsid w:val="00007566"/>
    <w:rsid w:val="00013B96"/>
    <w:rsid w:val="00021046"/>
    <w:rsid w:val="00021716"/>
    <w:rsid w:val="00036B8F"/>
    <w:rsid w:val="00046344"/>
    <w:rsid w:val="00046D73"/>
    <w:rsid w:val="00061DCC"/>
    <w:rsid w:val="00063250"/>
    <w:rsid w:val="00063D49"/>
    <w:rsid w:val="0007381F"/>
    <w:rsid w:val="00083D58"/>
    <w:rsid w:val="000941FF"/>
    <w:rsid w:val="00094A75"/>
    <w:rsid w:val="00094CDE"/>
    <w:rsid w:val="000B2502"/>
    <w:rsid w:val="000B58D8"/>
    <w:rsid w:val="000C065C"/>
    <w:rsid w:val="000D02FE"/>
    <w:rsid w:val="000D15E2"/>
    <w:rsid w:val="000D586C"/>
    <w:rsid w:val="000E5604"/>
    <w:rsid w:val="000F0478"/>
    <w:rsid w:val="001111E2"/>
    <w:rsid w:val="0012552E"/>
    <w:rsid w:val="00127840"/>
    <w:rsid w:val="001316AF"/>
    <w:rsid w:val="00132B27"/>
    <w:rsid w:val="00133390"/>
    <w:rsid w:val="00143F2B"/>
    <w:rsid w:val="00145242"/>
    <w:rsid w:val="001645B6"/>
    <w:rsid w:val="001705B7"/>
    <w:rsid w:val="001836BD"/>
    <w:rsid w:val="00183C4A"/>
    <w:rsid w:val="00184DD6"/>
    <w:rsid w:val="00185C51"/>
    <w:rsid w:val="001864E9"/>
    <w:rsid w:val="00187E6C"/>
    <w:rsid w:val="0019073E"/>
    <w:rsid w:val="001A67F7"/>
    <w:rsid w:val="001B19D8"/>
    <w:rsid w:val="001B327E"/>
    <w:rsid w:val="001B5828"/>
    <w:rsid w:val="001B70E7"/>
    <w:rsid w:val="001C7D04"/>
    <w:rsid w:val="001D4540"/>
    <w:rsid w:val="001D4EEA"/>
    <w:rsid w:val="001E29D6"/>
    <w:rsid w:val="001E5F31"/>
    <w:rsid w:val="001F0D6C"/>
    <w:rsid w:val="00203DE1"/>
    <w:rsid w:val="00204F8C"/>
    <w:rsid w:val="002062D0"/>
    <w:rsid w:val="002069CA"/>
    <w:rsid w:val="0021131E"/>
    <w:rsid w:val="002148B2"/>
    <w:rsid w:val="00225C2A"/>
    <w:rsid w:val="0024551A"/>
    <w:rsid w:val="002526D7"/>
    <w:rsid w:val="002646F3"/>
    <w:rsid w:val="00274D63"/>
    <w:rsid w:val="00275744"/>
    <w:rsid w:val="00277BD0"/>
    <w:rsid w:val="00280879"/>
    <w:rsid w:val="002B092A"/>
    <w:rsid w:val="002B18BA"/>
    <w:rsid w:val="002B1AA9"/>
    <w:rsid w:val="002B2F40"/>
    <w:rsid w:val="002B751E"/>
    <w:rsid w:val="002D2E6E"/>
    <w:rsid w:val="002D6258"/>
    <w:rsid w:val="002D7D6F"/>
    <w:rsid w:val="002E5EFC"/>
    <w:rsid w:val="002E7FCC"/>
    <w:rsid w:val="003179F2"/>
    <w:rsid w:val="003245BB"/>
    <w:rsid w:val="00344778"/>
    <w:rsid w:val="00345129"/>
    <w:rsid w:val="0034676B"/>
    <w:rsid w:val="00356E9E"/>
    <w:rsid w:val="00357547"/>
    <w:rsid w:val="00357E31"/>
    <w:rsid w:val="003607A6"/>
    <w:rsid w:val="00362146"/>
    <w:rsid w:val="00364D25"/>
    <w:rsid w:val="00376C88"/>
    <w:rsid w:val="00382B03"/>
    <w:rsid w:val="00386559"/>
    <w:rsid w:val="003A262E"/>
    <w:rsid w:val="003A764C"/>
    <w:rsid w:val="003A7E2E"/>
    <w:rsid w:val="003B79B7"/>
    <w:rsid w:val="003C66D8"/>
    <w:rsid w:val="003D032D"/>
    <w:rsid w:val="003D0B82"/>
    <w:rsid w:val="003E3645"/>
    <w:rsid w:val="003E37B0"/>
    <w:rsid w:val="003E3C0D"/>
    <w:rsid w:val="003E4725"/>
    <w:rsid w:val="00406340"/>
    <w:rsid w:val="00420680"/>
    <w:rsid w:val="004362BC"/>
    <w:rsid w:val="00437271"/>
    <w:rsid w:val="00447062"/>
    <w:rsid w:val="00452D20"/>
    <w:rsid w:val="00464D5F"/>
    <w:rsid w:val="00465E6F"/>
    <w:rsid w:val="00472BDF"/>
    <w:rsid w:val="00472FDC"/>
    <w:rsid w:val="00477136"/>
    <w:rsid w:val="00491B6D"/>
    <w:rsid w:val="00494210"/>
    <w:rsid w:val="00495DF5"/>
    <w:rsid w:val="004B3DCD"/>
    <w:rsid w:val="004B5428"/>
    <w:rsid w:val="004C0CBA"/>
    <w:rsid w:val="004D0569"/>
    <w:rsid w:val="004E208C"/>
    <w:rsid w:val="004F2BEC"/>
    <w:rsid w:val="004F32EA"/>
    <w:rsid w:val="004F4867"/>
    <w:rsid w:val="00502771"/>
    <w:rsid w:val="00506B7E"/>
    <w:rsid w:val="00506BA7"/>
    <w:rsid w:val="00511F83"/>
    <w:rsid w:val="00512C9C"/>
    <w:rsid w:val="0052106C"/>
    <w:rsid w:val="005254E9"/>
    <w:rsid w:val="005313ED"/>
    <w:rsid w:val="00533897"/>
    <w:rsid w:val="00536BBE"/>
    <w:rsid w:val="005438A4"/>
    <w:rsid w:val="00545595"/>
    <w:rsid w:val="00545E23"/>
    <w:rsid w:val="00554D9E"/>
    <w:rsid w:val="0056168B"/>
    <w:rsid w:val="00561743"/>
    <w:rsid w:val="00564C5D"/>
    <w:rsid w:val="005650BD"/>
    <w:rsid w:val="0056579D"/>
    <w:rsid w:val="00567BA5"/>
    <w:rsid w:val="00573DF5"/>
    <w:rsid w:val="0058147A"/>
    <w:rsid w:val="00582189"/>
    <w:rsid w:val="005911DF"/>
    <w:rsid w:val="0059341E"/>
    <w:rsid w:val="005A26BA"/>
    <w:rsid w:val="005C47A7"/>
    <w:rsid w:val="005C4FF4"/>
    <w:rsid w:val="005D42EB"/>
    <w:rsid w:val="005D71A3"/>
    <w:rsid w:val="005D7585"/>
    <w:rsid w:val="005E1819"/>
    <w:rsid w:val="005E7633"/>
    <w:rsid w:val="00602CBA"/>
    <w:rsid w:val="0061566B"/>
    <w:rsid w:val="006275B9"/>
    <w:rsid w:val="006324DE"/>
    <w:rsid w:val="006335B4"/>
    <w:rsid w:val="006418B6"/>
    <w:rsid w:val="006467B6"/>
    <w:rsid w:val="00652FC3"/>
    <w:rsid w:val="0066227B"/>
    <w:rsid w:val="0067442A"/>
    <w:rsid w:val="006761DF"/>
    <w:rsid w:val="00677B8E"/>
    <w:rsid w:val="00683A24"/>
    <w:rsid w:val="00686229"/>
    <w:rsid w:val="00687715"/>
    <w:rsid w:val="006906F9"/>
    <w:rsid w:val="00695803"/>
    <w:rsid w:val="006A309C"/>
    <w:rsid w:val="006A405E"/>
    <w:rsid w:val="006B0B79"/>
    <w:rsid w:val="006B1706"/>
    <w:rsid w:val="006B3BE6"/>
    <w:rsid w:val="006C1A60"/>
    <w:rsid w:val="006C1BB9"/>
    <w:rsid w:val="006C4A23"/>
    <w:rsid w:val="006D2243"/>
    <w:rsid w:val="006D36B3"/>
    <w:rsid w:val="006E1411"/>
    <w:rsid w:val="006E5E0B"/>
    <w:rsid w:val="006E733E"/>
    <w:rsid w:val="006F336A"/>
    <w:rsid w:val="007061BF"/>
    <w:rsid w:val="00706AFB"/>
    <w:rsid w:val="00710BBC"/>
    <w:rsid w:val="00726F91"/>
    <w:rsid w:val="00730067"/>
    <w:rsid w:val="007330FB"/>
    <w:rsid w:val="007369E0"/>
    <w:rsid w:val="00736ADE"/>
    <w:rsid w:val="00740FCC"/>
    <w:rsid w:val="00755A40"/>
    <w:rsid w:val="00774BF5"/>
    <w:rsid w:val="00797DCB"/>
    <w:rsid w:val="007A1538"/>
    <w:rsid w:val="007A1946"/>
    <w:rsid w:val="007B1FCA"/>
    <w:rsid w:val="007B7470"/>
    <w:rsid w:val="007C0F8E"/>
    <w:rsid w:val="007C5F46"/>
    <w:rsid w:val="007D165B"/>
    <w:rsid w:val="007D7C1F"/>
    <w:rsid w:val="007E2642"/>
    <w:rsid w:val="0080194B"/>
    <w:rsid w:val="00812C1E"/>
    <w:rsid w:val="0081751E"/>
    <w:rsid w:val="00817D29"/>
    <w:rsid w:val="008305B5"/>
    <w:rsid w:val="008334E8"/>
    <w:rsid w:val="00833BB5"/>
    <w:rsid w:val="008437B0"/>
    <w:rsid w:val="00844913"/>
    <w:rsid w:val="00847A0D"/>
    <w:rsid w:val="00850A3D"/>
    <w:rsid w:val="00857D73"/>
    <w:rsid w:val="008621E1"/>
    <w:rsid w:val="00874557"/>
    <w:rsid w:val="00895874"/>
    <w:rsid w:val="008B50A9"/>
    <w:rsid w:val="008B5D7C"/>
    <w:rsid w:val="008B7464"/>
    <w:rsid w:val="008C1467"/>
    <w:rsid w:val="008C5C51"/>
    <w:rsid w:val="008C5E39"/>
    <w:rsid w:val="008C60A8"/>
    <w:rsid w:val="008E2F6E"/>
    <w:rsid w:val="008E77D7"/>
    <w:rsid w:val="00910803"/>
    <w:rsid w:val="00913057"/>
    <w:rsid w:val="0092254B"/>
    <w:rsid w:val="00931314"/>
    <w:rsid w:val="00931A4E"/>
    <w:rsid w:val="009627E3"/>
    <w:rsid w:val="00962D27"/>
    <w:rsid w:val="00964542"/>
    <w:rsid w:val="0097123B"/>
    <w:rsid w:val="0097556A"/>
    <w:rsid w:val="009806B3"/>
    <w:rsid w:val="009A1BDC"/>
    <w:rsid w:val="009B0269"/>
    <w:rsid w:val="009B292A"/>
    <w:rsid w:val="009B3B68"/>
    <w:rsid w:val="009C233F"/>
    <w:rsid w:val="009D227F"/>
    <w:rsid w:val="009D79CA"/>
    <w:rsid w:val="009E1F09"/>
    <w:rsid w:val="009E3A94"/>
    <w:rsid w:val="009F0A61"/>
    <w:rsid w:val="009F16D7"/>
    <w:rsid w:val="009F1B4A"/>
    <w:rsid w:val="009F7209"/>
    <w:rsid w:val="00A00B7C"/>
    <w:rsid w:val="00A05589"/>
    <w:rsid w:val="00A06101"/>
    <w:rsid w:val="00A12135"/>
    <w:rsid w:val="00A35AFD"/>
    <w:rsid w:val="00A548A7"/>
    <w:rsid w:val="00A6172B"/>
    <w:rsid w:val="00A63DB9"/>
    <w:rsid w:val="00A73AF3"/>
    <w:rsid w:val="00A75852"/>
    <w:rsid w:val="00A76067"/>
    <w:rsid w:val="00A82EAD"/>
    <w:rsid w:val="00A91FF8"/>
    <w:rsid w:val="00AA3881"/>
    <w:rsid w:val="00AB1730"/>
    <w:rsid w:val="00AC023C"/>
    <w:rsid w:val="00AD20E9"/>
    <w:rsid w:val="00AD5D32"/>
    <w:rsid w:val="00AE391C"/>
    <w:rsid w:val="00AE4020"/>
    <w:rsid w:val="00AE5B77"/>
    <w:rsid w:val="00AF1C51"/>
    <w:rsid w:val="00B06ADD"/>
    <w:rsid w:val="00B07770"/>
    <w:rsid w:val="00B126C4"/>
    <w:rsid w:val="00B16E83"/>
    <w:rsid w:val="00B2228A"/>
    <w:rsid w:val="00B2563C"/>
    <w:rsid w:val="00B32119"/>
    <w:rsid w:val="00B436A7"/>
    <w:rsid w:val="00B45E3A"/>
    <w:rsid w:val="00B534C3"/>
    <w:rsid w:val="00B5736F"/>
    <w:rsid w:val="00B75720"/>
    <w:rsid w:val="00B8167B"/>
    <w:rsid w:val="00B8412F"/>
    <w:rsid w:val="00B86AA7"/>
    <w:rsid w:val="00B86B2C"/>
    <w:rsid w:val="00B9143C"/>
    <w:rsid w:val="00B91F51"/>
    <w:rsid w:val="00B955CB"/>
    <w:rsid w:val="00B95F6C"/>
    <w:rsid w:val="00BA1B39"/>
    <w:rsid w:val="00BA1BDA"/>
    <w:rsid w:val="00BA6D49"/>
    <w:rsid w:val="00BC1D8F"/>
    <w:rsid w:val="00BC294B"/>
    <w:rsid w:val="00BC2A0D"/>
    <w:rsid w:val="00BD16A8"/>
    <w:rsid w:val="00BD4AD4"/>
    <w:rsid w:val="00BD57FC"/>
    <w:rsid w:val="00BE0BBA"/>
    <w:rsid w:val="00C07664"/>
    <w:rsid w:val="00C12335"/>
    <w:rsid w:val="00C17A70"/>
    <w:rsid w:val="00C231B6"/>
    <w:rsid w:val="00C27CDD"/>
    <w:rsid w:val="00C42C39"/>
    <w:rsid w:val="00C5069A"/>
    <w:rsid w:val="00C56917"/>
    <w:rsid w:val="00C62691"/>
    <w:rsid w:val="00C65E6A"/>
    <w:rsid w:val="00C763D0"/>
    <w:rsid w:val="00C77F8A"/>
    <w:rsid w:val="00C82BF3"/>
    <w:rsid w:val="00C95747"/>
    <w:rsid w:val="00C95CD7"/>
    <w:rsid w:val="00CA13B5"/>
    <w:rsid w:val="00CA2936"/>
    <w:rsid w:val="00CA44A4"/>
    <w:rsid w:val="00CA5C51"/>
    <w:rsid w:val="00CB1FC6"/>
    <w:rsid w:val="00CB5474"/>
    <w:rsid w:val="00CC748C"/>
    <w:rsid w:val="00CD3FF8"/>
    <w:rsid w:val="00CD523B"/>
    <w:rsid w:val="00CE2AFA"/>
    <w:rsid w:val="00CE4ADB"/>
    <w:rsid w:val="00CE7F65"/>
    <w:rsid w:val="00D04A57"/>
    <w:rsid w:val="00D4056E"/>
    <w:rsid w:val="00D41B6E"/>
    <w:rsid w:val="00D552ED"/>
    <w:rsid w:val="00D601EC"/>
    <w:rsid w:val="00D718C2"/>
    <w:rsid w:val="00D80011"/>
    <w:rsid w:val="00D84F09"/>
    <w:rsid w:val="00D87C02"/>
    <w:rsid w:val="00DA1E96"/>
    <w:rsid w:val="00DA23CD"/>
    <w:rsid w:val="00DA596C"/>
    <w:rsid w:val="00DB1C5E"/>
    <w:rsid w:val="00DC4EFA"/>
    <w:rsid w:val="00DC56D1"/>
    <w:rsid w:val="00DE4148"/>
    <w:rsid w:val="00E11439"/>
    <w:rsid w:val="00E11739"/>
    <w:rsid w:val="00E136F7"/>
    <w:rsid w:val="00E22D6B"/>
    <w:rsid w:val="00E3761F"/>
    <w:rsid w:val="00E41016"/>
    <w:rsid w:val="00E46EA5"/>
    <w:rsid w:val="00E71A06"/>
    <w:rsid w:val="00E7727D"/>
    <w:rsid w:val="00E82DBB"/>
    <w:rsid w:val="00E915AF"/>
    <w:rsid w:val="00E91659"/>
    <w:rsid w:val="00EA016E"/>
    <w:rsid w:val="00EA2375"/>
    <w:rsid w:val="00EA6E03"/>
    <w:rsid w:val="00EA7243"/>
    <w:rsid w:val="00EB3443"/>
    <w:rsid w:val="00EB6CC1"/>
    <w:rsid w:val="00EB7A57"/>
    <w:rsid w:val="00EC00CC"/>
    <w:rsid w:val="00EC618A"/>
    <w:rsid w:val="00ED60DF"/>
    <w:rsid w:val="00EF0147"/>
    <w:rsid w:val="00EF3F72"/>
    <w:rsid w:val="00F0103B"/>
    <w:rsid w:val="00F04C57"/>
    <w:rsid w:val="00F072F0"/>
    <w:rsid w:val="00F1104F"/>
    <w:rsid w:val="00F12118"/>
    <w:rsid w:val="00F24618"/>
    <w:rsid w:val="00F3155E"/>
    <w:rsid w:val="00F34F74"/>
    <w:rsid w:val="00F36332"/>
    <w:rsid w:val="00F52FE6"/>
    <w:rsid w:val="00F53771"/>
    <w:rsid w:val="00F6479F"/>
    <w:rsid w:val="00F97035"/>
    <w:rsid w:val="00FA51C3"/>
    <w:rsid w:val="00FB2827"/>
    <w:rsid w:val="00FB6328"/>
    <w:rsid w:val="00FC33E1"/>
    <w:rsid w:val="00FD2AA6"/>
    <w:rsid w:val="00FE15F8"/>
    <w:rsid w:val="00FE64AB"/>
    <w:rsid w:val="00FF4DFD"/>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133390"/>
    <w:pPr>
      <w:keepNext/>
      <w:widowControl w:val="0"/>
      <w:numPr>
        <w:numId w:val="1"/>
      </w:numPr>
      <w:tabs>
        <w:tab w:val="clear" w:pos="284"/>
        <w:tab w:val="left" w:pos="567"/>
      </w:tabs>
      <w:autoSpaceDE w:val="0"/>
      <w:autoSpaceDN w:val="0"/>
      <w:adjustRightInd w:val="0"/>
      <w:spacing w:before="120" w:after="60" w:line="240" w:lineRule="auto"/>
      <w:ind w:left="782" w:right="3402" w:hanging="357"/>
      <w:outlineLvl w:val="0"/>
    </w:pPr>
    <w:rPr>
      <w:rFonts w:eastAsia="Arial" w:cs="Times New Roman"/>
      <w:b/>
      <w:bCs/>
      <w:sz w:val="24"/>
      <w:szCs w:val="24"/>
      <w:lang w:eastAsia="pl-PL"/>
    </w:rPr>
  </w:style>
  <w:style w:type="paragraph" w:styleId="Nagwek2">
    <w:name w:val="heading 2"/>
    <w:basedOn w:val="Normalny"/>
    <w:next w:val="Normalny"/>
    <w:link w:val="Nagwek2Znak"/>
    <w:unhideWhenUsed/>
    <w:qFormat/>
    <w:rsid w:val="00133390"/>
    <w:pPr>
      <w:keepNext/>
      <w:numPr>
        <w:ilvl w:val="1"/>
        <w:numId w:val="1"/>
      </w:numPr>
      <w:spacing w:before="120" w:after="6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2D7D6F"/>
    <w:pPr>
      <w:keepNext/>
      <w:numPr>
        <w:ilvl w:val="2"/>
        <w:numId w:val="1"/>
      </w:numPr>
      <w:tabs>
        <w:tab w:val="clear" w:pos="284"/>
      </w:tabs>
      <w:spacing w:before="0" w:line="240" w:lineRule="auto"/>
      <w:outlineLvl w:val="2"/>
    </w:pPr>
  </w:style>
  <w:style w:type="paragraph" w:styleId="Nagwek4">
    <w:name w:val="heading 4"/>
    <w:basedOn w:val="Normalny"/>
    <w:next w:val="Normalny"/>
    <w:link w:val="Nagwek4Znak"/>
    <w:uiPriority w:val="9"/>
    <w:unhideWhenUsed/>
    <w:qFormat/>
    <w:rsid w:val="005911DF"/>
    <w:pPr>
      <w:numPr>
        <w:ilvl w:val="3"/>
        <w:numId w:val="2"/>
      </w:numPr>
      <w:spacing w:line="360" w:lineRule="auto"/>
      <w:outlineLvl w:val="3"/>
    </w:pPr>
    <w:rPr>
      <w:rFonts w:eastAsia="Arial"/>
      <w:szCs w:val="20"/>
    </w:rPr>
  </w:style>
  <w:style w:type="paragraph" w:styleId="Nagwek5">
    <w:name w:val="heading 5"/>
    <w:basedOn w:val="Normalny"/>
    <w:next w:val="Normalny"/>
    <w:link w:val="Nagwek5Znak"/>
    <w:uiPriority w:val="9"/>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133390"/>
    <w:rPr>
      <w:rFonts w:eastAsia="Arial" w:cs="Times New Roman"/>
      <w:b/>
      <w:bCs/>
      <w:sz w:val="24"/>
      <w:szCs w:val="24"/>
      <w:lang w:eastAsia="pl-PL"/>
    </w:rPr>
  </w:style>
  <w:style w:type="character" w:customStyle="1" w:styleId="Nagwek2Znak">
    <w:name w:val="Nagłówek 2 Znak"/>
    <w:basedOn w:val="Domylnaczcionkaakapitu"/>
    <w:link w:val="Nagwek2"/>
    <w:rsid w:val="00133390"/>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2D7D6F"/>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 w:type="paragraph" w:customStyle="1" w:styleId="Bullet">
    <w:name w:val="Bullet"/>
    <w:rsid w:val="006761DF"/>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 w:type="paragraph" w:customStyle="1" w:styleId="BodySingle">
    <w:name w:val="Body Single"/>
    <w:rsid w:val="00533897"/>
    <w:pPr>
      <w:keepLines/>
      <w:overflowPunct w:val="0"/>
      <w:autoSpaceDE w:val="0"/>
      <w:autoSpaceDN w:val="0"/>
      <w:adjustRightInd w:val="0"/>
      <w:spacing w:before="43" w:after="100" w:line="240" w:lineRule="auto"/>
      <w:ind w:left="686" w:hanging="686"/>
      <w:jc w:val="both"/>
      <w:textAlignment w:val="baseline"/>
    </w:pPr>
    <w:rPr>
      <w:rFonts w:ascii="Times New Roman" w:eastAsia="Times New Roman" w:hAnsi="Times New Roman" w:cs="Times New Roman"/>
      <w:color w:val="000000"/>
      <w:sz w:val="24"/>
      <w:szCs w:val="20"/>
      <w:lang w:eastAsia="pl-PL"/>
    </w:rPr>
  </w:style>
  <w:style w:type="paragraph" w:customStyle="1" w:styleId="Bullet1">
    <w:name w:val="Bullet 1"/>
    <w:rsid w:val="00533897"/>
    <w:pPr>
      <w:overflowPunct w:val="0"/>
      <w:autoSpaceDE w:val="0"/>
      <w:autoSpaceDN w:val="0"/>
      <w:adjustRightInd w:val="0"/>
      <w:spacing w:after="43" w:line="240" w:lineRule="auto"/>
      <w:ind w:left="453" w:hanging="453"/>
      <w:jc w:val="both"/>
      <w:textAlignment w:val="baseline"/>
    </w:pPr>
    <w:rPr>
      <w:rFonts w:ascii="Times New Roman" w:eastAsia="Times New Roman" w:hAnsi="Times New Roman" w:cs="Times New Roman"/>
      <w:color w:val="000000"/>
      <w:spacing w:val="-12"/>
      <w:sz w:val="24"/>
      <w:szCs w:val="20"/>
      <w:lang w:eastAsia="pl-PL"/>
    </w:rPr>
  </w:style>
  <w:style w:type="paragraph" w:styleId="Tytu">
    <w:name w:val="Title"/>
    <w:basedOn w:val="Normalny"/>
    <w:link w:val="TytuZnak"/>
    <w:rsid w:val="00533897"/>
    <w:pPr>
      <w:keepNext/>
      <w:keepLines/>
      <w:tabs>
        <w:tab w:val="clear" w:pos="284"/>
      </w:tabs>
      <w:overflowPunct w:val="0"/>
      <w:autoSpaceDE w:val="0"/>
      <w:autoSpaceDN w:val="0"/>
      <w:adjustRightInd w:val="0"/>
      <w:spacing w:before="0" w:after="669" w:line="240" w:lineRule="auto"/>
      <w:ind w:left="1655" w:hanging="1655"/>
      <w:textAlignment w:val="baseline"/>
    </w:pPr>
    <w:rPr>
      <w:rFonts w:ascii="Times New Roman" w:eastAsia="Times New Roman" w:hAnsi="Times New Roman" w:cs="Times New Roman"/>
      <w:b/>
      <w:caps/>
      <w:color w:val="000000"/>
      <w:sz w:val="28"/>
      <w:szCs w:val="20"/>
      <w:lang w:eastAsia="pl-PL"/>
    </w:rPr>
  </w:style>
  <w:style w:type="character" w:customStyle="1" w:styleId="TytuZnak">
    <w:name w:val="Tytuł Znak"/>
    <w:basedOn w:val="Domylnaczcionkaakapitu"/>
    <w:link w:val="Tytu"/>
    <w:rsid w:val="00533897"/>
    <w:rPr>
      <w:rFonts w:ascii="Times New Roman" w:eastAsia="Times New Roman" w:hAnsi="Times New Roman" w:cs="Times New Roman"/>
      <w:b/>
      <w:caps/>
      <w:color w:val="000000"/>
      <w:sz w:val="28"/>
      <w:szCs w:val="20"/>
      <w:lang w:eastAsia="pl-PL"/>
    </w:rPr>
  </w:style>
  <w:style w:type="character" w:styleId="Tekstzastpczy">
    <w:name w:val="Placeholder Text"/>
    <w:basedOn w:val="Domylnaczcionkaakapitu"/>
    <w:uiPriority w:val="99"/>
    <w:semiHidden/>
    <w:rsid w:val="005650BD"/>
    <w:rPr>
      <w:color w:val="808080"/>
    </w:rPr>
  </w:style>
  <w:style w:type="character" w:customStyle="1" w:styleId="highlight">
    <w:name w:val="highlight"/>
    <w:basedOn w:val="Domylnaczcionkaakapitu"/>
    <w:rsid w:val="00850A3D"/>
  </w:style>
  <w:style w:type="paragraph" w:customStyle="1" w:styleId="Bezodstpw1">
    <w:name w:val="Bez odstępów1"/>
    <w:rsid w:val="00A00B7C"/>
    <w:pPr>
      <w:spacing w:after="0" w:line="240" w:lineRule="auto"/>
    </w:pPr>
    <w:rPr>
      <w:rFonts w:ascii="Calibri" w:eastAsia="Times New Roman" w:hAnsi="Calibri" w:cs="Times New Roman"/>
    </w:rPr>
  </w:style>
  <w:style w:type="paragraph" w:customStyle="1" w:styleId="Default">
    <w:name w:val="Default"/>
    <w:rsid w:val="00A00B7C"/>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Zwykytekst">
    <w:name w:val="Plain Text"/>
    <w:basedOn w:val="Normalny"/>
    <w:link w:val="ZwykytekstZnak"/>
    <w:rsid w:val="00A00B7C"/>
    <w:pPr>
      <w:tabs>
        <w:tab w:val="clear" w:pos="284"/>
      </w:tabs>
      <w:spacing w:before="0" w:line="240" w:lineRule="auto"/>
      <w:jc w:val="left"/>
    </w:pPr>
    <w:rPr>
      <w:rFonts w:ascii="Wingdings" w:eastAsia="Times New Roman" w:hAnsi="Wingdings" w:cs="Times New Roman"/>
      <w:szCs w:val="20"/>
    </w:rPr>
  </w:style>
  <w:style w:type="character" w:customStyle="1" w:styleId="ZwykytekstZnak">
    <w:name w:val="Zwykły tekst Znak"/>
    <w:basedOn w:val="Domylnaczcionkaakapitu"/>
    <w:link w:val="Zwykytekst"/>
    <w:rsid w:val="00A00B7C"/>
    <w:rPr>
      <w:rFonts w:ascii="Wingdings" w:eastAsia="Times New Roman" w:hAnsi="Wingdings" w:cs="Times New Roman"/>
      <w:sz w:val="20"/>
      <w:szCs w:val="20"/>
    </w:rPr>
  </w:style>
  <w:style w:type="paragraph" w:customStyle="1" w:styleId="Htext">
    <w:name w:val="Htext"/>
    <w:basedOn w:val="Normalny"/>
    <w:link w:val="HtextChar"/>
    <w:rsid w:val="00A00B7C"/>
    <w:pPr>
      <w:widowControl w:val="0"/>
      <w:tabs>
        <w:tab w:val="clear" w:pos="284"/>
        <w:tab w:val="left" w:leader="dot" w:pos="0"/>
        <w:tab w:val="left" w:pos="1440"/>
      </w:tabs>
      <w:overflowPunct w:val="0"/>
      <w:autoSpaceDE w:val="0"/>
      <w:autoSpaceDN w:val="0"/>
      <w:adjustRightInd w:val="0"/>
      <w:spacing w:before="40" w:after="20" w:line="240" w:lineRule="auto"/>
      <w:ind w:left="432"/>
      <w:jc w:val="left"/>
    </w:pPr>
    <w:rPr>
      <w:rFonts w:ascii="Arial" w:eastAsia="Times New Roman" w:hAnsi="Arial" w:cs="Times New Roman"/>
      <w:snapToGrid w:val="0"/>
      <w:sz w:val="22"/>
    </w:rPr>
  </w:style>
  <w:style w:type="character" w:customStyle="1" w:styleId="HtextChar">
    <w:name w:val="Htext Char"/>
    <w:link w:val="Htext"/>
    <w:rsid w:val="00A00B7C"/>
    <w:rPr>
      <w:rFonts w:ascii="Arial" w:eastAsia="Times New Roman" w:hAnsi="Arial" w:cs="Times New Roman"/>
      <w:snapToGrid w:val="0"/>
    </w:rPr>
  </w:style>
  <w:style w:type="character" w:styleId="Pogrubienie">
    <w:name w:val="Strong"/>
    <w:basedOn w:val="Domylnaczcionkaakapitu"/>
    <w:uiPriority w:val="22"/>
    <w:qFormat/>
    <w:rsid w:val="00D04A57"/>
    <w:rPr>
      <w:b/>
      <w:bCs/>
    </w:rPr>
  </w:style>
  <w:style w:type="paragraph" w:customStyle="1" w:styleId="StylIwony">
    <w:name w:val="Styl Iwony"/>
    <w:basedOn w:val="Normalny"/>
    <w:rsid w:val="002D7D6F"/>
    <w:pPr>
      <w:tabs>
        <w:tab w:val="clear" w:pos="284"/>
      </w:tabs>
      <w:overflowPunct w:val="0"/>
      <w:autoSpaceDE w:val="0"/>
      <w:autoSpaceDN w:val="0"/>
      <w:adjustRightInd w:val="0"/>
      <w:spacing w:before="120" w:after="120" w:line="240" w:lineRule="auto"/>
    </w:pPr>
    <w:rPr>
      <w:rFonts w:ascii="Bookman Old Style" w:eastAsia="Times New Roman" w:hAnsi="Bookman Old Style" w:cs="Times New Roman"/>
      <w:sz w:val="24"/>
      <w:szCs w:val="20"/>
      <w:lang w:eastAsia="pl-PL"/>
    </w:rPr>
  </w:style>
  <w:style w:type="paragraph" w:customStyle="1" w:styleId="Nagwek31">
    <w:name w:val="Nagłówek 31"/>
    <w:basedOn w:val="Normalny"/>
    <w:uiPriority w:val="1"/>
    <w:qFormat/>
    <w:rsid w:val="002D7D6F"/>
    <w:pPr>
      <w:widowControl w:val="0"/>
      <w:tabs>
        <w:tab w:val="clear" w:pos="284"/>
      </w:tabs>
      <w:spacing w:before="0" w:line="240" w:lineRule="auto"/>
      <w:ind w:left="841" w:hanging="705"/>
      <w:outlineLvl w:val="3"/>
    </w:pPr>
    <w:rPr>
      <w:rFonts w:ascii="Calibri" w:eastAsia="Calibri" w:hAnsi="Calibri" w:cs="Calibri"/>
      <w:b/>
      <w:bCs/>
      <w:lang w:val="en-US"/>
    </w:rPr>
  </w:style>
  <w:style w:type="paragraph" w:styleId="Bezodstpw">
    <w:name w:val="No Spacing"/>
    <w:uiPriority w:val="1"/>
    <w:qFormat/>
    <w:rsid w:val="002D7D6F"/>
    <w:pPr>
      <w:tabs>
        <w:tab w:val="left" w:pos="284"/>
      </w:tabs>
      <w:spacing w:after="0" w:line="240" w:lineRule="auto"/>
      <w:jc w:val="both"/>
    </w:pPr>
    <w:rPr>
      <w:rFonts w:cs="Times-Roman"/>
    </w:rPr>
  </w:style>
</w:styles>
</file>

<file path=word/webSettings.xml><?xml version="1.0" encoding="utf-8"?>
<w:webSettings xmlns:r="http://schemas.openxmlformats.org/officeDocument/2006/relationships" xmlns:w="http://schemas.openxmlformats.org/wordprocessingml/2006/main">
  <w:divs>
    <w:div w:id="145127691">
      <w:bodyDiv w:val="1"/>
      <w:marLeft w:val="0"/>
      <w:marRight w:val="0"/>
      <w:marTop w:val="0"/>
      <w:marBottom w:val="0"/>
      <w:divBdr>
        <w:top w:val="none" w:sz="0" w:space="0" w:color="auto"/>
        <w:left w:val="none" w:sz="0" w:space="0" w:color="auto"/>
        <w:bottom w:val="none" w:sz="0" w:space="0" w:color="auto"/>
        <w:right w:val="none" w:sz="0" w:space="0" w:color="auto"/>
      </w:divBdr>
    </w:div>
    <w:div w:id="1224832002">
      <w:bodyDiv w:val="1"/>
      <w:marLeft w:val="0"/>
      <w:marRight w:val="0"/>
      <w:marTop w:val="0"/>
      <w:marBottom w:val="0"/>
      <w:divBdr>
        <w:top w:val="none" w:sz="0" w:space="0" w:color="auto"/>
        <w:left w:val="none" w:sz="0" w:space="0" w:color="auto"/>
        <w:bottom w:val="none" w:sz="0" w:space="0" w:color="auto"/>
        <w:right w:val="none" w:sz="0" w:space="0" w:color="auto"/>
      </w:divBdr>
    </w:div>
    <w:div w:id="1642347317">
      <w:bodyDiv w:val="1"/>
      <w:marLeft w:val="0"/>
      <w:marRight w:val="0"/>
      <w:marTop w:val="0"/>
      <w:marBottom w:val="0"/>
      <w:divBdr>
        <w:top w:val="none" w:sz="0" w:space="0" w:color="auto"/>
        <w:left w:val="none" w:sz="0" w:space="0" w:color="auto"/>
        <w:bottom w:val="none" w:sz="0" w:space="0" w:color="auto"/>
        <w:right w:val="none" w:sz="0" w:space="0" w:color="auto"/>
      </w:divBdr>
    </w:div>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1856920959">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F5EB84-2ECD-4D88-A714-F739DE74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6435</Words>
  <Characters>38613</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9</cp:revision>
  <cp:lastPrinted>2022-09-19T10:59:00Z</cp:lastPrinted>
  <dcterms:created xsi:type="dcterms:W3CDTF">2021-09-30T09:45:00Z</dcterms:created>
  <dcterms:modified xsi:type="dcterms:W3CDTF">2022-09-19T10:59:00Z</dcterms:modified>
</cp:coreProperties>
</file>