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27D78" w14:textId="6496F6FB" w:rsidR="000060C3" w:rsidRDefault="00EA2D10">
      <w:r>
        <w:t>S</w:t>
      </w:r>
      <w:r w:rsidR="000060C3">
        <w:t>tacja robocza – 1 szt.</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5304"/>
        <w:gridCol w:w="3678"/>
      </w:tblGrid>
      <w:tr w:rsidR="0068799D" w:rsidRPr="009354B0" w14:paraId="297619A8" w14:textId="44F9E845" w:rsidTr="003412A5">
        <w:trPr>
          <w:trHeight w:val="283"/>
        </w:trPr>
        <w:tc>
          <w:tcPr>
            <w:tcW w:w="1650" w:type="dxa"/>
            <w:vMerge w:val="restart"/>
            <w:shd w:val="clear" w:color="auto" w:fill="DBDBDB" w:themeFill="accent3" w:themeFillTint="66"/>
          </w:tcPr>
          <w:p w14:paraId="7CBC313D" w14:textId="77777777" w:rsidR="0068799D" w:rsidRPr="009354B0" w:rsidRDefault="0068799D" w:rsidP="007A32E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Nazwa komponentu</w:t>
            </w:r>
          </w:p>
        </w:tc>
        <w:tc>
          <w:tcPr>
            <w:tcW w:w="5304" w:type="dxa"/>
            <w:vMerge w:val="restart"/>
            <w:shd w:val="clear" w:color="auto" w:fill="DBDBDB" w:themeFill="accent3" w:themeFillTint="66"/>
          </w:tcPr>
          <w:p w14:paraId="5AB9EAEB" w14:textId="77777777" w:rsidR="0068799D" w:rsidRPr="009354B0" w:rsidRDefault="0068799D" w:rsidP="007A32E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Wymagane parametry techniczne komputerów</w:t>
            </w:r>
          </w:p>
        </w:tc>
        <w:tc>
          <w:tcPr>
            <w:tcW w:w="3678" w:type="dxa"/>
          </w:tcPr>
          <w:p w14:paraId="425073CF" w14:textId="199A0D07" w:rsidR="0068799D" w:rsidRPr="009354B0" w:rsidRDefault="003412A5" w:rsidP="003412A5">
            <w:pPr>
              <w:tabs>
                <w:tab w:val="left" w:pos="641"/>
              </w:tabs>
              <w:spacing w:after="0" w:line="240" w:lineRule="auto"/>
              <w:rPr>
                <w:rFonts w:asciiTheme="minorHAnsi" w:hAnsiTheme="minorHAnsi" w:cstheme="minorHAnsi"/>
                <w:b/>
                <w:sz w:val="20"/>
                <w:szCs w:val="20"/>
              </w:rPr>
            </w:pPr>
            <w:r>
              <w:rPr>
                <w:rFonts w:asciiTheme="minorHAnsi" w:hAnsiTheme="minorHAnsi" w:cstheme="minorHAnsi"/>
                <w:b/>
                <w:sz w:val="20"/>
                <w:szCs w:val="20"/>
              </w:rPr>
              <w:tab/>
            </w:r>
            <w:r w:rsidRPr="003412A5">
              <w:rPr>
                <w:rFonts w:asciiTheme="minorHAnsi" w:hAnsiTheme="minorHAnsi" w:cstheme="minorHAnsi"/>
                <w:b/>
                <w:bCs/>
                <w:sz w:val="20"/>
                <w:szCs w:val="20"/>
              </w:rPr>
              <w:t>Marka… / model -Typ …</w:t>
            </w:r>
          </w:p>
        </w:tc>
      </w:tr>
      <w:tr w:rsidR="0068799D" w:rsidRPr="009354B0" w14:paraId="662C74ED" w14:textId="77777777" w:rsidTr="003412A5">
        <w:trPr>
          <w:trHeight w:val="283"/>
        </w:trPr>
        <w:tc>
          <w:tcPr>
            <w:tcW w:w="1650" w:type="dxa"/>
            <w:vMerge/>
            <w:shd w:val="clear" w:color="auto" w:fill="DBDBDB" w:themeFill="accent3" w:themeFillTint="66"/>
          </w:tcPr>
          <w:p w14:paraId="19C524BD" w14:textId="77777777" w:rsidR="0068799D" w:rsidRPr="009354B0" w:rsidRDefault="0068799D" w:rsidP="007A32E1">
            <w:pPr>
              <w:spacing w:after="0" w:line="240" w:lineRule="auto"/>
              <w:jc w:val="center"/>
              <w:rPr>
                <w:rFonts w:asciiTheme="minorHAnsi" w:hAnsiTheme="minorHAnsi" w:cstheme="minorHAnsi"/>
                <w:b/>
                <w:sz w:val="20"/>
                <w:szCs w:val="20"/>
              </w:rPr>
            </w:pPr>
          </w:p>
        </w:tc>
        <w:tc>
          <w:tcPr>
            <w:tcW w:w="5304" w:type="dxa"/>
            <w:vMerge/>
            <w:shd w:val="clear" w:color="auto" w:fill="DBDBDB" w:themeFill="accent3" w:themeFillTint="66"/>
          </w:tcPr>
          <w:p w14:paraId="3B1F2D9E" w14:textId="77777777" w:rsidR="0068799D" w:rsidRPr="009354B0" w:rsidRDefault="0068799D" w:rsidP="007A32E1">
            <w:pPr>
              <w:spacing w:after="0" w:line="240" w:lineRule="auto"/>
              <w:jc w:val="center"/>
              <w:rPr>
                <w:rFonts w:asciiTheme="minorHAnsi" w:hAnsiTheme="minorHAnsi" w:cstheme="minorHAnsi"/>
                <w:b/>
                <w:sz w:val="20"/>
                <w:szCs w:val="20"/>
              </w:rPr>
            </w:pPr>
          </w:p>
        </w:tc>
        <w:tc>
          <w:tcPr>
            <w:tcW w:w="3678" w:type="dxa"/>
            <w:shd w:val="clear" w:color="auto" w:fill="DBDBDB" w:themeFill="accent3" w:themeFillTint="66"/>
          </w:tcPr>
          <w:p w14:paraId="3625E0C3" w14:textId="7449E0D5" w:rsidR="0068799D" w:rsidRPr="009354B0" w:rsidRDefault="005351A0" w:rsidP="007A32E1">
            <w:pPr>
              <w:spacing w:after="0" w:line="240" w:lineRule="auto"/>
              <w:jc w:val="center"/>
              <w:rPr>
                <w:rFonts w:asciiTheme="minorHAnsi" w:hAnsiTheme="minorHAnsi" w:cstheme="minorHAnsi"/>
                <w:b/>
                <w:sz w:val="20"/>
                <w:szCs w:val="20"/>
              </w:rPr>
            </w:pPr>
            <w:r w:rsidRPr="005351A0">
              <w:rPr>
                <w:rFonts w:cs="Calibri"/>
                <w:b/>
                <w:bCs/>
              </w:rPr>
              <w:t>Spełnia / nie spełnia</w:t>
            </w:r>
          </w:p>
        </w:tc>
      </w:tr>
      <w:tr w:rsidR="00D350F1" w:rsidRPr="009354B0" w14:paraId="5DA2BD17" w14:textId="27278A58" w:rsidTr="00B712B1">
        <w:tc>
          <w:tcPr>
            <w:tcW w:w="1650" w:type="dxa"/>
            <w:shd w:val="clear" w:color="auto" w:fill="auto"/>
          </w:tcPr>
          <w:p w14:paraId="32C3052B"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Typ</w:t>
            </w:r>
          </w:p>
        </w:tc>
        <w:tc>
          <w:tcPr>
            <w:tcW w:w="5304" w:type="dxa"/>
            <w:shd w:val="clear" w:color="auto" w:fill="auto"/>
          </w:tcPr>
          <w:p w14:paraId="7EAA12DE" w14:textId="050FAA0B"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Stacja </w:t>
            </w:r>
            <w:r>
              <w:rPr>
                <w:rFonts w:asciiTheme="minorHAnsi" w:hAnsiTheme="minorHAnsi" w:cstheme="minorHAnsi"/>
                <w:bCs/>
                <w:sz w:val="20"/>
                <w:szCs w:val="20"/>
              </w:rPr>
              <w:t xml:space="preserve">robocza: </w:t>
            </w:r>
            <w:r w:rsidRPr="009354B0">
              <w:rPr>
                <w:rFonts w:asciiTheme="minorHAnsi" w:hAnsiTheme="minorHAnsi" w:cstheme="minorHAnsi"/>
                <w:bCs/>
                <w:sz w:val="20"/>
                <w:szCs w:val="20"/>
              </w:rPr>
              <w:t>graficzna i obliczeniowa. W ofercie wymagane jest podanie modelu, symbolu oraz producenta</w:t>
            </w:r>
          </w:p>
        </w:tc>
        <w:tc>
          <w:tcPr>
            <w:tcW w:w="3678" w:type="dxa"/>
          </w:tcPr>
          <w:p w14:paraId="32F32703" w14:textId="7C385F43"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608A2995" w14:textId="4BAFC1AA" w:rsidTr="00B712B1">
        <w:tc>
          <w:tcPr>
            <w:tcW w:w="1650" w:type="dxa"/>
            <w:shd w:val="clear" w:color="auto" w:fill="auto"/>
          </w:tcPr>
          <w:p w14:paraId="473D11AB"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Zastosowanie</w:t>
            </w:r>
          </w:p>
        </w:tc>
        <w:tc>
          <w:tcPr>
            <w:tcW w:w="5304" w:type="dxa"/>
            <w:shd w:val="clear" w:color="auto" w:fill="auto"/>
          </w:tcPr>
          <w:p w14:paraId="0CDB9FB2"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Komputer będzie wykorzystywany dla potrzeb aplikacji biurowych, aplikacji edukacyjnych, aplikacji obliczeniowych, dostępu do Internetu oraz poczty elektronicznej, jako lokalna baza danych, stacja programistyczna.</w:t>
            </w:r>
          </w:p>
        </w:tc>
        <w:tc>
          <w:tcPr>
            <w:tcW w:w="3678" w:type="dxa"/>
          </w:tcPr>
          <w:p w14:paraId="30A58414" w14:textId="35F8E73E"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5AEED698" w14:textId="5CFC6B4E" w:rsidTr="00B712B1">
        <w:tc>
          <w:tcPr>
            <w:tcW w:w="1650" w:type="dxa"/>
            <w:shd w:val="clear" w:color="auto" w:fill="auto"/>
          </w:tcPr>
          <w:p w14:paraId="5949A713"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Procesor</w:t>
            </w:r>
          </w:p>
        </w:tc>
        <w:tc>
          <w:tcPr>
            <w:tcW w:w="5304" w:type="dxa"/>
            <w:shd w:val="clear" w:color="auto" w:fill="auto"/>
          </w:tcPr>
          <w:p w14:paraId="799B6E99" w14:textId="1D50E325" w:rsidR="00D350F1" w:rsidRPr="009354B0" w:rsidRDefault="00D350F1" w:rsidP="00D350F1">
            <w:pPr>
              <w:spacing w:after="0" w:line="240" w:lineRule="auto"/>
              <w:jc w:val="both"/>
              <w:rPr>
                <w:rFonts w:asciiTheme="minorHAnsi" w:hAnsiTheme="minorHAnsi" w:cstheme="minorHAnsi"/>
                <w:bCs/>
                <w:color w:val="000000"/>
                <w:sz w:val="20"/>
                <w:szCs w:val="20"/>
              </w:rPr>
            </w:pPr>
            <w:r w:rsidRPr="009354B0">
              <w:rPr>
                <w:rFonts w:asciiTheme="minorHAnsi" w:hAnsiTheme="minorHAnsi" w:cstheme="minorHAnsi"/>
                <w:bCs/>
                <w:color w:val="000000"/>
                <w:sz w:val="20"/>
                <w:szCs w:val="20"/>
              </w:rPr>
              <w:t xml:space="preserve">Procesor dedykowany do pracy w komputerach stacjonarnych. Procesor osiągający w teście Passmark CPU Mark, w kategorii Average CPU Mark wynik co najmniej </w:t>
            </w:r>
            <w:r>
              <w:rPr>
                <w:rFonts w:asciiTheme="minorHAnsi" w:hAnsiTheme="minorHAnsi" w:cstheme="minorHAnsi"/>
                <w:bCs/>
                <w:color w:val="000000"/>
                <w:sz w:val="20"/>
                <w:szCs w:val="20"/>
              </w:rPr>
              <w:t>43500</w:t>
            </w:r>
            <w:r w:rsidRPr="009354B0">
              <w:rPr>
                <w:rFonts w:asciiTheme="minorHAnsi" w:hAnsiTheme="minorHAnsi" w:cstheme="minorHAnsi"/>
                <w:bCs/>
                <w:color w:val="000000"/>
                <w:sz w:val="20"/>
                <w:szCs w:val="20"/>
              </w:rPr>
              <w:t xml:space="preserve"> pkt. według wyników opublikowanych na stronie </w:t>
            </w:r>
            <w:hyperlink r:id="rId8" w:history="1">
              <w:r w:rsidRPr="009354B0">
                <w:rPr>
                  <w:rStyle w:val="Hipercze"/>
                  <w:rFonts w:asciiTheme="minorHAnsi" w:hAnsiTheme="minorHAnsi" w:cstheme="minorHAnsi"/>
                  <w:sz w:val="20"/>
                  <w:szCs w:val="20"/>
                </w:rPr>
                <w:t>http://www.cpubenchmark.net/cpu_list.php</w:t>
              </w:r>
            </w:hyperlink>
            <w:r w:rsidRPr="009354B0">
              <w:rPr>
                <w:rFonts w:asciiTheme="minorHAnsi" w:hAnsiTheme="minorHAnsi" w:cstheme="minorHAnsi"/>
                <w:bCs/>
                <w:color w:val="000000"/>
                <w:sz w:val="20"/>
                <w:szCs w:val="20"/>
              </w:rPr>
              <w:t xml:space="preserve"> </w:t>
            </w:r>
          </w:p>
        </w:tc>
        <w:tc>
          <w:tcPr>
            <w:tcW w:w="3678" w:type="dxa"/>
          </w:tcPr>
          <w:p w14:paraId="5AAD868C" w14:textId="06A0E1CA" w:rsidR="00D350F1" w:rsidRPr="009354B0" w:rsidRDefault="00D350F1" w:rsidP="00D350F1">
            <w:pPr>
              <w:spacing w:after="0" w:line="240" w:lineRule="auto"/>
              <w:jc w:val="both"/>
              <w:rPr>
                <w:rFonts w:asciiTheme="minorHAnsi" w:hAnsiTheme="minorHAnsi" w:cstheme="minorHAnsi"/>
                <w:bCs/>
                <w:color w:val="000000"/>
                <w:sz w:val="20"/>
                <w:szCs w:val="20"/>
              </w:rPr>
            </w:pPr>
            <w:r w:rsidRPr="000E48B4">
              <w:rPr>
                <w:rFonts w:cstheme="minorHAnsi"/>
                <w:b/>
                <w:bCs/>
              </w:rPr>
              <w:t>Spełnia / nie spełnia</w:t>
            </w:r>
          </w:p>
        </w:tc>
      </w:tr>
      <w:tr w:rsidR="00D350F1" w:rsidRPr="009354B0" w14:paraId="255A640F" w14:textId="6EAD40F6" w:rsidTr="00B712B1">
        <w:tc>
          <w:tcPr>
            <w:tcW w:w="1650" w:type="dxa"/>
            <w:shd w:val="clear" w:color="auto" w:fill="auto"/>
          </w:tcPr>
          <w:p w14:paraId="17AB7E88"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Pamięć RAM</w:t>
            </w:r>
          </w:p>
        </w:tc>
        <w:tc>
          <w:tcPr>
            <w:tcW w:w="5304" w:type="dxa"/>
            <w:shd w:val="clear" w:color="auto" w:fill="auto"/>
          </w:tcPr>
          <w:p w14:paraId="1346FCBC" w14:textId="09EE3BE3" w:rsidR="00D350F1" w:rsidRPr="009354B0"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lang w:val="en-US"/>
              </w:rPr>
              <w:t>256GB (8x 32GB)</w:t>
            </w:r>
            <w:r w:rsidRPr="00D12F47">
              <w:rPr>
                <w:rFonts w:asciiTheme="minorHAnsi" w:hAnsiTheme="minorHAnsi" w:cstheme="minorHAnsi"/>
                <w:b/>
                <w:sz w:val="20"/>
                <w:szCs w:val="20"/>
                <w:lang w:val="en-US"/>
              </w:rPr>
              <w:t xml:space="preserve"> </w:t>
            </w:r>
            <w:r w:rsidRPr="00D12F47">
              <w:rPr>
                <w:rFonts w:asciiTheme="minorHAnsi" w:hAnsiTheme="minorHAnsi" w:cstheme="minorHAnsi"/>
                <w:bCs/>
                <w:sz w:val="20"/>
                <w:szCs w:val="20"/>
                <w:lang w:val="en-US"/>
              </w:rPr>
              <w:t xml:space="preserve">DDR5 RDIMM ECC. </w:t>
            </w:r>
            <w:r w:rsidRPr="009354B0">
              <w:rPr>
                <w:rFonts w:asciiTheme="minorHAnsi" w:hAnsiTheme="minorHAnsi" w:cstheme="minorHAnsi"/>
                <w:bCs/>
                <w:sz w:val="20"/>
                <w:szCs w:val="20"/>
              </w:rPr>
              <w:t xml:space="preserve">Możliwość rozbudowy do min 4TB. Min. 16 slotów pamięci na płycie głównej. </w:t>
            </w:r>
          </w:p>
        </w:tc>
        <w:tc>
          <w:tcPr>
            <w:tcW w:w="3678" w:type="dxa"/>
          </w:tcPr>
          <w:p w14:paraId="07A21016" w14:textId="039DBCB8"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44EDA16A" w14:textId="7765E4FE" w:rsidTr="00B712B1">
        <w:tc>
          <w:tcPr>
            <w:tcW w:w="1650" w:type="dxa"/>
            <w:shd w:val="clear" w:color="auto" w:fill="auto"/>
          </w:tcPr>
          <w:p w14:paraId="17BD49ED"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Pamięć masowa</w:t>
            </w:r>
          </w:p>
        </w:tc>
        <w:tc>
          <w:tcPr>
            <w:tcW w:w="5304" w:type="dxa"/>
            <w:shd w:val="clear" w:color="auto" w:fill="auto"/>
          </w:tcPr>
          <w:p w14:paraId="53C9BE98" w14:textId="21FDA7E8" w:rsidR="00D350F1" w:rsidRPr="00D12F47" w:rsidRDefault="00D350F1" w:rsidP="00D350F1">
            <w:pPr>
              <w:spacing w:after="0" w:line="240" w:lineRule="auto"/>
              <w:jc w:val="both"/>
              <w:rPr>
                <w:rFonts w:asciiTheme="minorHAnsi" w:hAnsiTheme="minorHAnsi" w:cstheme="minorHAnsi"/>
                <w:bCs/>
                <w:sz w:val="20"/>
                <w:szCs w:val="20"/>
                <w:lang w:val="en-US"/>
              </w:rPr>
            </w:pPr>
            <w:r w:rsidRPr="00D12F47">
              <w:rPr>
                <w:rFonts w:asciiTheme="minorHAnsi" w:hAnsiTheme="minorHAnsi" w:cstheme="minorHAnsi"/>
                <w:bCs/>
                <w:sz w:val="20"/>
                <w:szCs w:val="20"/>
                <w:lang w:val="en-US"/>
              </w:rPr>
              <w:t>2x Dysk M.2 SSD 1TB PCIe NVMe Class 40</w:t>
            </w:r>
          </w:p>
          <w:p w14:paraId="39D53F64" w14:textId="2BC13090"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1x Dysk 3.5” 4TB HDD 7.2k RPM</w:t>
            </w:r>
          </w:p>
        </w:tc>
        <w:tc>
          <w:tcPr>
            <w:tcW w:w="3678" w:type="dxa"/>
          </w:tcPr>
          <w:p w14:paraId="1B0ED26C" w14:textId="49CEDBF0"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199E17D6" w14:textId="4A3A54E6" w:rsidTr="00B712B1">
        <w:tc>
          <w:tcPr>
            <w:tcW w:w="1650" w:type="dxa"/>
            <w:shd w:val="clear" w:color="auto" w:fill="auto"/>
          </w:tcPr>
          <w:p w14:paraId="6B564149"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Wydajność grafiki</w:t>
            </w:r>
          </w:p>
        </w:tc>
        <w:tc>
          <w:tcPr>
            <w:tcW w:w="5304" w:type="dxa"/>
            <w:shd w:val="clear" w:color="auto" w:fill="auto"/>
          </w:tcPr>
          <w:p w14:paraId="746D2129" w14:textId="4CC501E6"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Dedykowana karta graficzna z</w:t>
            </w:r>
            <w:r w:rsidRPr="009354B0">
              <w:rPr>
                <w:rFonts w:asciiTheme="minorHAnsi" w:hAnsiTheme="minorHAnsi" w:cstheme="minorHAnsi"/>
                <w:b/>
                <w:sz w:val="20"/>
                <w:szCs w:val="20"/>
              </w:rPr>
              <w:t xml:space="preserve"> </w:t>
            </w:r>
            <w:r w:rsidRPr="009354B0">
              <w:rPr>
                <w:rFonts w:asciiTheme="minorHAnsi" w:hAnsiTheme="minorHAnsi" w:cstheme="minorHAnsi"/>
                <w:bCs/>
                <w:sz w:val="20"/>
                <w:szCs w:val="20"/>
              </w:rPr>
              <w:t>min. 32GB pamięci niewspółdzielonej graficzna</w:t>
            </w:r>
            <w:r>
              <w:rPr>
                <w:rFonts w:asciiTheme="minorHAnsi" w:hAnsiTheme="minorHAnsi" w:cstheme="minorHAnsi"/>
                <w:bCs/>
                <w:sz w:val="20"/>
                <w:szCs w:val="20"/>
              </w:rPr>
              <w:t xml:space="preserve"> posiadająca min. 12000 rdzeni CUDA i</w:t>
            </w:r>
            <w:r w:rsidRPr="009354B0">
              <w:rPr>
                <w:rFonts w:asciiTheme="minorHAnsi" w:hAnsiTheme="minorHAnsi" w:cstheme="minorHAnsi"/>
                <w:bCs/>
                <w:sz w:val="20"/>
                <w:szCs w:val="20"/>
              </w:rPr>
              <w:t xml:space="preserve"> osiągająca w teście Passmark G3D Mark, w kategorii Average G3D Mark wynik co najmniej 23300 pkt. według wyników opublikowanych na stronie </w:t>
            </w:r>
            <w:hyperlink r:id="rId9" w:history="1">
              <w:r w:rsidRPr="009354B0">
                <w:rPr>
                  <w:rStyle w:val="Hipercze"/>
                  <w:rFonts w:asciiTheme="minorHAnsi" w:hAnsiTheme="minorHAnsi" w:cstheme="minorHAnsi"/>
                  <w:bCs/>
                  <w:sz w:val="20"/>
                  <w:szCs w:val="20"/>
                </w:rPr>
                <w:t>https://www.videocardbenchmark.net/gpu_list.php</w:t>
              </w:r>
            </w:hyperlink>
            <w:r w:rsidRPr="009354B0">
              <w:rPr>
                <w:rFonts w:asciiTheme="minorHAnsi" w:hAnsiTheme="minorHAnsi" w:cstheme="minorHAnsi"/>
                <w:bCs/>
                <w:sz w:val="20"/>
                <w:szCs w:val="20"/>
              </w:rPr>
              <w:t xml:space="preserve"> </w:t>
            </w:r>
          </w:p>
        </w:tc>
        <w:tc>
          <w:tcPr>
            <w:tcW w:w="3678" w:type="dxa"/>
          </w:tcPr>
          <w:p w14:paraId="3AD7CCC7" w14:textId="2B1A75B0"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4C4B92F6" w14:textId="3E124741" w:rsidTr="00B712B1">
        <w:tc>
          <w:tcPr>
            <w:tcW w:w="1650" w:type="dxa"/>
            <w:shd w:val="clear" w:color="auto" w:fill="auto"/>
          </w:tcPr>
          <w:p w14:paraId="61051C9F"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Wyposażenie multimedialne</w:t>
            </w:r>
          </w:p>
        </w:tc>
        <w:tc>
          <w:tcPr>
            <w:tcW w:w="5304" w:type="dxa"/>
            <w:shd w:val="clear" w:color="auto" w:fill="auto"/>
          </w:tcPr>
          <w:p w14:paraId="1C27DC3A" w14:textId="71B5AE9E" w:rsidR="00D350F1" w:rsidRPr="009354B0" w:rsidRDefault="00D350F1" w:rsidP="00D350F1">
            <w:pPr>
              <w:spacing w:after="0" w:line="240" w:lineRule="auto"/>
              <w:jc w:val="both"/>
              <w:rPr>
                <w:rFonts w:asciiTheme="minorHAnsi" w:hAnsiTheme="minorHAnsi" w:cstheme="minorHAnsi"/>
                <w:b/>
                <w:color w:val="00B050"/>
                <w:sz w:val="20"/>
                <w:szCs w:val="20"/>
              </w:rPr>
            </w:pPr>
            <w:r w:rsidRPr="009354B0">
              <w:rPr>
                <w:rFonts w:asciiTheme="minorHAnsi" w:hAnsiTheme="minorHAnsi" w:cstheme="minorHAnsi"/>
                <w:bCs/>
                <w:sz w:val="20"/>
                <w:szCs w:val="20"/>
              </w:rPr>
              <w:t>Karta dźwiękowa zintegrowana z płytą główną, zgodna z High Definition. Port słuchawek i mikrofonu na przednim panelu, dopuszcza się rozwiązanie port combo, na tylnym panelu min. port audio line out.</w:t>
            </w:r>
          </w:p>
          <w:p w14:paraId="40385617" w14:textId="46F3E9E7" w:rsidR="00D350F1" w:rsidRPr="009354B0" w:rsidRDefault="00D350F1" w:rsidP="00D350F1">
            <w:pPr>
              <w:spacing w:after="0" w:line="240" w:lineRule="auto"/>
              <w:jc w:val="both"/>
              <w:rPr>
                <w:rFonts w:asciiTheme="minorHAnsi" w:hAnsiTheme="minorHAnsi" w:cstheme="minorHAnsi"/>
                <w:b/>
                <w:color w:val="00B050"/>
                <w:sz w:val="20"/>
                <w:szCs w:val="20"/>
              </w:rPr>
            </w:pPr>
            <w:r w:rsidRPr="009354B0">
              <w:rPr>
                <w:rFonts w:asciiTheme="minorHAnsi" w:hAnsiTheme="minorHAnsi" w:cstheme="minorHAnsi"/>
                <w:bCs/>
                <w:sz w:val="20"/>
                <w:szCs w:val="20"/>
              </w:rPr>
              <w:t>Wbudowany czytnik kart multimedialnych SD 4.0 na przednim panelu obudowy (nie dopuszcza się zewnętrznych czytników USB), niezajmujący wnęki 5.25”.</w:t>
            </w:r>
          </w:p>
        </w:tc>
        <w:tc>
          <w:tcPr>
            <w:tcW w:w="3678" w:type="dxa"/>
          </w:tcPr>
          <w:p w14:paraId="5E4469B8" w14:textId="37257536"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0D08DD39" w14:textId="6FF42B88" w:rsidTr="00B712B1">
        <w:trPr>
          <w:trHeight w:val="625"/>
        </w:trPr>
        <w:tc>
          <w:tcPr>
            <w:tcW w:w="1650" w:type="dxa"/>
            <w:shd w:val="clear" w:color="auto" w:fill="auto"/>
          </w:tcPr>
          <w:p w14:paraId="0A51C2B5"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Obudowa</w:t>
            </w:r>
          </w:p>
        </w:tc>
        <w:tc>
          <w:tcPr>
            <w:tcW w:w="5304" w:type="dxa"/>
            <w:shd w:val="clear" w:color="auto" w:fill="auto"/>
          </w:tcPr>
          <w:p w14:paraId="7DA75D56" w14:textId="17786390"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Typu Tower z obsługą kart wyłącznie o pełnej wysokości. Napęd optyczny zamontowany w dedykowanej wnęce zewnętrznej 5.25” typu slim. Obudowa fabrycznie przystosowana do pracy w orientacji pionowej. Suma wymiarów obudowy nieprzekraczająca 1225 mm.</w:t>
            </w:r>
          </w:p>
          <w:p w14:paraId="4AEB4170" w14:textId="7BE3D7B5"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Zasilacz o mocy min. 1400W pracujący w sieci 230V 50/60Hz prądu zmiennego o efektywności min. 90% przy obciążeniu zasilacza na poziomie 50%.</w:t>
            </w:r>
          </w:p>
          <w:p w14:paraId="2C8F359F" w14:textId="5A4C8D25" w:rsidR="00D350F1" w:rsidRPr="009354B0" w:rsidRDefault="00D350F1" w:rsidP="00D350F1">
            <w:pPr>
              <w:spacing w:after="0" w:line="240" w:lineRule="auto"/>
              <w:jc w:val="both"/>
              <w:rPr>
                <w:rFonts w:asciiTheme="minorHAnsi" w:hAnsiTheme="minorHAnsi" w:cstheme="minorHAnsi"/>
                <w:bCs/>
                <w:color w:val="FF0000"/>
                <w:sz w:val="20"/>
                <w:szCs w:val="20"/>
              </w:rPr>
            </w:pPr>
            <w:r w:rsidRPr="009354B0">
              <w:rPr>
                <w:rFonts w:asciiTheme="minorHAnsi" w:hAnsiTheme="minorHAnsi" w:cstheme="minorHAnsi"/>
                <w:bCs/>
                <w:sz w:val="20"/>
                <w:szCs w:val="20"/>
              </w:rPr>
              <w:t>Zasilacz w oferowanym komputerze musi się znajdować na stronie</w:t>
            </w:r>
            <w:r w:rsidRPr="009354B0">
              <w:rPr>
                <w:rFonts w:asciiTheme="minorHAnsi" w:hAnsiTheme="minorHAnsi" w:cstheme="minorHAnsi"/>
                <w:bCs/>
                <w:color w:val="FF0000"/>
                <w:sz w:val="20"/>
                <w:szCs w:val="20"/>
              </w:rPr>
              <w:t xml:space="preserve"> </w:t>
            </w:r>
            <w:hyperlink r:id="rId10" w:history="1">
              <w:r w:rsidRPr="009354B0">
                <w:rPr>
                  <w:rStyle w:val="Hipercze"/>
                  <w:rFonts w:asciiTheme="minorHAnsi" w:hAnsiTheme="minorHAnsi" w:cstheme="minorHAnsi"/>
                  <w:bCs/>
                  <w:sz w:val="20"/>
                  <w:szCs w:val="20"/>
                </w:rPr>
                <w:t>http://www.plugloadsolutions.com/80pluspowersupplies.aspx</w:t>
              </w:r>
            </w:hyperlink>
            <w:r w:rsidRPr="009354B0">
              <w:rPr>
                <w:rFonts w:asciiTheme="minorHAnsi" w:hAnsiTheme="minorHAnsi" w:cstheme="minorHAnsi"/>
                <w:bCs/>
                <w:color w:val="FF0000"/>
                <w:sz w:val="20"/>
                <w:szCs w:val="20"/>
              </w:rPr>
              <w:t xml:space="preserve"> </w:t>
            </w:r>
            <w:r w:rsidRPr="009354B0">
              <w:rPr>
                <w:rFonts w:asciiTheme="minorHAnsi" w:hAnsiTheme="minorHAnsi" w:cstheme="minorHAnsi"/>
                <w:bCs/>
                <w:sz w:val="20"/>
                <w:szCs w:val="20"/>
              </w:rPr>
              <w:t>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bez konieczności użycia narzędzi (wyklucza się użycia wkrętów, śrub motylkowych, śrub radełkowych). Obudowa posiadająca czujnik otwarcia obudowy współpracujący z oprogramowaniem zarządzająco – diagnostycznym</w:t>
            </w:r>
            <w:r w:rsidRPr="009354B0">
              <w:rPr>
                <w:rFonts w:asciiTheme="minorHAnsi" w:hAnsiTheme="minorHAnsi" w:cstheme="minorHAnsi"/>
                <w:bCs/>
                <w:color w:val="00B050"/>
                <w:sz w:val="20"/>
                <w:szCs w:val="20"/>
              </w:rPr>
              <w:t xml:space="preserve">. </w:t>
            </w:r>
            <w:r w:rsidRPr="009354B0">
              <w:rPr>
                <w:rFonts w:asciiTheme="minorHAnsi" w:hAnsiTheme="minorHAnsi" w:cstheme="minorHAnsi"/>
                <w:bCs/>
                <w:sz w:val="20"/>
                <w:szCs w:val="20"/>
              </w:rPr>
              <w:t>Obudowa musi umożliwiać zastosowanie zabezpieczenia fizycznego w postaci linki metalowej.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TPM,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3678" w:type="dxa"/>
          </w:tcPr>
          <w:p w14:paraId="053701A9" w14:textId="0B7D65AC"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6B1BE2D1" w14:textId="55C0EB60" w:rsidTr="00B712B1">
        <w:trPr>
          <w:trHeight w:val="2416"/>
        </w:trPr>
        <w:tc>
          <w:tcPr>
            <w:tcW w:w="1650" w:type="dxa"/>
            <w:shd w:val="clear" w:color="auto" w:fill="auto"/>
          </w:tcPr>
          <w:p w14:paraId="281B799F"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Bezpieczeństwo</w:t>
            </w:r>
          </w:p>
        </w:tc>
        <w:tc>
          <w:tcPr>
            <w:tcW w:w="5304" w:type="dxa"/>
            <w:shd w:val="clear" w:color="auto" w:fill="auto"/>
          </w:tcPr>
          <w:p w14:paraId="69C700E5"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75878590" w14:textId="59327231"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 jak i pobierania oraz instalowania np. w pamięci flash BIOS.</w:t>
            </w:r>
            <w:r>
              <w:rPr>
                <w:rFonts w:asciiTheme="minorHAnsi" w:hAnsiTheme="minorHAnsi" w:cstheme="minorHAnsi"/>
                <w:bCs/>
                <w:sz w:val="20"/>
                <w:szCs w:val="20"/>
              </w:rPr>
              <w:t xml:space="preserve"> </w:t>
            </w:r>
            <w:r w:rsidRPr="009354B0">
              <w:rPr>
                <w:rFonts w:asciiTheme="minorHAnsi" w:hAnsiTheme="minorHAnsi" w:cstheme="minorHAnsi"/>
                <w:bCs/>
                <w:sz w:val="20"/>
                <w:szCs w:val="20"/>
              </w:rPr>
              <w:t>Procedura POST traktowana jest jako oddzielna funkcjonalność.</w:t>
            </w:r>
          </w:p>
        </w:tc>
        <w:tc>
          <w:tcPr>
            <w:tcW w:w="3678" w:type="dxa"/>
          </w:tcPr>
          <w:p w14:paraId="6512A96D" w14:textId="26DE1B9D"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5A546F10" w14:textId="20939348" w:rsidTr="00B712B1">
        <w:tc>
          <w:tcPr>
            <w:tcW w:w="1650" w:type="dxa"/>
            <w:shd w:val="clear" w:color="auto" w:fill="auto"/>
          </w:tcPr>
          <w:p w14:paraId="27D94F5C"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BIOS</w:t>
            </w:r>
          </w:p>
        </w:tc>
        <w:tc>
          <w:tcPr>
            <w:tcW w:w="5304" w:type="dxa"/>
            <w:shd w:val="clear" w:color="auto" w:fill="auto"/>
          </w:tcPr>
          <w:p w14:paraId="56C63165" w14:textId="710E598E"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kontrolerze audio.</w:t>
            </w:r>
          </w:p>
          <w:p w14:paraId="1BDCA476" w14:textId="19621B3F" w:rsidR="00D350F1" w:rsidRPr="009354B0" w:rsidRDefault="00D350F1" w:rsidP="00D350F1">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9354B0">
              <w:rPr>
                <w:rFonts w:asciiTheme="minorHAnsi" w:hAnsiTheme="minorHAnsi"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63BC0040" w14:textId="793E1A99" w:rsidR="00D350F1" w:rsidRPr="009354B0" w:rsidRDefault="00D350F1" w:rsidP="00D350F1">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9354B0">
              <w:rPr>
                <w:rFonts w:asciiTheme="minorHAnsi" w:hAnsiTheme="minorHAnsi" w:cstheme="minorHAnsi"/>
                <w:bCs/>
                <w:sz w:val="20"/>
                <w:szCs w:val="20"/>
              </w:rPr>
              <w:t>Możliwość ustawienia z poziomu BIOS hasła użytkownika (składającego się z cyfr, małych liter</w:t>
            </w:r>
            <w:r>
              <w:rPr>
                <w:rFonts w:asciiTheme="minorHAnsi" w:hAnsiTheme="minorHAnsi" w:cstheme="minorHAnsi"/>
                <w:bCs/>
                <w:sz w:val="20"/>
                <w:szCs w:val="20"/>
              </w:rPr>
              <w:t>,</w:t>
            </w:r>
            <w:r w:rsidRPr="009354B0">
              <w:rPr>
                <w:rFonts w:asciiTheme="minorHAnsi" w:hAnsiTheme="minorHAnsi" w:cstheme="minorHAnsi"/>
                <w:bCs/>
                <w:sz w:val="20"/>
                <w:szCs w:val="20"/>
              </w:rPr>
              <w:t xml:space="preserve">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59F710CB" w14:textId="271DF938" w:rsidR="00D350F1" w:rsidRPr="009354B0" w:rsidRDefault="00D350F1" w:rsidP="00D350F1">
            <w:pPr>
              <w:widowControl w:val="0"/>
              <w:autoSpaceDE w:val="0"/>
              <w:autoSpaceDN w:val="0"/>
              <w:adjustRightInd w:val="0"/>
              <w:spacing w:after="0" w:line="240" w:lineRule="auto"/>
              <w:ind w:right="50"/>
              <w:rPr>
                <w:rFonts w:asciiTheme="minorHAnsi" w:hAnsiTheme="minorHAnsi" w:cstheme="minorHAnsi"/>
                <w:bCs/>
                <w:sz w:val="20"/>
                <w:szCs w:val="20"/>
              </w:rPr>
            </w:pPr>
            <w:r w:rsidRPr="009354B0">
              <w:rPr>
                <w:rFonts w:asciiTheme="minorHAnsi" w:hAnsiTheme="minorHAnsi" w:cstheme="minorHAnsi"/>
                <w:bCs/>
                <w:sz w:val="20"/>
                <w:szCs w:val="20"/>
              </w:rPr>
              <w:t>Dedykowane w BIOS pole Asset Tag/numeru inwentarzowego umożliwiająca wpisanie oznaczenia sprzętu bezpośrednio z poziomu BIOS bez konieczności wykorzystywania dodatkowego oprogramowania. Pole Asset Tag/numeru inwentarzowego po nadaniu numeru nie może być edytowalne w BIOS  i nie może ulegać skasowaniu np. po aktualizacji BIOS.</w:t>
            </w:r>
          </w:p>
          <w:p w14:paraId="39B7C6DA" w14:textId="70EF35B3" w:rsidR="00D350F1" w:rsidRPr="009354B0" w:rsidRDefault="00D350F1" w:rsidP="00D350F1">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9354B0">
              <w:rPr>
                <w:rFonts w:asciiTheme="minorHAnsi" w:hAnsiTheme="minorHAnsi" w:cstheme="minorHAnsi"/>
                <w:bCs/>
                <w:sz w:val="20"/>
                <w:szCs w:val="20"/>
              </w:rPr>
              <w:t>Funkcja blokowania/odblokowania BOOT-owania stacji roboczej z zewnętrznych urządzeń, możliwość ustawienia portów USB w trybie „no BOOT” (podczas startu komputer nie wykrywa urządzeń bootujących typu USB). Możliwość wyłączania portów USB. 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3678" w:type="dxa"/>
          </w:tcPr>
          <w:p w14:paraId="588604A1" w14:textId="751BF69A"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44F45A06" w14:textId="73AA05C7" w:rsidTr="00B712B1">
        <w:tc>
          <w:tcPr>
            <w:tcW w:w="1650" w:type="dxa"/>
            <w:shd w:val="clear" w:color="auto" w:fill="auto"/>
          </w:tcPr>
          <w:p w14:paraId="0E49611F"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System operacyjny</w:t>
            </w:r>
          </w:p>
        </w:tc>
        <w:tc>
          <w:tcPr>
            <w:tcW w:w="5304" w:type="dxa"/>
            <w:shd w:val="clear" w:color="auto" w:fill="auto"/>
          </w:tcPr>
          <w:p w14:paraId="301F89C0" w14:textId="6106666C"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bdr w:val="none" w:sz="0" w:space="0" w:color="auto" w:frame="1"/>
              </w:rPr>
              <w:t>Zainstalowany system operacyjny Windows 11 Pro for Workstations, klucz licencyjny musi być zapisany trwale w BIOS i umożliwiać instalację systemu operacyjnego bez potrzeby ręcznego wpisywania klucza licencyjnego.</w:t>
            </w:r>
          </w:p>
        </w:tc>
        <w:tc>
          <w:tcPr>
            <w:tcW w:w="3678" w:type="dxa"/>
          </w:tcPr>
          <w:p w14:paraId="5CAC8DC4" w14:textId="1157559B" w:rsidR="00D350F1" w:rsidRPr="009354B0" w:rsidRDefault="00D350F1" w:rsidP="00D350F1">
            <w:pPr>
              <w:spacing w:after="0" w:line="240" w:lineRule="auto"/>
              <w:jc w:val="both"/>
              <w:rPr>
                <w:rFonts w:asciiTheme="minorHAnsi" w:hAnsiTheme="minorHAnsi" w:cstheme="minorHAnsi"/>
                <w:bCs/>
                <w:sz w:val="20"/>
                <w:szCs w:val="20"/>
                <w:bdr w:val="none" w:sz="0" w:space="0" w:color="auto" w:frame="1"/>
              </w:rPr>
            </w:pPr>
            <w:r w:rsidRPr="000E48B4">
              <w:rPr>
                <w:rFonts w:cstheme="minorHAnsi"/>
                <w:b/>
                <w:bCs/>
              </w:rPr>
              <w:t>Spełnia / nie spełnia</w:t>
            </w:r>
          </w:p>
        </w:tc>
      </w:tr>
      <w:tr w:rsidR="00D350F1" w:rsidRPr="009354B0" w14:paraId="0FE4C8A4" w14:textId="6CC8342B" w:rsidTr="00B712B1">
        <w:trPr>
          <w:trHeight w:val="3685"/>
        </w:trPr>
        <w:tc>
          <w:tcPr>
            <w:tcW w:w="1650" w:type="dxa"/>
            <w:shd w:val="clear" w:color="auto" w:fill="auto"/>
          </w:tcPr>
          <w:p w14:paraId="6D2E78C3"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Certyfikaty i standardy</w:t>
            </w:r>
          </w:p>
        </w:tc>
        <w:tc>
          <w:tcPr>
            <w:tcW w:w="5304" w:type="dxa"/>
            <w:shd w:val="clear" w:color="auto" w:fill="auto"/>
          </w:tcPr>
          <w:p w14:paraId="2ADBAFDA" w14:textId="3C4C598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Certyfikat ISO9001 dla producenta sprzętu (załączyć dokument potwierdzający spełnianie wymogu)</w:t>
            </w:r>
          </w:p>
          <w:p w14:paraId="58136CE1" w14:textId="4D77D39A"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Certyfikat ISO50001 dla producenta sprzętu (załączyć dokument potwierdzający spełnianie wymogu)</w:t>
            </w:r>
          </w:p>
          <w:p w14:paraId="08FDA86B" w14:textId="3F331EDB"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Certyfikat ISO14001 dla producenta sprzętu (załączyć dokument potwierdzający spełnianie wymogu)</w:t>
            </w:r>
          </w:p>
          <w:p w14:paraId="48F5FDF6"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Deklaracja zgodności CE (załączyć do oferty)</w:t>
            </w:r>
          </w:p>
          <w:p w14:paraId="02CB1EFE" w14:textId="4351150C"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Certyfikat TCO Certified Desktops 9, wymagana certyfikacja na stronie : </w:t>
            </w:r>
            <w:hyperlink r:id="rId11" w:history="1">
              <w:r w:rsidRPr="009354B0">
                <w:rPr>
                  <w:rStyle w:val="Hipercze"/>
                  <w:rFonts w:asciiTheme="minorHAnsi" w:hAnsiTheme="minorHAnsi" w:cstheme="minorHAnsi"/>
                  <w:bCs/>
                  <w:color w:val="auto"/>
                  <w:sz w:val="20"/>
                  <w:szCs w:val="20"/>
                </w:rPr>
                <w:t>http://tcocertified.com/product-finder/</w:t>
              </w:r>
            </w:hyperlink>
            <w:r w:rsidRPr="009354B0">
              <w:rPr>
                <w:rFonts w:asciiTheme="minorHAnsi" w:hAnsiTheme="minorHAnsi" w:cstheme="minorHAnsi"/>
                <w:bCs/>
                <w:sz w:val="20"/>
                <w:szCs w:val="20"/>
              </w:rPr>
              <w:t>– załączyć do oferty wydruk z strony</w:t>
            </w:r>
          </w:p>
          <w:p w14:paraId="18A13752" w14:textId="4023161C"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Certyfikat EPEAT na poziomie min. Gold dla Polski lub kraju członkowskiego UE, wymagana certyfikacja na stronie: </w:t>
            </w:r>
            <w:hyperlink r:id="rId12" w:history="1">
              <w:r w:rsidRPr="009354B0">
                <w:rPr>
                  <w:rStyle w:val="Hipercze"/>
                  <w:rFonts w:asciiTheme="minorHAnsi" w:hAnsiTheme="minorHAnsi" w:cstheme="minorHAnsi"/>
                  <w:bCs/>
                  <w:color w:val="auto"/>
                  <w:sz w:val="20"/>
                  <w:szCs w:val="20"/>
                </w:rPr>
                <w:t>https://www.epeat.net/search-computers-and-displays</w:t>
              </w:r>
            </w:hyperlink>
            <w:r w:rsidRPr="009354B0">
              <w:rPr>
                <w:rFonts w:asciiTheme="minorHAnsi" w:hAnsiTheme="minorHAnsi" w:cstheme="minorHAnsi"/>
                <w:bCs/>
                <w:sz w:val="20"/>
                <w:szCs w:val="20"/>
              </w:rPr>
              <w:t xml:space="preserve"> </w:t>
            </w:r>
          </w:p>
          <w:p w14:paraId="4570B537" w14:textId="4518E34F"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 (załączyć oświadczenie producenta opatrzone numerem postępowania).</w:t>
            </w:r>
          </w:p>
        </w:tc>
        <w:tc>
          <w:tcPr>
            <w:tcW w:w="3678" w:type="dxa"/>
          </w:tcPr>
          <w:p w14:paraId="57863993" w14:textId="77777777" w:rsidR="00D350F1" w:rsidRPr="009354B0" w:rsidRDefault="00D350F1" w:rsidP="00D350F1">
            <w:pPr>
              <w:spacing w:after="0" w:line="240" w:lineRule="auto"/>
              <w:jc w:val="both"/>
              <w:rPr>
                <w:rFonts w:asciiTheme="minorHAnsi" w:hAnsiTheme="minorHAnsi" w:cstheme="minorHAnsi"/>
                <w:bCs/>
                <w:sz w:val="20"/>
                <w:szCs w:val="20"/>
              </w:rPr>
            </w:pPr>
          </w:p>
        </w:tc>
      </w:tr>
      <w:tr w:rsidR="00D350F1" w:rsidRPr="009354B0" w14:paraId="60CDE38B" w14:textId="20ED7810" w:rsidTr="00B712B1">
        <w:tc>
          <w:tcPr>
            <w:tcW w:w="1650" w:type="dxa"/>
            <w:shd w:val="clear" w:color="auto" w:fill="auto"/>
          </w:tcPr>
          <w:p w14:paraId="3D7446B1" w14:textId="77777777" w:rsidR="00D350F1" w:rsidRPr="009354B0" w:rsidRDefault="00D350F1" w:rsidP="00D350F1">
            <w:pPr>
              <w:spacing w:line="240" w:lineRule="auto"/>
              <w:jc w:val="center"/>
              <w:rPr>
                <w:rFonts w:asciiTheme="minorHAnsi" w:hAnsiTheme="minorHAnsi" w:cstheme="minorHAnsi"/>
                <w:bCs/>
                <w:sz w:val="20"/>
                <w:szCs w:val="20"/>
              </w:rPr>
            </w:pPr>
            <w:r w:rsidRPr="009354B0">
              <w:rPr>
                <w:rFonts w:asciiTheme="minorHAnsi" w:hAnsiTheme="minorHAnsi" w:cstheme="minorHAnsi"/>
                <w:bCs/>
                <w:sz w:val="20"/>
                <w:szCs w:val="20"/>
              </w:rPr>
              <w:t>Wymagania dodatkowe</w:t>
            </w:r>
          </w:p>
        </w:tc>
        <w:tc>
          <w:tcPr>
            <w:tcW w:w="5304" w:type="dxa"/>
            <w:shd w:val="clear" w:color="auto" w:fill="auto"/>
          </w:tcPr>
          <w:p w14:paraId="6D50BDE8" w14:textId="4BF70563"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Złącza, porty  wlutowane w płytę główną i wyprowadzone bezpośrednio na zewnątrz obudowy bez stosowania rozgałęziaczy, hubów, kart rozszerzeń PCIe:</w:t>
            </w:r>
          </w:p>
          <w:p w14:paraId="5B95EA78" w14:textId="2793943C"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 panel przedni:</w:t>
            </w:r>
          </w:p>
          <w:p w14:paraId="69067244" w14:textId="4E1F390C"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 xml:space="preserve">2 x USB 3.2 Gen 1 </w:t>
            </w:r>
          </w:p>
          <w:p w14:paraId="2899B4D9" w14:textId="6FB2FC4E"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 xml:space="preserve">1 x USB 3.2 Typu-C Gen 2x2 </w:t>
            </w:r>
          </w:p>
          <w:p w14:paraId="45B38554" w14:textId="215D0EA4"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1 x USB 3.2 Typu-C Gen 2</w:t>
            </w:r>
          </w:p>
          <w:p w14:paraId="0B1872EC" w14:textId="6C4B5BEA"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1 x Port mikrofonu i słuchawek (port audio combo)</w:t>
            </w:r>
          </w:p>
          <w:p w14:paraId="2C7DD5A2" w14:textId="221213D9"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1 x czytnik kart SD 4.0 (nie dopuszcza się stosowania zewnętrznych czytników USB)</w:t>
            </w:r>
          </w:p>
          <w:p w14:paraId="7F16D4B1" w14:textId="3ED05B84"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 panel tylny:</w:t>
            </w:r>
          </w:p>
          <w:p w14:paraId="6279C6C1" w14:textId="2166124B"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3 x USB 3.2 Typu-C Gen 2</w:t>
            </w:r>
          </w:p>
          <w:p w14:paraId="741E433D" w14:textId="3AFF78CF"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 xml:space="preserve">3 x USB 3.2 Gen 1 </w:t>
            </w:r>
          </w:p>
          <w:p w14:paraId="3677E949" w14:textId="1D81271D"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1 x RJ45 port 1 Gbps</w:t>
            </w:r>
          </w:p>
          <w:p w14:paraId="313D7368" w14:textId="2AB7AAE2"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1 x RJ45 port 10 Gbps</w:t>
            </w:r>
          </w:p>
          <w:p w14:paraId="6307045A" w14:textId="2E45BA07"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1 x wyjście audio (port audio line out)</w:t>
            </w:r>
          </w:p>
          <w:p w14:paraId="7C8E2494" w14:textId="77777777" w:rsidR="00D350F1" w:rsidRPr="009354B0" w:rsidRDefault="00D350F1" w:rsidP="00D350F1">
            <w:pPr>
              <w:spacing w:after="0" w:line="240" w:lineRule="auto"/>
              <w:jc w:val="both"/>
              <w:rPr>
                <w:rFonts w:asciiTheme="minorHAnsi" w:hAnsiTheme="minorHAnsi" w:cstheme="minorHAnsi"/>
                <w:bCs/>
                <w:sz w:val="20"/>
                <w:szCs w:val="20"/>
                <w:lang w:val="en-US"/>
              </w:rPr>
            </w:pPr>
          </w:p>
          <w:p w14:paraId="4DF09405" w14:textId="2A903EC7"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 xml:space="preserve">1x Line-out audio </w:t>
            </w:r>
          </w:p>
          <w:p w14:paraId="15C2A143" w14:textId="57855CCC"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3x USB 3.2 Gen 1 (5 Gbps)</w:t>
            </w:r>
          </w:p>
          <w:p w14:paraId="3DE76686" w14:textId="66651518"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 xml:space="preserve">3x USB 3.2 Type-C Gen 2 (10 Gbps) </w:t>
            </w:r>
          </w:p>
          <w:p w14:paraId="5A53AD7E" w14:textId="221A6E71"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1x RJ45 port 1 Gbps</w:t>
            </w:r>
          </w:p>
          <w:p w14:paraId="39068C46" w14:textId="64A90394" w:rsidR="00D350F1" w:rsidRPr="009354B0" w:rsidRDefault="00D350F1" w:rsidP="00D350F1">
            <w:pPr>
              <w:spacing w:after="0" w:line="240" w:lineRule="auto"/>
              <w:jc w:val="both"/>
              <w:rPr>
                <w:rFonts w:asciiTheme="minorHAnsi" w:hAnsiTheme="minorHAnsi" w:cstheme="minorHAnsi"/>
                <w:bCs/>
                <w:sz w:val="20"/>
                <w:szCs w:val="20"/>
                <w:lang w:val="en-US"/>
              </w:rPr>
            </w:pPr>
            <w:r w:rsidRPr="009354B0">
              <w:rPr>
                <w:rFonts w:asciiTheme="minorHAnsi" w:hAnsiTheme="minorHAnsi" w:cstheme="minorHAnsi"/>
                <w:bCs/>
                <w:sz w:val="20"/>
                <w:szCs w:val="20"/>
                <w:lang w:val="en-US"/>
              </w:rPr>
              <w:t>1x RJ45 port 10 Gbps</w:t>
            </w:r>
          </w:p>
          <w:p w14:paraId="42FB31F0" w14:textId="38ECEE22"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2 x PS2</w:t>
            </w:r>
          </w:p>
          <w:p w14:paraId="68556103" w14:textId="6D87C8BD" w:rsidR="00D350F1" w:rsidRPr="00D12F47" w:rsidRDefault="00D350F1" w:rsidP="00D350F1">
            <w:pPr>
              <w:spacing w:after="0" w:line="240" w:lineRule="auto"/>
              <w:jc w:val="both"/>
              <w:rPr>
                <w:rFonts w:asciiTheme="minorHAnsi" w:hAnsiTheme="minorHAnsi" w:cstheme="minorHAnsi"/>
                <w:bCs/>
                <w:sz w:val="20"/>
                <w:szCs w:val="20"/>
              </w:rPr>
            </w:pPr>
            <w:r w:rsidRPr="00D12F47">
              <w:rPr>
                <w:rFonts w:asciiTheme="minorHAnsi" w:hAnsiTheme="minorHAnsi" w:cstheme="minorHAnsi"/>
                <w:bCs/>
                <w:sz w:val="20"/>
                <w:szCs w:val="20"/>
              </w:rPr>
              <w:t xml:space="preserve">1 x RS232 </w:t>
            </w:r>
          </w:p>
          <w:p w14:paraId="678D42FA" w14:textId="7AE284B0"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Płyta główna zaprojektowana i wyprodukowana na zlecenie producenta komputera, trwale oznaczona na etapie produkcji logiem producenta oferowanej jednostki, dedykowana dla danego urządzenia, w pełni obsługująca pamięci ECC wyposażona w: 2 x PCIe x16 gen 5, 2 x PCIe x16 gen 4, </w:t>
            </w:r>
            <w:r w:rsidRPr="009354B0">
              <w:rPr>
                <w:rFonts w:asciiTheme="minorHAnsi" w:hAnsiTheme="minorHAnsi" w:cstheme="minorHAnsi"/>
                <w:bCs/>
                <w:color w:val="FF0000"/>
                <w:sz w:val="20"/>
                <w:szCs w:val="20"/>
              </w:rPr>
              <w:t xml:space="preserve"> </w:t>
            </w:r>
            <w:r w:rsidRPr="009354B0">
              <w:rPr>
                <w:rFonts w:asciiTheme="minorHAnsi" w:hAnsiTheme="minorHAnsi" w:cstheme="minorHAnsi"/>
                <w:bCs/>
                <w:sz w:val="20"/>
                <w:szCs w:val="20"/>
              </w:rPr>
              <w:t>2 x PCIe x8 gen 4, 2 x PCIe x4 gen 4,  16 x DIMM DDR5, 8 x SATA. Zintegrowany z płytą główną kontroler RAID 0/1/5/10 dla dysków SATA.</w:t>
            </w:r>
          </w:p>
          <w:p w14:paraId="314F529A"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Klawiatura USB w układzie polski programisty </w:t>
            </w:r>
          </w:p>
          <w:p w14:paraId="4B20B95C" w14:textId="6A8A867B"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Mysz optyczna USB z dwoma klawiszami oraz rolką (scroll) </w:t>
            </w:r>
          </w:p>
          <w:p w14:paraId="4173C8FA" w14:textId="5F561BD6"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Nagrywarka DVD +/-RW o prędkości min. 8x</w:t>
            </w:r>
            <w:r w:rsidRPr="009354B0">
              <w:rPr>
                <w:rFonts w:asciiTheme="minorHAnsi" w:hAnsiTheme="minorHAnsi" w:cstheme="minorHAnsi"/>
                <w:b/>
                <w:bCs/>
                <w:sz w:val="20"/>
                <w:szCs w:val="20"/>
              </w:rPr>
              <w:t xml:space="preserve"> </w:t>
            </w:r>
          </w:p>
          <w:p w14:paraId="09536ECA"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Opakowanie musi być wykonane z materiałów podlegających powtórnemu przetworzeniu.</w:t>
            </w:r>
          </w:p>
        </w:tc>
        <w:tc>
          <w:tcPr>
            <w:tcW w:w="3678" w:type="dxa"/>
          </w:tcPr>
          <w:p w14:paraId="5123BB54" w14:textId="450C8ED2"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5A1F7747" w14:textId="20517D38" w:rsidTr="00B712B1">
        <w:tc>
          <w:tcPr>
            <w:tcW w:w="1650" w:type="dxa"/>
            <w:shd w:val="clear" w:color="auto" w:fill="auto"/>
          </w:tcPr>
          <w:p w14:paraId="559F331F" w14:textId="77777777" w:rsidR="00D350F1" w:rsidRPr="009354B0" w:rsidRDefault="00D350F1" w:rsidP="00D350F1">
            <w:pPr>
              <w:spacing w:after="0"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Wsparcie techniczne producenta</w:t>
            </w:r>
          </w:p>
        </w:tc>
        <w:tc>
          <w:tcPr>
            <w:tcW w:w="5304" w:type="dxa"/>
            <w:shd w:val="clear" w:color="auto" w:fill="auto"/>
          </w:tcPr>
          <w:p w14:paraId="57790E1E" w14:textId="77777777" w:rsidR="00D350F1" w:rsidRPr="009354B0" w:rsidRDefault="00D350F1" w:rsidP="00D350F1">
            <w:pPr>
              <w:spacing w:after="0"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3678" w:type="dxa"/>
          </w:tcPr>
          <w:p w14:paraId="713D8D8E" w14:textId="4277F0D0" w:rsidR="00D350F1" w:rsidRPr="009354B0" w:rsidRDefault="00D350F1" w:rsidP="00D350F1">
            <w:pPr>
              <w:spacing w:after="0" w:line="240" w:lineRule="auto"/>
              <w:jc w:val="both"/>
              <w:rPr>
                <w:rFonts w:asciiTheme="minorHAnsi" w:hAnsiTheme="minorHAnsi" w:cstheme="minorHAnsi"/>
                <w:bCs/>
                <w:sz w:val="20"/>
                <w:szCs w:val="20"/>
              </w:rPr>
            </w:pPr>
            <w:r w:rsidRPr="000E48B4">
              <w:rPr>
                <w:rFonts w:cstheme="minorHAnsi"/>
                <w:b/>
                <w:bCs/>
              </w:rPr>
              <w:t>Spełnia / nie spełnia</w:t>
            </w:r>
          </w:p>
        </w:tc>
      </w:tr>
      <w:tr w:rsidR="00D350F1" w:rsidRPr="009354B0" w14:paraId="5F4A10C7" w14:textId="4EC8122C" w:rsidTr="00B712B1">
        <w:tc>
          <w:tcPr>
            <w:tcW w:w="1650" w:type="dxa"/>
            <w:shd w:val="clear" w:color="auto" w:fill="auto"/>
          </w:tcPr>
          <w:p w14:paraId="042FCB98" w14:textId="77777777" w:rsidR="00D350F1" w:rsidRPr="009354B0" w:rsidRDefault="00D350F1" w:rsidP="00D350F1">
            <w:pPr>
              <w:spacing w:line="240" w:lineRule="auto"/>
              <w:jc w:val="center"/>
              <w:rPr>
                <w:rFonts w:asciiTheme="minorHAnsi" w:hAnsiTheme="minorHAnsi" w:cstheme="minorHAnsi"/>
                <w:b/>
                <w:sz w:val="20"/>
                <w:szCs w:val="20"/>
              </w:rPr>
            </w:pPr>
            <w:r w:rsidRPr="009354B0">
              <w:rPr>
                <w:rFonts w:asciiTheme="minorHAnsi" w:hAnsiTheme="minorHAnsi" w:cstheme="minorHAnsi"/>
                <w:b/>
                <w:sz w:val="20"/>
                <w:szCs w:val="20"/>
              </w:rPr>
              <w:t>Warunki gwarancji</w:t>
            </w:r>
          </w:p>
        </w:tc>
        <w:tc>
          <w:tcPr>
            <w:tcW w:w="5304" w:type="dxa"/>
            <w:shd w:val="clear" w:color="auto" w:fill="auto"/>
          </w:tcPr>
          <w:p w14:paraId="38A22FCE" w14:textId="08C19CF1"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Firma serwisująca musi posiadać ISO 9001 na świadczenie usług serwisowych oraz posiadać autoryzacje producenta urządzeń – dokumenty potwierdzające należy załączyć do oferty.</w:t>
            </w:r>
          </w:p>
          <w:p w14:paraId="4110C468" w14:textId="0576C3F3"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Wymagane dołączenie do oferty oświadczenia Producenta potwierdzając,</w:t>
            </w:r>
            <w:r>
              <w:rPr>
                <w:rFonts w:asciiTheme="minorHAnsi" w:hAnsiTheme="minorHAnsi" w:cstheme="minorHAnsi"/>
                <w:sz w:val="20"/>
                <w:szCs w:val="20"/>
              </w:rPr>
              <w:t xml:space="preserve"> </w:t>
            </w:r>
            <w:r w:rsidRPr="009354B0">
              <w:rPr>
                <w:rFonts w:asciiTheme="minorHAnsi" w:hAnsiTheme="minorHAnsi" w:cstheme="minorHAnsi"/>
                <w:sz w:val="20"/>
                <w:szCs w:val="20"/>
              </w:rPr>
              <w:t>że Serwis urządzeń będzie realizowany bezpośrednio przez Producenta i/lub we współpracy z Autoryzowanym Partnerem Serwisowym Producenta.</w:t>
            </w:r>
          </w:p>
          <w:p w14:paraId="60C8114F" w14:textId="03469A19" w:rsidR="00D350F1" w:rsidRPr="009354B0" w:rsidRDefault="00D350F1" w:rsidP="00D350F1">
            <w:pPr>
              <w:spacing w:after="0" w:line="240" w:lineRule="auto"/>
              <w:jc w:val="both"/>
              <w:rPr>
                <w:rFonts w:asciiTheme="minorHAnsi" w:hAnsiTheme="minorHAnsi" w:cstheme="minorHAnsi"/>
                <w:sz w:val="20"/>
                <w:szCs w:val="20"/>
              </w:rPr>
            </w:pPr>
            <w:r>
              <w:rPr>
                <w:rFonts w:asciiTheme="minorHAnsi" w:hAnsiTheme="minorHAnsi" w:cstheme="minorHAnsi"/>
                <w:sz w:val="20"/>
                <w:szCs w:val="20"/>
              </w:rPr>
              <w:t>5 letnia gwarancja świadczona przez producenta sprzętu. Po dostawie zostanie zweryfikowany okres gwarancji w systemie producenta.</w:t>
            </w:r>
          </w:p>
          <w:p w14:paraId="49DDFF10" w14:textId="77777777"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Sposób realizacji usług wsparcia technicznego:</w:t>
            </w:r>
          </w:p>
          <w:p w14:paraId="648EE8F2" w14:textId="77777777" w:rsidR="00D350F1" w:rsidRPr="009354B0" w:rsidRDefault="00D350F1" w:rsidP="00D350F1">
            <w:pPr>
              <w:pStyle w:val="Akapitzlist"/>
              <w:numPr>
                <w:ilvl w:val="0"/>
                <w:numId w:val="19"/>
              </w:num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Telefoniczne zgłaszanie usterek w trybie 24h / dobę, 7 dni w tygodniu (w języku polskim w dni robocze w godz. 8-17).</w:t>
            </w:r>
          </w:p>
          <w:p w14:paraId="598B677A" w14:textId="77777777" w:rsidR="00D350F1" w:rsidRPr="009354B0" w:rsidRDefault="00D350F1" w:rsidP="00D350F1">
            <w:pPr>
              <w:pStyle w:val="Akapitzlist"/>
              <w:numPr>
                <w:ilvl w:val="0"/>
                <w:numId w:val="19"/>
              </w:num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Dostęp do bezpłatnego portalu technicznego producenta, który umożliwi zamawianie części zamiennych i/lub wizyt technika serwisowego, mający na celu przyśpieszenie procesu diagnostyki i skrócenia czasu usunięcia usterki.</w:t>
            </w:r>
          </w:p>
          <w:p w14:paraId="540D8BCF" w14:textId="77777777" w:rsidR="00D350F1" w:rsidRPr="009354B0" w:rsidRDefault="00D350F1" w:rsidP="00D350F1">
            <w:pPr>
              <w:pStyle w:val="Akapitzlist"/>
              <w:numPr>
                <w:ilvl w:val="0"/>
                <w:numId w:val="19"/>
              </w:num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Opcjonalna pomoc techniczna za pośrednictwem czat online.</w:t>
            </w:r>
          </w:p>
          <w:p w14:paraId="26B971E5" w14:textId="77777777"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Wsparcie techniczne świadczone przez pracowników producenta urządzeń dla sprzętu i wybranego oprogramowania OEM, zakupionego z urządzeniem, dostarczane zdalnie lub w miejscu instalacji urządzenia, w zależności od rodzaju zgłaszanej awarii. </w:t>
            </w:r>
          </w:p>
          <w:p w14:paraId="33533509" w14:textId="07F5636C"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1A2661C1" w14:textId="77777777"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Możliwość sprawdzenia aktualnego okresu i poziomu wsparcia technicznego dla urządzeń za pośrednictwem strony internetowej producenta.</w:t>
            </w:r>
          </w:p>
          <w:p w14:paraId="4D80E787" w14:textId="02CEE57F"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Możliwość pobrania aktualnych wersji sterowników oraz firmware urządzenia za pośrednictwem strony internetowej producenta również dla urządzeń z nieaktywnym wsparciem technicznym.</w:t>
            </w:r>
          </w:p>
          <w:p w14:paraId="653F0BA5" w14:textId="77777777"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Przydzielenie zasobu w postaci kierownika technicznego w przypadku eskalacji problemów serwisowych.</w:t>
            </w:r>
          </w:p>
          <w:p w14:paraId="3EAE9E78" w14:textId="77777777" w:rsidR="00D350F1" w:rsidRPr="009354B0" w:rsidRDefault="00D350F1" w:rsidP="00D350F1">
            <w:pPr>
              <w:spacing w:after="0"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Dostawca zapewni bezpłatne oprogramowanie do automatycznej diagnostyki, zdalnego zgłaszania awarii do serwisu i automatycznego zakładania zgłoszeń serwisowych. </w:t>
            </w:r>
          </w:p>
          <w:p w14:paraId="5F5555C5" w14:textId="7D0717B2" w:rsidR="00D350F1" w:rsidRPr="009354B0" w:rsidRDefault="00D350F1" w:rsidP="00D350F1">
            <w:pPr>
              <w:spacing w:line="240" w:lineRule="auto"/>
              <w:jc w:val="both"/>
              <w:rPr>
                <w:rFonts w:asciiTheme="minorHAnsi" w:hAnsiTheme="minorHAnsi" w:cstheme="minorHAnsi"/>
                <w:b/>
                <w:bCs/>
                <w:color w:val="FF0000"/>
                <w:sz w:val="20"/>
                <w:szCs w:val="20"/>
              </w:rPr>
            </w:pPr>
          </w:p>
          <w:p w14:paraId="67C85E99"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Zamawiający wymaga narzędzia do zarządzania zgłoszeniami serwisowymi samodzielnie przez portal internetowy lub inne narzędzie nie wymagające działań po stronie dostawcy. Narzędzie powinno umożliwiać:</w:t>
            </w:r>
          </w:p>
          <w:p w14:paraId="0CE21357"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samodzielne wystawianie zgłoszeń serwisowych, śledzenie stanu zgłoszenia, komunikację z serwisem producenta przez edycję zlecenia i stanu zlecenia</w:t>
            </w:r>
          </w:p>
          <w:p w14:paraId="580C9877"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dostęp do materiałów serwisowych - co najmniej podręczników serwisowych i not serwisowych</w:t>
            </w:r>
          </w:p>
          <w:p w14:paraId="7641FF58"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dostęp do materiałów szkoleniowych</w:t>
            </w:r>
          </w:p>
          <w:p w14:paraId="5CEDC54F"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 możliwości dodawania plików do otwieranego lub otwartego zlecenia (zdjęcia uszkodzeń, opisy etc.) </w:t>
            </w:r>
          </w:p>
          <w:p w14:paraId="28B748BC"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 śledzenie historii zleceń - raporty ze zleceń, historia - dla poszczególnych zleceń lub dla poszczególnych komputerów </w:t>
            </w:r>
          </w:p>
          <w:p w14:paraId="1A6E1064"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 możliwość samodzielnego zarządzania wysyłką części (decyzja o zamówieniu części zamiennych i diagnostyka po stronie zamawiającego) </w:t>
            </w:r>
          </w:p>
          <w:p w14:paraId="0B7799BC"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xml:space="preserve">- możliwość rejestrowania i zarządzania zdarzeniami serwisowymi - agregowania zdarzeń z oprogramowania zarządzającego dostarczonego przez producenta, możliwość konwertowania zdarzeń na zgłoszenia serwisowe do producenta - z poziomu narzędzia. </w:t>
            </w:r>
          </w:p>
          <w:p w14:paraId="065166C4"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możliwość spięcia systemu serwisowego producenta z systemem helpdesk zamawiającego (dostępność API co najmniej dla opcji wystawienie zlecenia, sprawdzenie stanu zlecenia, raport zleceń)</w:t>
            </w:r>
          </w:p>
          <w:p w14:paraId="7BE019C8"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tworzenia kont dla inżynierów serwisu z możliwością sprawdzenia statystyk wydajności / jakości ich pracy.</w:t>
            </w:r>
          </w:p>
        </w:tc>
        <w:tc>
          <w:tcPr>
            <w:tcW w:w="3678" w:type="dxa"/>
          </w:tcPr>
          <w:p w14:paraId="6C6DFCDF" w14:textId="06623BD8" w:rsidR="00D350F1" w:rsidRPr="009354B0" w:rsidRDefault="00D350F1" w:rsidP="00D350F1">
            <w:pPr>
              <w:spacing w:after="0" w:line="240" w:lineRule="auto"/>
              <w:jc w:val="both"/>
              <w:rPr>
                <w:rFonts w:asciiTheme="minorHAnsi" w:hAnsiTheme="minorHAnsi" w:cstheme="minorHAnsi"/>
                <w:sz w:val="20"/>
                <w:szCs w:val="20"/>
              </w:rPr>
            </w:pPr>
            <w:r w:rsidRPr="000E48B4">
              <w:rPr>
                <w:rFonts w:cstheme="minorHAnsi"/>
                <w:b/>
                <w:bCs/>
              </w:rPr>
              <w:t>Spełnia / nie spełnia</w:t>
            </w:r>
          </w:p>
        </w:tc>
      </w:tr>
      <w:tr w:rsidR="00D350F1" w:rsidRPr="009354B0" w14:paraId="2C6F2BC9" w14:textId="02256190" w:rsidTr="00B712B1">
        <w:tc>
          <w:tcPr>
            <w:tcW w:w="1650" w:type="dxa"/>
            <w:shd w:val="clear" w:color="auto" w:fill="auto"/>
          </w:tcPr>
          <w:p w14:paraId="37729DB3" w14:textId="77777777" w:rsidR="00D350F1" w:rsidRPr="009354B0" w:rsidRDefault="00D350F1" w:rsidP="00D350F1">
            <w:pPr>
              <w:spacing w:line="240" w:lineRule="auto"/>
              <w:rPr>
                <w:rFonts w:asciiTheme="minorHAnsi" w:hAnsiTheme="minorHAnsi" w:cstheme="minorHAnsi"/>
                <w:b/>
                <w:sz w:val="20"/>
                <w:szCs w:val="20"/>
              </w:rPr>
            </w:pPr>
            <w:r w:rsidRPr="009354B0">
              <w:rPr>
                <w:rFonts w:asciiTheme="minorHAnsi" w:hAnsiTheme="minorHAnsi" w:cstheme="minorHAnsi"/>
                <w:b/>
                <w:sz w:val="20"/>
                <w:szCs w:val="20"/>
              </w:rPr>
              <w:t>Dodatkowe oprogramowanie</w:t>
            </w:r>
          </w:p>
        </w:tc>
        <w:tc>
          <w:tcPr>
            <w:tcW w:w="5304" w:type="dxa"/>
            <w:shd w:val="clear" w:color="auto" w:fill="auto"/>
          </w:tcPr>
          <w:p w14:paraId="4318BC16"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26F46C97"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Wykonawca dostarczy sterowniki w formacie dedykowanym dla Microsoft SCCM w celu dystrybucji za pomocą dołączonego oprogramowania producenta komputera zgodnie z polityką bezpieczeństwa Zamawiającego.</w:t>
            </w:r>
          </w:p>
          <w:p w14:paraId="78A144F3"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Zamawiający oczekuje oprogramowania zarządzającego produkowanego przez producenta i instalowanego przez producenta na etapie produkcji komputera. Program ma umożliwiać przynajmniej:</w:t>
            </w:r>
          </w:p>
          <w:p w14:paraId="5DDF1D34"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monitorowanie komputera i generowanie zgłoszeń o błędach / nieprawidłowym działaniu w zakresie pracy komponentów i wydajności systemów</w:t>
            </w:r>
          </w:p>
          <w:p w14:paraId="537048B4"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powiadamiania o nowych wersjach sterowników i umożliwienie użytkownikowi wykonania upgrade systemu</w:t>
            </w:r>
          </w:p>
          <w:p w14:paraId="15A2020D"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powiadamianie o problemach wydajnościowych i diagnozowanie / rozwiązywanie takich problemów</w:t>
            </w:r>
          </w:p>
          <w:p w14:paraId="03356C57" w14:textId="77777777" w:rsidR="00D350F1" w:rsidRPr="009354B0" w:rsidRDefault="00D350F1" w:rsidP="00D350F1">
            <w:pPr>
              <w:spacing w:line="240" w:lineRule="auto"/>
              <w:jc w:val="both"/>
              <w:rPr>
                <w:rFonts w:asciiTheme="minorHAnsi" w:hAnsiTheme="minorHAnsi" w:cstheme="minorHAnsi"/>
                <w:sz w:val="20"/>
                <w:szCs w:val="20"/>
              </w:rPr>
            </w:pPr>
            <w:r w:rsidRPr="009354B0">
              <w:rPr>
                <w:rFonts w:asciiTheme="minorHAnsi" w:hAnsiTheme="minorHAnsi" w:cstheme="minorHAnsi"/>
                <w:sz w:val="20"/>
                <w:szCs w:val="20"/>
              </w:rPr>
              <w:t>- śledzenia kluczowych komponentów i przewidywanie awarii przed ich wystąpieniem.</w:t>
            </w:r>
          </w:p>
          <w:p w14:paraId="5DB3CC72" w14:textId="325B800D" w:rsidR="00D350F1" w:rsidRPr="009354B0" w:rsidRDefault="00D350F1" w:rsidP="00D350F1">
            <w:p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Dołączone do oferowanego komputera oprogramowanie z nieograniczoną licencją czasowo na użytkowanie umożliwiające:</w:t>
            </w:r>
          </w:p>
          <w:p w14:paraId="55B71F68" w14:textId="4FEA389B"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 xml:space="preserve">upgrade i instalacje wszystkich sterowników dostarczonych w obrazie systemu operacyjnego producenta, BIOS’u z certyfikatem zgodności producenta do najnowszej dostępnej wersji, </w:t>
            </w:r>
          </w:p>
          <w:p w14:paraId="6D3CCB7E" w14:textId="687DE37E"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możliwość przed instalacją sprawdzenia każdego sterownika, BIOS’u bezpośrednio na stronie producenta przy użyciu połączenia internetowego z automatycznym przekierowaniem a w szczególności informacji o:</w:t>
            </w:r>
          </w:p>
          <w:p w14:paraId="5057A47F"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poprawkach i usprawnieniach dotyczących aktualizacji</w:t>
            </w:r>
          </w:p>
          <w:p w14:paraId="4D4E8290"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dacie wydania ostatniej aktualizacji</w:t>
            </w:r>
          </w:p>
          <w:p w14:paraId="57F3B3C4"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priorytecie aktualizacji</w:t>
            </w:r>
          </w:p>
          <w:p w14:paraId="3B443DCB"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zgodności z systemami operacyjnymi</w:t>
            </w:r>
          </w:p>
          <w:p w14:paraId="44037B8C"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jakiego komponentu sprzętu dotyczy aktualizacja</w:t>
            </w:r>
          </w:p>
          <w:p w14:paraId="54A78BCA" w14:textId="77777777" w:rsidR="00D350F1" w:rsidRPr="009354B0" w:rsidRDefault="00D350F1" w:rsidP="00D350F1">
            <w:pPr>
              <w:pStyle w:val="Akapitzlist"/>
              <w:numPr>
                <w:ilvl w:val="1"/>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wszystkich poprzednich aktualizacjach z informacjami jak powyżej.</w:t>
            </w:r>
          </w:p>
          <w:p w14:paraId="3AAAADBC"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wykaz najnowszych aktualizacji z podziałem na krytyczne (wymagające natychmiastowej instalacji), rekomendowane i opcjonalne</w:t>
            </w:r>
          </w:p>
          <w:p w14:paraId="40D7C79C"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możliwość włączenia/wyłączenia funkcji automatycznego restartu w przypadku kiedy jest wymagany przy instalacji sterownika, aplikacji która tego wymaga.</w:t>
            </w:r>
          </w:p>
          <w:p w14:paraId="31117BFF"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rozpoznanie modelu oferowanego komputera, numer seryjny komputera, informację kiedy dokonany został ostatnio upgrade w szczególności z uwzględnieniem daty ( dd-mm-rrrr )</w:t>
            </w:r>
          </w:p>
          <w:p w14:paraId="06CEB4B1"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sprawdzenia historii upgrade’u z informacją jakie sterowniki były instalowane z dokładną datą ( dd-mm-rrrr) i wersją (rewizja wydania)</w:t>
            </w:r>
          </w:p>
          <w:p w14:paraId="42F68F9D"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dokładny wykaz wymaganych sterowników, aplikacji, BIOS’u z informacją o zainstalowanej obecnie wersji dla oferowanego komputera z możliwością exportu do pliku o rozszerzeniu *.xml</w:t>
            </w:r>
          </w:p>
          <w:p w14:paraId="07F06569" w14:textId="77777777" w:rsidR="00D350F1" w:rsidRPr="009354B0" w:rsidRDefault="00D350F1" w:rsidP="00D350F1">
            <w:pPr>
              <w:pStyle w:val="Akapitzlist"/>
              <w:numPr>
                <w:ilvl w:val="0"/>
                <w:numId w:val="23"/>
              </w:numPr>
              <w:spacing w:line="240" w:lineRule="auto"/>
              <w:jc w:val="both"/>
              <w:rPr>
                <w:rFonts w:asciiTheme="minorHAnsi" w:hAnsiTheme="minorHAnsi" w:cstheme="minorHAnsi"/>
                <w:bCs/>
                <w:sz w:val="20"/>
                <w:szCs w:val="20"/>
              </w:rPr>
            </w:pPr>
            <w:r w:rsidRPr="009354B0">
              <w:rPr>
                <w:rFonts w:asciiTheme="minorHAnsi" w:hAnsiTheme="minorHAnsi" w:cstheme="minorHAnsi"/>
                <w:bCs/>
                <w:sz w:val="20"/>
                <w:szCs w:val="20"/>
              </w:rPr>
              <w:t>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c>
          <w:tcPr>
            <w:tcW w:w="3678" w:type="dxa"/>
          </w:tcPr>
          <w:p w14:paraId="6F1C921F" w14:textId="2047C2DE" w:rsidR="00D350F1" w:rsidRPr="009354B0" w:rsidRDefault="00D350F1" w:rsidP="00D350F1">
            <w:pPr>
              <w:spacing w:line="240" w:lineRule="auto"/>
              <w:jc w:val="both"/>
              <w:rPr>
                <w:rFonts w:asciiTheme="minorHAnsi" w:hAnsiTheme="minorHAnsi" w:cstheme="minorHAnsi"/>
                <w:sz w:val="20"/>
                <w:szCs w:val="20"/>
              </w:rPr>
            </w:pPr>
            <w:r w:rsidRPr="000E48B4">
              <w:rPr>
                <w:rFonts w:cstheme="minorHAnsi"/>
                <w:b/>
                <w:bCs/>
              </w:rPr>
              <w:t>Spełnia / nie spełnia</w:t>
            </w:r>
          </w:p>
        </w:tc>
      </w:tr>
    </w:tbl>
    <w:p w14:paraId="3FEF922A" w14:textId="77777777" w:rsidR="005111D2" w:rsidRDefault="005111D2" w:rsidP="008C6B43">
      <w:pPr>
        <w:spacing w:line="240" w:lineRule="auto"/>
        <w:rPr>
          <w:rFonts w:asciiTheme="minorHAnsi" w:hAnsiTheme="minorHAnsi" w:cstheme="minorHAnsi"/>
          <w:bCs/>
          <w:sz w:val="20"/>
          <w:szCs w:val="20"/>
        </w:rPr>
      </w:pPr>
    </w:p>
    <w:p w14:paraId="700BF260" w14:textId="4CD5ABDD" w:rsidR="000060C3" w:rsidRPr="009354B0" w:rsidRDefault="000060C3" w:rsidP="008C6B43">
      <w:pPr>
        <w:spacing w:line="240" w:lineRule="auto"/>
        <w:rPr>
          <w:rFonts w:asciiTheme="minorHAnsi" w:hAnsiTheme="minorHAnsi" w:cstheme="minorHAnsi"/>
          <w:bCs/>
          <w:sz w:val="20"/>
          <w:szCs w:val="20"/>
        </w:rPr>
      </w:pPr>
      <w:r>
        <w:rPr>
          <w:rFonts w:asciiTheme="minorHAnsi" w:hAnsiTheme="minorHAnsi" w:cstheme="minorHAnsi"/>
          <w:bCs/>
          <w:sz w:val="20"/>
          <w:szCs w:val="20"/>
        </w:rPr>
        <w:t>Monitor – 1 szt.</w:t>
      </w:r>
    </w:p>
    <w:tbl>
      <w:tblPr>
        <w:tblW w:w="586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469"/>
        <w:gridCol w:w="5478"/>
        <w:gridCol w:w="3685"/>
      </w:tblGrid>
      <w:tr w:rsidR="00206727" w:rsidRPr="009354B0" w14:paraId="0169EE11" w14:textId="1B7616A1" w:rsidTr="00875762">
        <w:trPr>
          <w:trHeight w:val="279"/>
        </w:trPr>
        <w:tc>
          <w:tcPr>
            <w:tcW w:w="691" w:type="pct"/>
            <w:vMerge w:val="restart"/>
            <w:tcBorders>
              <w:top w:val="single" w:sz="4" w:space="0" w:color="auto"/>
            </w:tcBorders>
            <w:shd w:val="clear" w:color="auto" w:fill="DBDBDB" w:themeFill="accent3" w:themeFillTint="66"/>
          </w:tcPr>
          <w:p w14:paraId="172127F3" w14:textId="77777777" w:rsidR="00206727" w:rsidRPr="009354B0" w:rsidRDefault="00206727" w:rsidP="00206727">
            <w:pPr>
              <w:jc w:val="center"/>
              <w:rPr>
                <w:rFonts w:asciiTheme="minorHAnsi" w:hAnsiTheme="minorHAnsi" w:cstheme="minorHAnsi"/>
                <w:b/>
                <w:sz w:val="20"/>
              </w:rPr>
            </w:pPr>
            <w:r w:rsidRPr="009354B0">
              <w:rPr>
                <w:rFonts w:asciiTheme="minorHAnsi" w:hAnsiTheme="minorHAnsi" w:cstheme="minorHAnsi"/>
                <w:b/>
                <w:sz w:val="20"/>
              </w:rPr>
              <w:t>Nazwa komponentu</w:t>
            </w:r>
          </w:p>
        </w:tc>
        <w:tc>
          <w:tcPr>
            <w:tcW w:w="2576" w:type="pct"/>
            <w:vMerge w:val="restart"/>
            <w:tcBorders>
              <w:top w:val="single" w:sz="4" w:space="0" w:color="auto"/>
            </w:tcBorders>
            <w:shd w:val="clear" w:color="auto" w:fill="DBDBDB" w:themeFill="accent3" w:themeFillTint="66"/>
          </w:tcPr>
          <w:p w14:paraId="6E0643F5" w14:textId="77777777" w:rsidR="00206727" w:rsidRPr="009354B0" w:rsidRDefault="00206727" w:rsidP="00206727">
            <w:pPr>
              <w:ind w:left="-71"/>
              <w:jc w:val="center"/>
              <w:rPr>
                <w:rFonts w:asciiTheme="minorHAnsi" w:hAnsiTheme="minorHAnsi" w:cstheme="minorHAnsi"/>
                <w:b/>
                <w:sz w:val="20"/>
              </w:rPr>
            </w:pPr>
            <w:r w:rsidRPr="009354B0">
              <w:rPr>
                <w:rFonts w:asciiTheme="minorHAnsi" w:hAnsiTheme="minorHAnsi" w:cstheme="minorHAnsi"/>
                <w:b/>
                <w:sz w:val="20"/>
              </w:rPr>
              <w:t>Wymagane minimalne parametry techniczne monitora</w:t>
            </w:r>
          </w:p>
        </w:tc>
        <w:tc>
          <w:tcPr>
            <w:tcW w:w="1733" w:type="pct"/>
            <w:tcBorders>
              <w:top w:val="single" w:sz="4" w:space="0" w:color="auto"/>
            </w:tcBorders>
          </w:tcPr>
          <w:p w14:paraId="1C4EE17A" w14:textId="7C22433D" w:rsidR="00206727" w:rsidRPr="009354B0" w:rsidRDefault="00206727" w:rsidP="00206727">
            <w:pPr>
              <w:ind w:left="-71"/>
              <w:jc w:val="center"/>
              <w:rPr>
                <w:rFonts w:asciiTheme="minorHAnsi" w:hAnsiTheme="minorHAnsi" w:cstheme="minorHAnsi"/>
                <w:b/>
                <w:sz w:val="20"/>
              </w:rPr>
            </w:pPr>
            <w:r w:rsidRPr="00B60E6F">
              <w:rPr>
                <w:rFonts w:cstheme="minorHAnsi"/>
                <w:b/>
                <w:bCs/>
              </w:rPr>
              <w:t>Marka… / model -Typ …</w:t>
            </w:r>
          </w:p>
        </w:tc>
      </w:tr>
      <w:tr w:rsidR="00206727" w:rsidRPr="009354B0" w14:paraId="3698FC54" w14:textId="77777777" w:rsidTr="00875762">
        <w:trPr>
          <w:trHeight w:val="278"/>
        </w:trPr>
        <w:tc>
          <w:tcPr>
            <w:tcW w:w="691" w:type="pct"/>
            <w:vMerge/>
            <w:shd w:val="clear" w:color="auto" w:fill="DBDBDB" w:themeFill="accent3" w:themeFillTint="66"/>
          </w:tcPr>
          <w:p w14:paraId="56BA4941" w14:textId="77777777" w:rsidR="00206727" w:rsidRPr="009354B0" w:rsidRDefault="00206727" w:rsidP="00206727">
            <w:pPr>
              <w:jc w:val="center"/>
              <w:rPr>
                <w:rFonts w:asciiTheme="minorHAnsi" w:hAnsiTheme="minorHAnsi" w:cstheme="minorHAnsi"/>
                <w:b/>
                <w:sz w:val="20"/>
              </w:rPr>
            </w:pPr>
          </w:p>
        </w:tc>
        <w:tc>
          <w:tcPr>
            <w:tcW w:w="2576" w:type="pct"/>
            <w:vMerge/>
            <w:shd w:val="clear" w:color="auto" w:fill="DBDBDB" w:themeFill="accent3" w:themeFillTint="66"/>
          </w:tcPr>
          <w:p w14:paraId="43991975" w14:textId="77777777" w:rsidR="00206727" w:rsidRPr="009354B0" w:rsidRDefault="00206727" w:rsidP="00206727">
            <w:pPr>
              <w:ind w:left="-71"/>
              <w:jc w:val="center"/>
              <w:rPr>
                <w:rFonts w:asciiTheme="minorHAnsi" w:hAnsiTheme="minorHAnsi" w:cstheme="minorHAnsi"/>
                <w:b/>
                <w:sz w:val="20"/>
              </w:rPr>
            </w:pPr>
          </w:p>
        </w:tc>
        <w:tc>
          <w:tcPr>
            <w:tcW w:w="1733" w:type="pct"/>
            <w:tcBorders>
              <w:top w:val="single" w:sz="4" w:space="0" w:color="auto"/>
            </w:tcBorders>
            <w:shd w:val="clear" w:color="auto" w:fill="DBDBDB" w:themeFill="accent3" w:themeFillTint="66"/>
          </w:tcPr>
          <w:p w14:paraId="637264FC" w14:textId="08D1BF66" w:rsidR="00206727" w:rsidRPr="009354B0" w:rsidRDefault="00875762" w:rsidP="00206727">
            <w:pPr>
              <w:ind w:left="-71"/>
              <w:jc w:val="center"/>
              <w:rPr>
                <w:rFonts w:asciiTheme="minorHAnsi" w:hAnsiTheme="minorHAnsi" w:cstheme="minorHAnsi"/>
                <w:b/>
                <w:sz w:val="20"/>
              </w:rPr>
            </w:pPr>
            <w:r w:rsidRPr="00497A83">
              <w:rPr>
                <w:rFonts w:cstheme="minorHAnsi"/>
                <w:b/>
                <w:bCs/>
              </w:rPr>
              <w:t>Spełnia / nie spełnia</w:t>
            </w:r>
          </w:p>
        </w:tc>
      </w:tr>
      <w:tr w:rsidR="00206727" w:rsidRPr="009354B0" w14:paraId="3FB262E5" w14:textId="450A2766" w:rsidTr="00BA35C4">
        <w:trPr>
          <w:trHeight w:val="284"/>
        </w:trPr>
        <w:tc>
          <w:tcPr>
            <w:tcW w:w="691" w:type="pct"/>
          </w:tcPr>
          <w:p w14:paraId="57DEB08E"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Typ ekranu</w:t>
            </w:r>
          </w:p>
        </w:tc>
        <w:tc>
          <w:tcPr>
            <w:tcW w:w="2576" w:type="pct"/>
            <w:vAlign w:val="center"/>
          </w:tcPr>
          <w:p w14:paraId="15282223"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Ekran ciekłokrystaliczny z matrycą IPS min. 42.5”</w:t>
            </w:r>
          </w:p>
        </w:tc>
        <w:tc>
          <w:tcPr>
            <w:tcW w:w="1733" w:type="pct"/>
          </w:tcPr>
          <w:p w14:paraId="31963FBC" w14:textId="4B384A34"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5FE4EDFE" w14:textId="3B5F72C0" w:rsidTr="00BA35C4">
        <w:trPr>
          <w:trHeight w:val="284"/>
        </w:trPr>
        <w:tc>
          <w:tcPr>
            <w:tcW w:w="691" w:type="pct"/>
          </w:tcPr>
          <w:p w14:paraId="3988BE4A"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Rozmiar plamki</w:t>
            </w:r>
          </w:p>
        </w:tc>
        <w:tc>
          <w:tcPr>
            <w:tcW w:w="2576" w:type="pct"/>
            <w:vAlign w:val="center"/>
          </w:tcPr>
          <w:p w14:paraId="4DF8E138"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maksymalnie 0,246 mm</w:t>
            </w:r>
          </w:p>
        </w:tc>
        <w:tc>
          <w:tcPr>
            <w:tcW w:w="1733" w:type="pct"/>
          </w:tcPr>
          <w:p w14:paraId="57C208EA" w14:textId="49839138"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1128B7E9" w14:textId="023B91BB" w:rsidTr="00BA35C4">
        <w:trPr>
          <w:trHeight w:val="284"/>
        </w:trPr>
        <w:tc>
          <w:tcPr>
            <w:tcW w:w="691" w:type="pct"/>
          </w:tcPr>
          <w:p w14:paraId="6C8B2281"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Jasność typowa</w:t>
            </w:r>
          </w:p>
        </w:tc>
        <w:tc>
          <w:tcPr>
            <w:tcW w:w="2576" w:type="pct"/>
            <w:vAlign w:val="center"/>
          </w:tcPr>
          <w:p w14:paraId="30B7AB05"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350 cd/m2</w:t>
            </w:r>
          </w:p>
        </w:tc>
        <w:tc>
          <w:tcPr>
            <w:tcW w:w="1733" w:type="pct"/>
          </w:tcPr>
          <w:p w14:paraId="425251A8" w14:textId="5766F380" w:rsidR="00206727" w:rsidRPr="00875762" w:rsidRDefault="00875762" w:rsidP="00206727">
            <w:r w:rsidRPr="00497A83">
              <w:rPr>
                <w:rFonts w:cstheme="minorHAnsi"/>
                <w:b/>
                <w:bCs/>
              </w:rPr>
              <w:t>Spełnia / nie spełnia</w:t>
            </w:r>
          </w:p>
        </w:tc>
      </w:tr>
      <w:tr w:rsidR="00206727" w:rsidRPr="009354B0" w14:paraId="6DB8F4DA" w14:textId="4835F3DB" w:rsidTr="00BA35C4">
        <w:trPr>
          <w:trHeight w:val="284"/>
        </w:trPr>
        <w:tc>
          <w:tcPr>
            <w:tcW w:w="691" w:type="pct"/>
          </w:tcPr>
          <w:p w14:paraId="622417FF"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Kontrast typowy</w:t>
            </w:r>
          </w:p>
        </w:tc>
        <w:tc>
          <w:tcPr>
            <w:tcW w:w="2576" w:type="pct"/>
            <w:vAlign w:val="center"/>
          </w:tcPr>
          <w:p w14:paraId="1DB96DE0"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1000:1</w:t>
            </w:r>
          </w:p>
        </w:tc>
        <w:tc>
          <w:tcPr>
            <w:tcW w:w="1733" w:type="pct"/>
          </w:tcPr>
          <w:p w14:paraId="58D8FC83" w14:textId="23984D65"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6F50EF0D" w14:textId="5F19F2F7" w:rsidTr="00BA35C4">
        <w:trPr>
          <w:trHeight w:val="284"/>
        </w:trPr>
        <w:tc>
          <w:tcPr>
            <w:tcW w:w="691" w:type="pct"/>
          </w:tcPr>
          <w:p w14:paraId="6B963E29"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Kąty widzenia (pion/poziom)</w:t>
            </w:r>
          </w:p>
        </w:tc>
        <w:tc>
          <w:tcPr>
            <w:tcW w:w="2576" w:type="pct"/>
            <w:vAlign w:val="center"/>
          </w:tcPr>
          <w:p w14:paraId="7DDBAB8B"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178/178 stopni</w:t>
            </w:r>
          </w:p>
        </w:tc>
        <w:tc>
          <w:tcPr>
            <w:tcW w:w="1733" w:type="pct"/>
          </w:tcPr>
          <w:p w14:paraId="018AD0CA" w14:textId="24DDD1A4"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D12F47" w14:paraId="237CB34A" w14:textId="34CDC5DB" w:rsidTr="00BA35C4">
        <w:trPr>
          <w:trHeight w:val="284"/>
        </w:trPr>
        <w:tc>
          <w:tcPr>
            <w:tcW w:w="691" w:type="pct"/>
          </w:tcPr>
          <w:p w14:paraId="0EEFB3CC"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Czas reakcji matrycy</w:t>
            </w:r>
          </w:p>
        </w:tc>
        <w:tc>
          <w:tcPr>
            <w:tcW w:w="2576" w:type="pct"/>
            <w:vAlign w:val="center"/>
          </w:tcPr>
          <w:p w14:paraId="1CD14625"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max 8 ms gray to gray</w:t>
            </w:r>
          </w:p>
        </w:tc>
        <w:tc>
          <w:tcPr>
            <w:tcW w:w="1733" w:type="pct"/>
          </w:tcPr>
          <w:p w14:paraId="552C417E" w14:textId="6CC05206"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10BBD56E" w14:textId="7F916760" w:rsidTr="00BA35C4">
        <w:trPr>
          <w:trHeight w:val="284"/>
        </w:trPr>
        <w:tc>
          <w:tcPr>
            <w:tcW w:w="691" w:type="pct"/>
          </w:tcPr>
          <w:p w14:paraId="01F6DA0E"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Rozdzielczość maksymalna</w:t>
            </w:r>
          </w:p>
        </w:tc>
        <w:tc>
          <w:tcPr>
            <w:tcW w:w="2576" w:type="pct"/>
            <w:vAlign w:val="center"/>
          </w:tcPr>
          <w:p w14:paraId="7617F917"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lang w:val="en-US"/>
              </w:rPr>
              <w:t>3840 x 2160 @ 60Hz</w:t>
            </w:r>
          </w:p>
        </w:tc>
        <w:tc>
          <w:tcPr>
            <w:tcW w:w="1733" w:type="pct"/>
          </w:tcPr>
          <w:p w14:paraId="0837DD11" w14:textId="29179B07"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25EAA4C2" w14:textId="64A4F46F" w:rsidTr="00BA35C4">
        <w:trPr>
          <w:trHeight w:val="284"/>
        </w:trPr>
        <w:tc>
          <w:tcPr>
            <w:tcW w:w="691" w:type="pct"/>
          </w:tcPr>
          <w:p w14:paraId="10F7A0ED"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Pochylenie monitora</w:t>
            </w:r>
          </w:p>
        </w:tc>
        <w:tc>
          <w:tcPr>
            <w:tcW w:w="2576" w:type="pct"/>
            <w:vAlign w:val="center"/>
          </w:tcPr>
          <w:p w14:paraId="06E54DE9"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W zakresie min. 15 stopni</w:t>
            </w:r>
          </w:p>
        </w:tc>
        <w:tc>
          <w:tcPr>
            <w:tcW w:w="1733" w:type="pct"/>
          </w:tcPr>
          <w:p w14:paraId="27422B08" w14:textId="09A33649"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34A06C1C" w14:textId="1C7019D3" w:rsidTr="00BA35C4">
        <w:trPr>
          <w:trHeight w:val="284"/>
        </w:trPr>
        <w:tc>
          <w:tcPr>
            <w:tcW w:w="691" w:type="pct"/>
          </w:tcPr>
          <w:p w14:paraId="35BF7A66"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Wydłużenie w pionie</w:t>
            </w:r>
          </w:p>
        </w:tc>
        <w:tc>
          <w:tcPr>
            <w:tcW w:w="2576" w:type="pct"/>
            <w:vAlign w:val="center"/>
          </w:tcPr>
          <w:p w14:paraId="0DC75F51"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min 50mm</w:t>
            </w:r>
          </w:p>
        </w:tc>
        <w:tc>
          <w:tcPr>
            <w:tcW w:w="1733" w:type="pct"/>
          </w:tcPr>
          <w:p w14:paraId="139B737F" w14:textId="556640B8"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32609663" w14:textId="4D2AB8B3" w:rsidTr="00BA35C4">
        <w:trPr>
          <w:trHeight w:val="284"/>
        </w:trPr>
        <w:tc>
          <w:tcPr>
            <w:tcW w:w="691" w:type="pct"/>
          </w:tcPr>
          <w:p w14:paraId="0960452B"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Obrót w poziomie</w:t>
            </w:r>
          </w:p>
        </w:tc>
        <w:tc>
          <w:tcPr>
            <w:tcW w:w="2576" w:type="pct"/>
            <w:vAlign w:val="center"/>
          </w:tcPr>
          <w:p w14:paraId="4D4A31AD"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w zakresie min 40 stopni</w:t>
            </w:r>
          </w:p>
        </w:tc>
        <w:tc>
          <w:tcPr>
            <w:tcW w:w="1733" w:type="pct"/>
          </w:tcPr>
          <w:p w14:paraId="7AFC9785" w14:textId="4ECDC782"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363CE557" w14:textId="558FE02D" w:rsidTr="00BA35C4">
        <w:trPr>
          <w:trHeight w:val="284"/>
        </w:trPr>
        <w:tc>
          <w:tcPr>
            <w:tcW w:w="691" w:type="pct"/>
          </w:tcPr>
          <w:p w14:paraId="3E7613F4"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Powłoka powierzchni ekranu</w:t>
            </w:r>
          </w:p>
        </w:tc>
        <w:tc>
          <w:tcPr>
            <w:tcW w:w="2576" w:type="pct"/>
            <w:vAlign w:val="center"/>
          </w:tcPr>
          <w:p w14:paraId="52E85620"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Antyodblaskowa</w:t>
            </w:r>
          </w:p>
        </w:tc>
        <w:tc>
          <w:tcPr>
            <w:tcW w:w="1733" w:type="pct"/>
          </w:tcPr>
          <w:p w14:paraId="0B980275" w14:textId="476B98F3"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589B79FE" w14:textId="5D718051" w:rsidTr="00BA35C4">
        <w:trPr>
          <w:trHeight w:val="284"/>
        </w:trPr>
        <w:tc>
          <w:tcPr>
            <w:tcW w:w="691" w:type="pct"/>
          </w:tcPr>
          <w:p w14:paraId="5936FAAB"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Podświetlenie</w:t>
            </w:r>
          </w:p>
        </w:tc>
        <w:tc>
          <w:tcPr>
            <w:tcW w:w="2576" w:type="pct"/>
            <w:vAlign w:val="center"/>
          </w:tcPr>
          <w:p w14:paraId="2D3B5793"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LED</w:t>
            </w:r>
          </w:p>
        </w:tc>
        <w:tc>
          <w:tcPr>
            <w:tcW w:w="1733" w:type="pct"/>
          </w:tcPr>
          <w:p w14:paraId="66547F70" w14:textId="05D76A23"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766FB2BA" w14:textId="2661E3CF" w:rsidTr="00BA35C4">
        <w:trPr>
          <w:trHeight w:val="284"/>
        </w:trPr>
        <w:tc>
          <w:tcPr>
            <w:tcW w:w="691" w:type="pct"/>
          </w:tcPr>
          <w:p w14:paraId="5FA3EC13" w14:textId="77777777" w:rsidR="00206727" w:rsidRPr="007147C8" w:rsidRDefault="00206727" w:rsidP="00206727">
            <w:pPr>
              <w:rPr>
                <w:rFonts w:asciiTheme="minorHAnsi" w:hAnsiTheme="minorHAnsi" w:cstheme="minorHAnsi"/>
                <w:b/>
                <w:sz w:val="20"/>
                <w:lang w:val="en-US"/>
              </w:rPr>
            </w:pPr>
            <w:r w:rsidRPr="007147C8">
              <w:rPr>
                <w:rFonts w:asciiTheme="minorHAnsi" w:hAnsiTheme="minorHAnsi" w:cstheme="minorHAnsi"/>
                <w:b/>
                <w:sz w:val="20"/>
                <w:lang w:val="en-US"/>
              </w:rPr>
              <w:t>Funkcja PIP (Picture in Picture)</w:t>
            </w:r>
          </w:p>
        </w:tc>
        <w:tc>
          <w:tcPr>
            <w:tcW w:w="2576" w:type="pct"/>
            <w:vAlign w:val="center"/>
          </w:tcPr>
          <w:p w14:paraId="2EA476D6"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Tak</w:t>
            </w:r>
          </w:p>
        </w:tc>
        <w:tc>
          <w:tcPr>
            <w:tcW w:w="1733" w:type="pct"/>
          </w:tcPr>
          <w:p w14:paraId="146D54EB" w14:textId="340F7B9C"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2FBEE58A" w14:textId="584D06C1" w:rsidTr="00BA35C4">
        <w:trPr>
          <w:trHeight w:val="284"/>
        </w:trPr>
        <w:tc>
          <w:tcPr>
            <w:tcW w:w="691" w:type="pct"/>
          </w:tcPr>
          <w:p w14:paraId="3628723F" w14:textId="77777777" w:rsidR="00206727" w:rsidRPr="007147C8" w:rsidRDefault="00206727" w:rsidP="00206727">
            <w:pPr>
              <w:rPr>
                <w:rFonts w:asciiTheme="minorHAnsi" w:hAnsiTheme="minorHAnsi" w:cstheme="minorHAnsi"/>
                <w:b/>
                <w:sz w:val="20"/>
                <w:lang w:val="en-US"/>
              </w:rPr>
            </w:pPr>
            <w:r w:rsidRPr="007147C8">
              <w:rPr>
                <w:rFonts w:asciiTheme="minorHAnsi" w:hAnsiTheme="minorHAnsi" w:cstheme="minorHAnsi"/>
                <w:b/>
                <w:sz w:val="20"/>
                <w:lang w:val="en-US"/>
              </w:rPr>
              <w:t>Funkcja PBP (Picture by Picture)</w:t>
            </w:r>
          </w:p>
        </w:tc>
        <w:tc>
          <w:tcPr>
            <w:tcW w:w="2576" w:type="pct"/>
            <w:vAlign w:val="center"/>
          </w:tcPr>
          <w:p w14:paraId="48B3AB49"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Tak</w:t>
            </w:r>
          </w:p>
        </w:tc>
        <w:tc>
          <w:tcPr>
            <w:tcW w:w="1733" w:type="pct"/>
          </w:tcPr>
          <w:p w14:paraId="1E08F454" w14:textId="5105E0AB"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69D7B00E" w14:textId="7D8A3060" w:rsidTr="00BA35C4">
        <w:trPr>
          <w:trHeight w:val="284"/>
        </w:trPr>
        <w:tc>
          <w:tcPr>
            <w:tcW w:w="691" w:type="pct"/>
          </w:tcPr>
          <w:p w14:paraId="4978A6B0" w14:textId="77777777" w:rsidR="00206727" w:rsidRPr="007147C8" w:rsidRDefault="00206727" w:rsidP="00206727">
            <w:pPr>
              <w:rPr>
                <w:rFonts w:asciiTheme="minorHAnsi" w:hAnsiTheme="minorHAnsi" w:cstheme="minorHAnsi"/>
                <w:b/>
                <w:sz w:val="20"/>
                <w:lang w:val="en-US"/>
              </w:rPr>
            </w:pPr>
            <w:r w:rsidRPr="007147C8">
              <w:rPr>
                <w:rFonts w:asciiTheme="minorHAnsi" w:hAnsiTheme="minorHAnsi" w:cstheme="minorHAnsi"/>
                <w:b/>
                <w:sz w:val="20"/>
                <w:lang w:val="en-US"/>
              </w:rPr>
              <w:t>Głębia koloru</w:t>
            </w:r>
          </w:p>
        </w:tc>
        <w:tc>
          <w:tcPr>
            <w:tcW w:w="2576" w:type="pct"/>
          </w:tcPr>
          <w:p w14:paraId="349F99AF"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1.06 mld kolorów</w:t>
            </w:r>
          </w:p>
        </w:tc>
        <w:tc>
          <w:tcPr>
            <w:tcW w:w="1733" w:type="pct"/>
          </w:tcPr>
          <w:p w14:paraId="396ED9D2" w14:textId="6988E785"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247D42E0" w14:textId="0AD59722" w:rsidTr="00BA35C4">
        <w:trPr>
          <w:trHeight w:val="284"/>
        </w:trPr>
        <w:tc>
          <w:tcPr>
            <w:tcW w:w="691" w:type="pct"/>
          </w:tcPr>
          <w:p w14:paraId="1289EEFE"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Zużycie energii</w:t>
            </w:r>
          </w:p>
        </w:tc>
        <w:tc>
          <w:tcPr>
            <w:tcW w:w="2576" w:type="pct"/>
            <w:vAlign w:val="center"/>
          </w:tcPr>
          <w:p w14:paraId="50A23AF3"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max. 120 kWh/yr (całkowite zużycie energii w kWh/yr wg. EnergyStar 8.0)</w:t>
            </w:r>
          </w:p>
          <w:p w14:paraId="723F0F24" w14:textId="77777777" w:rsidR="00206727" w:rsidRDefault="00206727" w:rsidP="00206727">
            <w:pPr>
              <w:rPr>
                <w:rFonts w:asciiTheme="minorHAnsi" w:hAnsiTheme="minorHAnsi" w:cstheme="minorHAnsi"/>
                <w:bCs/>
                <w:sz w:val="20"/>
              </w:rPr>
            </w:pPr>
            <w:r w:rsidRPr="009354B0">
              <w:rPr>
                <w:rFonts w:asciiTheme="minorHAnsi" w:hAnsiTheme="minorHAnsi" w:cstheme="minorHAnsi"/>
                <w:bCs/>
                <w:sz w:val="20"/>
              </w:rPr>
              <w:t xml:space="preserve">podane parametry odnoszące się do EnergyStar dostępne dla oferowanego modelu na stronie w celu weryfikacji : </w:t>
            </w:r>
            <w:hyperlink r:id="rId13" w:history="1">
              <w:r w:rsidRPr="009354B0">
                <w:rPr>
                  <w:rStyle w:val="Hipercze"/>
                  <w:rFonts w:asciiTheme="minorHAnsi" w:hAnsiTheme="minorHAnsi" w:cstheme="minorHAnsi"/>
                  <w:bCs/>
                  <w:sz w:val="20"/>
                </w:rPr>
                <w:t>https://www.energystar.gov/productfinder/product/certified-displays/results</w:t>
              </w:r>
            </w:hyperlink>
            <w:r w:rsidRPr="009354B0">
              <w:rPr>
                <w:rFonts w:asciiTheme="minorHAnsi" w:hAnsiTheme="minorHAnsi" w:cstheme="minorHAnsi"/>
                <w:bCs/>
                <w:sz w:val="20"/>
              </w:rPr>
              <w:t xml:space="preserve"> </w:t>
            </w:r>
          </w:p>
          <w:p w14:paraId="7ABC4A59" w14:textId="43137BFD" w:rsidR="00206727" w:rsidRPr="009354B0" w:rsidRDefault="00206727" w:rsidP="00206727">
            <w:pPr>
              <w:rPr>
                <w:rFonts w:asciiTheme="minorHAnsi" w:hAnsiTheme="minorHAnsi" w:cstheme="minorHAnsi"/>
                <w:bCs/>
                <w:sz w:val="20"/>
              </w:rPr>
            </w:pPr>
            <w:r>
              <w:rPr>
                <w:rFonts w:cs="Arial"/>
                <w:sz w:val="20"/>
                <w:szCs w:val="20"/>
              </w:rPr>
              <w:t>Klasa energetyczna min. G (potwierdzenie w postaci załączonego do oferty wydruku z europejskiego rejestru produktów do celów etykietowania energetycznego EPREL)</w:t>
            </w:r>
          </w:p>
        </w:tc>
        <w:tc>
          <w:tcPr>
            <w:tcW w:w="1733" w:type="pct"/>
          </w:tcPr>
          <w:p w14:paraId="3F13B570" w14:textId="4426CCA2"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1B1F0427" w14:textId="5FC23547" w:rsidTr="00BA35C4">
        <w:trPr>
          <w:trHeight w:val="284"/>
        </w:trPr>
        <w:tc>
          <w:tcPr>
            <w:tcW w:w="691" w:type="pct"/>
          </w:tcPr>
          <w:p w14:paraId="747B5FAB"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Bezpieczeństwo</w:t>
            </w:r>
          </w:p>
        </w:tc>
        <w:tc>
          <w:tcPr>
            <w:tcW w:w="2576" w:type="pct"/>
            <w:vAlign w:val="center"/>
          </w:tcPr>
          <w:p w14:paraId="3C120A39"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Monitor musi być wyposażony w złącze na linkę zabezpieczającą</w:t>
            </w:r>
          </w:p>
        </w:tc>
        <w:tc>
          <w:tcPr>
            <w:tcW w:w="1733" w:type="pct"/>
          </w:tcPr>
          <w:p w14:paraId="3882DACE" w14:textId="1F852B3C"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26BFB5D9" w14:textId="25455102" w:rsidTr="00BA35C4">
        <w:trPr>
          <w:trHeight w:val="284"/>
        </w:trPr>
        <w:tc>
          <w:tcPr>
            <w:tcW w:w="691" w:type="pct"/>
          </w:tcPr>
          <w:p w14:paraId="0FEEFEAC"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Waga z podstawą i okablowaniem</w:t>
            </w:r>
          </w:p>
        </w:tc>
        <w:tc>
          <w:tcPr>
            <w:tcW w:w="2576" w:type="pct"/>
            <w:vAlign w:val="center"/>
          </w:tcPr>
          <w:p w14:paraId="5EACD04B"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Maksymalnie 19 kg</w:t>
            </w:r>
          </w:p>
        </w:tc>
        <w:tc>
          <w:tcPr>
            <w:tcW w:w="1733" w:type="pct"/>
          </w:tcPr>
          <w:p w14:paraId="6F4171B2" w14:textId="52D8621B"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D12F47" w14:paraId="64CAA447" w14:textId="57898986" w:rsidTr="00BA35C4">
        <w:trPr>
          <w:trHeight w:val="284"/>
        </w:trPr>
        <w:tc>
          <w:tcPr>
            <w:tcW w:w="691" w:type="pct"/>
          </w:tcPr>
          <w:p w14:paraId="23B00F30"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Złącza</w:t>
            </w:r>
          </w:p>
        </w:tc>
        <w:tc>
          <w:tcPr>
            <w:tcW w:w="2576" w:type="pct"/>
            <w:vAlign w:val="center"/>
          </w:tcPr>
          <w:p w14:paraId="3443779C"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 xml:space="preserve">2 x DisplayPort </w:t>
            </w:r>
          </w:p>
          <w:p w14:paraId="1B5066FA"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 xml:space="preserve">2 x HDMI </w:t>
            </w:r>
          </w:p>
          <w:p w14:paraId="768B4D59"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1 x USB 3.2 Type-C z DP (możliwość uzyskania: portu DisplayPort, ładowanie do 90W)</w:t>
            </w:r>
          </w:p>
          <w:p w14:paraId="592348F0"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3 x USB 3.2 Type-C</w:t>
            </w:r>
          </w:p>
          <w:p w14:paraId="39B217E6"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3 x USB 3.2 Gen 1 Type-A (downstream)</w:t>
            </w:r>
          </w:p>
          <w:p w14:paraId="004B9DF0"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1 x Port audio</w:t>
            </w:r>
          </w:p>
          <w:p w14:paraId="6FF6A952"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1 x RJ - 45</w:t>
            </w:r>
          </w:p>
        </w:tc>
        <w:tc>
          <w:tcPr>
            <w:tcW w:w="1733" w:type="pct"/>
          </w:tcPr>
          <w:p w14:paraId="526DB012" w14:textId="52388052"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2761B493" w14:textId="417A3BDF" w:rsidTr="00BA35C4">
        <w:trPr>
          <w:trHeight w:val="386"/>
        </w:trPr>
        <w:tc>
          <w:tcPr>
            <w:tcW w:w="691" w:type="pct"/>
          </w:tcPr>
          <w:p w14:paraId="4D0D18D3"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 xml:space="preserve">Głośniki </w:t>
            </w:r>
          </w:p>
        </w:tc>
        <w:tc>
          <w:tcPr>
            <w:tcW w:w="2576" w:type="pct"/>
          </w:tcPr>
          <w:p w14:paraId="0A7E391D"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Wbudowane stereo o mocy 2 x 8W</w:t>
            </w:r>
          </w:p>
        </w:tc>
        <w:tc>
          <w:tcPr>
            <w:tcW w:w="1733" w:type="pct"/>
          </w:tcPr>
          <w:p w14:paraId="0957AE4F" w14:textId="5C9FB3D0"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1D5A360E" w14:textId="0A04DFDB" w:rsidTr="00BA35C4">
        <w:trPr>
          <w:trHeight w:val="1115"/>
        </w:trPr>
        <w:tc>
          <w:tcPr>
            <w:tcW w:w="691" w:type="pct"/>
          </w:tcPr>
          <w:p w14:paraId="6A59373A"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Gwarancja</w:t>
            </w:r>
          </w:p>
        </w:tc>
        <w:tc>
          <w:tcPr>
            <w:tcW w:w="2576" w:type="pct"/>
          </w:tcPr>
          <w:p w14:paraId="7BA8A560" w14:textId="77777777" w:rsidR="00206727" w:rsidRPr="007147C8" w:rsidRDefault="00206727" w:rsidP="00206727">
            <w:pPr>
              <w:rPr>
                <w:rFonts w:asciiTheme="minorHAnsi" w:hAnsiTheme="minorHAnsi" w:cstheme="minorHAnsi"/>
                <w:bCs/>
                <w:sz w:val="20"/>
              </w:rPr>
            </w:pPr>
            <w:r w:rsidRPr="007147C8">
              <w:rPr>
                <w:rFonts w:asciiTheme="minorHAnsi" w:hAnsiTheme="minorHAnsi" w:cstheme="minorHAnsi"/>
                <w:bCs/>
                <w:sz w:val="20"/>
              </w:rPr>
              <w:t>Czas trwania gwarancji wynoszący min. 3 lata.</w:t>
            </w:r>
          </w:p>
          <w:p w14:paraId="0FDD5701"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Czas reakcji serwisu - do końca następnego dnia roboczego</w:t>
            </w:r>
          </w:p>
          <w:p w14:paraId="395F700B"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Firma serwisująca musi posiadać ISO 9001:2000 na świadczenie usług serwisowych oraz posiadać autoryzacje producenta komputera – dokumenty potwierdzające załączyć do oferty.</w:t>
            </w:r>
          </w:p>
        </w:tc>
        <w:tc>
          <w:tcPr>
            <w:tcW w:w="1733" w:type="pct"/>
          </w:tcPr>
          <w:p w14:paraId="780C9884" w14:textId="75C20D39" w:rsidR="00206727" w:rsidRPr="007147C8" w:rsidRDefault="00875762" w:rsidP="00206727">
            <w:pPr>
              <w:rPr>
                <w:rFonts w:asciiTheme="minorHAnsi" w:hAnsiTheme="minorHAnsi" w:cstheme="minorHAnsi"/>
                <w:bCs/>
                <w:sz w:val="20"/>
              </w:rPr>
            </w:pPr>
            <w:r w:rsidRPr="00497A83">
              <w:rPr>
                <w:rFonts w:cstheme="minorHAnsi"/>
                <w:b/>
                <w:bCs/>
              </w:rPr>
              <w:t>Spełnia / nie spełnia</w:t>
            </w:r>
          </w:p>
        </w:tc>
      </w:tr>
      <w:tr w:rsidR="00206727" w:rsidRPr="009354B0" w14:paraId="1797175C" w14:textId="59B89820" w:rsidTr="00BA35C4">
        <w:trPr>
          <w:trHeight w:val="284"/>
        </w:trPr>
        <w:tc>
          <w:tcPr>
            <w:tcW w:w="691" w:type="pct"/>
          </w:tcPr>
          <w:p w14:paraId="28D88BAF"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Certyfikaty</w:t>
            </w:r>
          </w:p>
        </w:tc>
        <w:tc>
          <w:tcPr>
            <w:tcW w:w="2576" w:type="pct"/>
          </w:tcPr>
          <w:p w14:paraId="16736ED3"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Energy Star Compliance (v8.0)</w:t>
            </w:r>
          </w:p>
          <w:p w14:paraId="656F5B9C"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EPEAT min Gold dla Polski</w:t>
            </w:r>
          </w:p>
          <w:p w14:paraId="7C1A4A08" w14:textId="77777777" w:rsidR="00206727" w:rsidRPr="009354B0" w:rsidRDefault="00206727" w:rsidP="00206727">
            <w:pPr>
              <w:rPr>
                <w:rFonts w:asciiTheme="minorHAnsi" w:hAnsiTheme="minorHAnsi" w:cstheme="minorHAnsi"/>
                <w:bCs/>
                <w:sz w:val="20"/>
                <w:lang w:val="en-US"/>
              </w:rPr>
            </w:pPr>
            <w:r w:rsidRPr="009354B0">
              <w:rPr>
                <w:rFonts w:asciiTheme="minorHAnsi" w:hAnsiTheme="minorHAnsi" w:cstheme="minorHAnsi"/>
                <w:bCs/>
                <w:sz w:val="20"/>
                <w:lang w:val="en-US"/>
              </w:rPr>
              <w:t>CE</w:t>
            </w:r>
          </w:p>
        </w:tc>
        <w:tc>
          <w:tcPr>
            <w:tcW w:w="1733" w:type="pct"/>
          </w:tcPr>
          <w:p w14:paraId="19B0E602" w14:textId="30823BAB" w:rsidR="00206727" w:rsidRPr="009354B0" w:rsidRDefault="00875762" w:rsidP="00206727">
            <w:pPr>
              <w:rPr>
                <w:rFonts w:asciiTheme="minorHAnsi" w:hAnsiTheme="minorHAnsi" w:cstheme="minorHAnsi"/>
                <w:bCs/>
                <w:sz w:val="20"/>
                <w:lang w:val="en-US"/>
              </w:rPr>
            </w:pPr>
            <w:r w:rsidRPr="00497A83">
              <w:rPr>
                <w:rFonts w:cstheme="minorHAnsi"/>
                <w:b/>
                <w:bCs/>
              </w:rPr>
              <w:t>Spełnia / nie spełnia</w:t>
            </w:r>
          </w:p>
        </w:tc>
      </w:tr>
      <w:tr w:rsidR="00206727" w:rsidRPr="009354B0" w14:paraId="47D05BD4" w14:textId="18B73E0B" w:rsidTr="00BA35C4">
        <w:trPr>
          <w:trHeight w:val="284"/>
        </w:trPr>
        <w:tc>
          <w:tcPr>
            <w:tcW w:w="691" w:type="pct"/>
          </w:tcPr>
          <w:p w14:paraId="1A67E10B" w14:textId="77777777" w:rsidR="00206727" w:rsidRPr="007147C8" w:rsidRDefault="00206727" w:rsidP="00206727">
            <w:pPr>
              <w:rPr>
                <w:rFonts w:asciiTheme="minorHAnsi" w:hAnsiTheme="minorHAnsi" w:cstheme="minorHAnsi"/>
                <w:b/>
                <w:sz w:val="20"/>
              </w:rPr>
            </w:pPr>
            <w:r w:rsidRPr="007147C8">
              <w:rPr>
                <w:rFonts w:asciiTheme="minorHAnsi" w:hAnsiTheme="minorHAnsi" w:cstheme="minorHAnsi"/>
                <w:b/>
                <w:sz w:val="20"/>
              </w:rPr>
              <w:t>Inne</w:t>
            </w:r>
          </w:p>
        </w:tc>
        <w:tc>
          <w:tcPr>
            <w:tcW w:w="2576" w:type="pct"/>
          </w:tcPr>
          <w:p w14:paraId="5BEA551F" w14:textId="77777777" w:rsidR="00206727" w:rsidRPr="009354B0" w:rsidRDefault="00206727" w:rsidP="00206727">
            <w:pPr>
              <w:rPr>
                <w:rFonts w:asciiTheme="minorHAnsi" w:hAnsiTheme="minorHAnsi" w:cstheme="minorHAnsi"/>
                <w:bCs/>
                <w:sz w:val="20"/>
              </w:rPr>
            </w:pPr>
            <w:r w:rsidRPr="009354B0">
              <w:rPr>
                <w:rFonts w:asciiTheme="minorHAnsi" w:hAnsiTheme="minorHAnsi" w:cstheme="minorHAnsi"/>
                <w:bCs/>
                <w:sz w:val="20"/>
              </w:rPr>
              <w:t xml:space="preserve">Uchwyt montażowy VESA </w:t>
            </w:r>
          </w:p>
        </w:tc>
        <w:tc>
          <w:tcPr>
            <w:tcW w:w="1733" w:type="pct"/>
          </w:tcPr>
          <w:p w14:paraId="48D3E5EA" w14:textId="0F37E19F" w:rsidR="00206727" w:rsidRPr="009354B0" w:rsidRDefault="00875762" w:rsidP="00206727">
            <w:pPr>
              <w:rPr>
                <w:rFonts w:asciiTheme="minorHAnsi" w:hAnsiTheme="minorHAnsi" w:cstheme="minorHAnsi"/>
                <w:bCs/>
                <w:sz w:val="20"/>
              </w:rPr>
            </w:pPr>
            <w:r w:rsidRPr="00497A83">
              <w:rPr>
                <w:rFonts w:cstheme="minorHAnsi"/>
                <w:b/>
                <w:bCs/>
              </w:rPr>
              <w:t>Spełnia / nie spełnia</w:t>
            </w:r>
          </w:p>
        </w:tc>
      </w:tr>
    </w:tbl>
    <w:p w14:paraId="5BF668D9" w14:textId="77777777" w:rsidR="009354B0" w:rsidRPr="009354B0" w:rsidRDefault="009354B0" w:rsidP="008C6B43">
      <w:pPr>
        <w:spacing w:line="240" w:lineRule="auto"/>
        <w:rPr>
          <w:rFonts w:asciiTheme="minorHAnsi" w:hAnsiTheme="minorHAnsi" w:cstheme="minorHAnsi"/>
          <w:bCs/>
          <w:sz w:val="20"/>
          <w:szCs w:val="20"/>
        </w:rPr>
      </w:pPr>
    </w:p>
    <w:sectPr w:rsidR="009354B0" w:rsidRPr="009354B0" w:rsidSect="008F5132">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16327" w14:textId="77777777" w:rsidR="00FF10B9" w:rsidRDefault="00FF10B9" w:rsidP="008F7B64">
      <w:pPr>
        <w:spacing w:after="0" w:line="240" w:lineRule="auto"/>
      </w:pPr>
      <w:r>
        <w:separator/>
      </w:r>
    </w:p>
  </w:endnote>
  <w:endnote w:type="continuationSeparator" w:id="0">
    <w:p w14:paraId="7C33793D" w14:textId="77777777" w:rsidR="00FF10B9" w:rsidRDefault="00FF10B9" w:rsidP="008F7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09141" w14:textId="77777777" w:rsidR="00BD5A06" w:rsidRDefault="00BD5A06" w:rsidP="00BD5A06">
    <w:pPr>
      <w:pStyle w:val="Stopka"/>
    </w:pPr>
    <w:bookmarkStart w:id="0" w:name="DocumentMarkings1FooterEvenPages"/>
  </w:p>
  <w:bookmarkEnd w:id="0"/>
  <w:p w14:paraId="34711699" w14:textId="77777777" w:rsidR="00BD5A06" w:rsidRDefault="00BD5A06" w:rsidP="00BD5A06">
    <w:pPr>
      <w:pStyle w:val="Stopka"/>
    </w:pPr>
  </w:p>
  <w:p w14:paraId="717CB6F5" w14:textId="77777777" w:rsidR="008B6E8A" w:rsidRDefault="008B6E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75D9" w14:textId="77777777" w:rsidR="008F7B64" w:rsidRDefault="008F7B64" w:rsidP="00BD5A06">
    <w:pPr>
      <w:pStyle w:val="Stopka"/>
    </w:pPr>
    <w:bookmarkStart w:id="1" w:name="DocumentMarkings1FooterPrimary"/>
  </w:p>
  <w:bookmarkEnd w:id="1"/>
  <w:p w14:paraId="5357DF72" w14:textId="77777777" w:rsidR="008B6E8A" w:rsidRDefault="008B6E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A6273" w14:textId="77777777" w:rsidR="008F7B64" w:rsidRDefault="008F7B64" w:rsidP="00BD5A06">
    <w:pPr>
      <w:pStyle w:val="Stopka"/>
    </w:pPr>
    <w:bookmarkStart w:id="2" w:name="DocumentMarkings1FooterFirstPage"/>
  </w:p>
  <w:bookmarkEnd w:id="2"/>
  <w:p w14:paraId="0EDFBFBB" w14:textId="77777777" w:rsidR="008B6E8A" w:rsidRDefault="008B6E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60910" w14:textId="77777777" w:rsidR="00FF10B9" w:rsidRDefault="00FF10B9" w:rsidP="008F7B64">
      <w:pPr>
        <w:spacing w:after="0" w:line="240" w:lineRule="auto"/>
      </w:pPr>
      <w:r>
        <w:separator/>
      </w:r>
    </w:p>
  </w:footnote>
  <w:footnote w:type="continuationSeparator" w:id="0">
    <w:p w14:paraId="45BE9141" w14:textId="77777777" w:rsidR="00FF10B9" w:rsidRDefault="00FF10B9" w:rsidP="008F7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5E940" w14:textId="77777777" w:rsidR="008B6E8A" w:rsidRDefault="008B6E8A">
    <w:pPr>
      <w:pStyle w:val="Nagwek"/>
    </w:pPr>
  </w:p>
  <w:p w14:paraId="7E82097F" w14:textId="77777777" w:rsidR="008F7B64" w:rsidRDefault="008F7B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268FA"/>
    <w:multiLevelType w:val="hybridMultilevel"/>
    <w:tmpl w:val="BE541EEE"/>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43E92"/>
    <w:multiLevelType w:val="hybridMultilevel"/>
    <w:tmpl w:val="6AF6C0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115AA"/>
    <w:multiLevelType w:val="hybridMultilevel"/>
    <w:tmpl w:val="8592C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B61A7"/>
    <w:multiLevelType w:val="multilevel"/>
    <w:tmpl w:val="2E840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216E03"/>
    <w:multiLevelType w:val="multilevel"/>
    <w:tmpl w:val="6C22E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C058FE"/>
    <w:multiLevelType w:val="hybridMultilevel"/>
    <w:tmpl w:val="AB9C0E20"/>
    <w:lvl w:ilvl="0" w:tplc="2234A154">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9" w15:restartNumberingAfterBreak="0">
    <w:nsid w:val="2A6050E5"/>
    <w:multiLevelType w:val="multilevel"/>
    <w:tmpl w:val="6F28D2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991102"/>
    <w:multiLevelType w:val="multilevel"/>
    <w:tmpl w:val="3A16A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EA0491"/>
    <w:multiLevelType w:val="hybridMultilevel"/>
    <w:tmpl w:val="CE3A43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C60C28"/>
    <w:multiLevelType w:val="hybridMultilevel"/>
    <w:tmpl w:val="5704BE34"/>
    <w:lvl w:ilvl="0" w:tplc="1BF60F32">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C06A23"/>
    <w:multiLevelType w:val="multilevel"/>
    <w:tmpl w:val="43801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A4F0A"/>
    <w:multiLevelType w:val="hybridMultilevel"/>
    <w:tmpl w:val="FB72D5AC"/>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9628B"/>
    <w:multiLevelType w:val="hybridMultilevel"/>
    <w:tmpl w:val="78549A6A"/>
    <w:lvl w:ilvl="0" w:tplc="94A617D6">
      <w:start w:val="1"/>
      <w:numFmt w:val="bullet"/>
      <w:lvlText w:val=""/>
      <w:lvlJc w:val="left"/>
      <w:pPr>
        <w:ind w:left="720" w:hanging="360"/>
      </w:pPr>
      <w:rPr>
        <w:rFonts w:ascii="Symbol" w:eastAsia="Calibri" w:hAnsi="Symbol" w:cs="Arial" w:hint="default"/>
      </w:rPr>
    </w:lvl>
    <w:lvl w:ilvl="1" w:tplc="6FBE3C5A">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FF5B31"/>
    <w:multiLevelType w:val="multilevel"/>
    <w:tmpl w:val="3F5E6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4685DB5"/>
    <w:multiLevelType w:val="multilevel"/>
    <w:tmpl w:val="6818C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213F13"/>
    <w:multiLevelType w:val="hybridMultilevel"/>
    <w:tmpl w:val="E1E48408"/>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1248D"/>
    <w:multiLevelType w:val="hybridMultilevel"/>
    <w:tmpl w:val="168EB9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E7E58"/>
    <w:multiLevelType w:val="hybridMultilevel"/>
    <w:tmpl w:val="4B5C7744"/>
    <w:lvl w:ilvl="0" w:tplc="AD2AC76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3E74F2"/>
    <w:multiLevelType w:val="hybridMultilevel"/>
    <w:tmpl w:val="5966151A"/>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0107C6"/>
    <w:multiLevelType w:val="hybridMultilevel"/>
    <w:tmpl w:val="9DF2CACE"/>
    <w:lvl w:ilvl="0" w:tplc="84B8F54A">
      <w:start w:val="56"/>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971152"/>
    <w:multiLevelType w:val="multilevel"/>
    <w:tmpl w:val="53E62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2E4D9A"/>
    <w:multiLevelType w:val="hybridMultilevel"/>
    <w:tmpl w:val="C8006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2075279">
    <w:abstractNumId w:val="30"/>
  </w:num>
  <w:num w:numId="2" w16cid:durableId="863636400">
    <w:abstractNumId w:val="13"/>
  </w:num>
  <w:num w:numId="3" w16cid:durableId="678582046">
    <w:abstractNumId w:val="5"/>
  </w:num>
  <w:num w:numId="4" w16cid:durableId="1091050307">
    <w:abstractNumId w:val="4"/>
  </w:num>
  <w:num w:numId="5" w16cid:durableId="1630083604">
    <w:abstractNumId w:val="1"/>
  </w:num>
  <w:num w:numId="6" w16cid:durableId="32660741">
    <w:abstractNumId w:val="26"/>
  </w:num>
  <w:num w:numId="7" w16cid:durableId="753554852">
    <w:abstractNumId w:val="23"/>
  </w:num>
  <w:num w:numId="8" w16cid:durableId="146753459">
    <w:abstractNumId w:val="8"/>
  </w:num>
  <w:num w:numId="9" w16cid:durableId="1324360875">
    <w:abstractNumId w:val="29"/>
  </w:num>
  <w:num w:numId="10" w16cid:durableId="507059455">
    <w:abstractNumId w:val="2"/>
  </w:num>
  <w:num w:numId="11" w16cid:durableId="1149901597">
    <w:abstractNumId w:val="3"/>
  </w:num>
  <w:num w:numId="12" w16cid:durableId="1021279529">
    <w:abstractNumId w:val="18"/>
  </w:num>
  <w:num w:numId="13" w16cid:durableId="1615792104">
    <w:abstractNumId w:val="0"/>
  </w:num>
  <w:num w:numId="14" w16cid:durableId="1740638650">
    <w:abstractNumId w:val="22"/>
  </w:num>
  <w:num w:numId="15" w16cid:durableId="203641177">
    <w:abstractNumId w:val="27"/>
  </w:num>
  <w:num w:numId="16" w16cid:durableId="1637687097">
    <w:abstractNumId w:val="25"/>
  </w:num>
  <w:num w:numId="17" w16cid:durableId="1648439407">
    <w:abstractNumId w:val="14"/>
  </w:num>
  <w:num w:numId="18" w16cid:durableId="507984649">
    <w:abstractNumId w:val="31"/>
  </w:num>
  <w:num w:numId="19" w16cid:durableId="517354160">
    <w:abstractNumId w:val="21"/>
  </w:num>
  <w:num w:numId="20" w16cid:durableId="1288664906">
    <w:abstractNumId w:val="11"/>
  </w:num>
  <w:num w:numId="21" w16cid:durableId="575554900">
    <w:abstractNumId w:val="24"/>
  </w:num>
  <w:num w:numId="22" w16cid:durableId="1676153226">
    <w:abstractNumId w:val="10"/>
  </w:num>
  <w:num w:numId="23" w16cid:durableId="1879783090">
    <w:abstractNumId w:val="16"/>
  </w:num>
  <w:num w:numId="24" w16cid:durableId="1156265288">
    <w:abstractNumId w:val="17"/>
  </w:num>
  <w:num w:numId="25" w16cid:durableId="1242132373">
    <w:abstractNumId w:val="12"/>
  </w:num>
  <w:num w:numId="26" w16cid:durableId="1797412673">
    <w:abstractNumId w:val="9"/>
  </w:num>
  <w:num w:numId="27" w16cid:durableId="724988339">
    <w:abstractNumId w:val="20"/>
  </w:num>
  <w:num w:numId="28" w16cid:durableId="595596049">
    <w:abstractNumId w:val="28"/>
  </w:num>
  <w:num w:numId="29" w16cid:durableId="832643405">
    <w:abstractNumId w:val="15"/>
  </w:num>
  <w:num w:numId="30" w16cid:durableId="203182570">
    <w:abstractNumId w:val="7"/>
  </w:num>
  <w:num w:numId="31" w16cid:durableId="262885208">
    <w:abstractNumId w:val="6"/>
  </w:num>
  <w:num w:numId="32" w16cid:durableId="17738952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E0"/>
    <w:rsid w:val="000060C3"/>
    <w:rsid w:val="00037D69"/>
    <w:rsid w:val="00040F3D"/>
    <w:rsid w:val="00050111"/>
    <w:rsid w:val="0009209A"/>
    <w:rsid w:val="0009606A"/>
    <w:rsid w:val="000B380B"/>
    <w:rsid w:val="000B62E2"/>
    <w:rsid w:val="000B634A"/>
    <w:rsid w:val="000E444A"/>
    <w:rsid w:val="0013228B"/>
    <w:rsid w:val="001547B9"/>
    <w:rsid w:val="0016413A"/>
    <w:rsid w:val="001904F6"/>
    <w:rsid w:val="001C2022"/>
    <w:rsid w:val="001F23AF"/>
    <w:rsid w:val="00202B28"/>
    <w:rsid w:val="00203627"/>
    <w:rsid w:val="002048CF"/>
    <w:rsid w:val="00206526"/>
    <w:rsid w:val="00206727"/>
    <w:rsid w:val="002075FA"/>
    <w:rsid w:val="00210574"/>
    <w:rsid w:val="002123F8"/>
    <w:rsid w:val="00230143"/>
    <w:rsid w:val="0025682B"/>
    <w:rsid w:val="002622FF"/>
    <w:rsid w:val="002633FB"/>
    <w:rsid w:val="002745F6"/>
    <w:rsid w:val="00275046"/>
    <w:rsid w:val="002C0669"/>
    <w:rsid w:val="002C6447"/>
    <w:rsid w:val="002C7B11"/>
    <w:rsid w:val="00304988"/>
    <w:rsid w:val="00311E1F"/>
    <w:rsid w:val="0031468D"/>
    <w:rsid w:val="003218CE"/>
    <w:rsid w:val="00325D9F"/>
    <w:rsid w:val="003412A5"/>
    <w:rsid w:val="003524FA"/>
    <w:rsid w:val="00353CDB"/>
    <w:rsid w:val="00366146"/>
    <w:rsid w:val="00381DF1"/>
    <w:rsid w:val="00393FD0"/>
    <w:rsid w:val="0040117D"/>
    <w:rsid w:val="004145B3"/>
    <w:rsid w:val="0042063E"/>
    <w:rsid w:val="00422FC6"/>
    <w:rsid w:val="004240A4"/>
    <w:rsid w:val="00437176"/>
    <w:rsid w:val="0045063B"/>
    <w:rsid w:val="00486EE0"/>
    <w:rsid w:val="00496573"/>
    <w:rsid w:val="0049795C"/>
    <w:rsid w:val="004C3E5E"/>
    <w:rsid w:val="004D498B"/>
    <w:rsid w:val="004D5BF0"/>
    <w:rsid w:val="004E0520"/>
    <w:rsid w:val="004E2CF3"/>
    <w:rsid w:val="004E79BC"/>
    <w:rsid w:val="004F5D98"/>
    <w:rsid w:val="00507DE1"/>
    <w:rsid w:val="005111D2"/>
    <w:rsid w:val="00523940"/>
    <w:rsid w:val="005277C7"/>
    <w:rsid w:val="005351A0"/>
    <w:rsid w:val="005402C7"/>
    <w:rsid w:val="00550ED0"/>
    <w:rsid w:val="0058195E"/>
    <w:rsid w:val="005A0C34"/>
    <w:rsid w:val="005C06E4"/>
    <w:rsid w:val="005C1A99"/>
    <w:rsid w:val="005C4C1C"/>
    <w:rsid w:val="005C660C"/>
    <w:rsid w:val="005D02AB"/>
    <w:rsid w:val="005E7F97"/>
    <w:rsid w:val="006042BE"/>
    <w:rsid w:val="0068799D"/>
    <w:rsid w:val="00690774"/>
    <w:rsid w:val="006A2F47"/>
    <w:rsid w:val="006A5ED8"/>
    <w:rsid w:val="006D71DD"/>
    <w:rsid w:val="006F4933"/>
    <w:rsid w:val="007147C8"/>
    <w:rsid w:val="007151F4"/>
    <w:rsid w:val="0072699B"/>
    <w:rsid w:val="00742DC5"/>
    <w:rsid w:val="007562B6"/>
    <w:rsid w:val="00761B1D"/>
    <w:rsid w:val="00776376"/>
    <w:rsid w:val="00793876"/>
    <w:rsid w:val="007A32E1"/>
    <w:rsid w:val="008218FC"/>
    <w:rsid w:val="008232A5"/>
    <w:rsid w:val="008239AE"/>
    <w:rsid w:val="008432C4"/>
    <w:rsid w:val="008457B4"/>
    <w:rsid w:val="00852574"/>
    <w:rsid w:val="0085419E"/>
    <w:rsid w:val="00864B53"/>
    <w:rsid w:val="00867AE8"/>
    <w:rsid w:val="00871BFD"/>
    <w:rsid w:val="00875762"/>
    <w:rsid w:val="0088071D"/>
    <w:rsid w:val="008B4DA1"/>
    <w:rsid w:val="008B6E8A"/>
    <w:rsid w:val="008C3B20"/>
    <w:rsid w:val="008C6B43"/>
    <w:rsid w:val="008E70B9"/>
    <w:rsid w:val="008F5132"/>
    <w:rsid w:val="008F7B64"/>
    <w:rsid w:val="00922BAB"/>
    <w:rsid w:val="00923FC8"/>
    <w:rsid w:val="009333BD"/>
    <w:rsid w:val="009354B0"/>
    <w:rsid w:val="00936323"/>
    <w:rsid w:val="009478FB"/>
    <w:rsid w:val="00947C74"/>
    <w:rsid w:val="009572B9"/>
    <w:rsid w:val="00977262"/>
    <w:rsid w:val="00986A4B"/>
    <w:rsid w:val="009953CF"/>
    <w:rsid w:val="009C04C1"/>
    <w:rsid w:val="009C0C24"/>
    <w:rsid w:val="009E3E28"/>
    <w:rsid w:val="009E6853"/>
    <w:rsid w:val="00A17791"/>
    <w:rsid w:val="00A22186"/>
    <w:rsid w:val="00A2602F"/>
    <w:rsid w:val="00A2675C"/>
    <w:rsid w:val="00A40FB5"/>
    <w:rsid w:val="00A716AA"/>
    <w:rsid w:val="00A958CD"/>
    <w:rsid w:val="00A959C9"/>
    <w:rsid w:val="00AA0769"/>
    <w:rsid w:val="00AA4216"/>
    <w:rsid w:val="00AB177C"/>
    <w:rsid w:val="00AB3F05"/>
    <w:rsid w:val="00AD5AA4"/>
    <w:rsid w:val="00AE062B"/>
    <w:rsid w:val="00AF4919"/>
    <w:rsid w:val="00B01D74"/>
    <w:rsid w:val="00B01F8F"/>
    <w:rsid w:val="00B24D57"/>
    <w:rsid w:val="00B45714"/>
    <w:rsid w:val="00B52110"/>
    <w:rsid w:val="00B712B1"/>
    <w:rsid w:val="00B74240"/>
    <w:rsid w:val="00B86C5A"/>
    <w:rsid w:val="00B9422C"/>
    <w:rsid w:val="00BA35C4"/>
    <w:rsid w:val="00BC397C"/>
    <w:rsid w:val="00BD5A06"/>
    <w:rsid w:val="00C01245"/>
    <w:rsid w:val="00C15F5F"/>
    <w:rsid w:val="00C25069"/>
    <w:rsid w:val="00C725AF"/>
    <w:rsid w:val="00CA5B64"/>
    <w:rsid w:val="00CC3A5F"/>
    <w:rsid w:val="00CC50B2"/>
    <w:rsid w:val="00CD3C3D"/>
    <w:rsid w:val="00CE0E2C"/>
    <w:rsid w:val="00D02316"/>
    <w:rsid w:val="00D12F47"/>
    <w:rsid w:val="00D176C0"/>
    <w:rsid w:val="00D350F1"/>
    <w:rsid w:val="00D36F5B"/>
    <w:rsid w:val="00DC7F11"/>
    <w:rsid w:val="00E03D30"/>
    <w:rsid w:val="00E175F9"/>
    <w:rsid w:val="00E2183D"/>
    <w:rsid w:val="00E30D5B"/>
    <w:rsid w:val="00E324DD"/>
    <w:rsid w:val="00E50397"/>
    <w:rsid w:val="00E55D66"/>
    <w:rsid w:val="00E70873"/>
    <w:rsid w:val="00EA2D10"/>
    <w:rsid w:val="00EA7F60"/>
    <w:rsid w:val="00EB02E1"/>
    <w:rsid w:val="00ED15D8"/>
    <w:rsid w:val="00EE1A10"/>
    <w:rsid w:val="00EF0A47"/>
    <w:rsid w:val="00F10B43"/>
    <w:rsid w:val="00F5403C"/>
    <w:rsid w:val="00F56A74"/>
    <w:rsid w:val="00F57388"/>
    <w:rsid w:val="00FA0250"/>
    <w:rsid w:val="00FA4906"/>
    <w:rsid w:val="00FB1CF8"/>
    <w:rsid w:val="00FB3116"/>
    <w:rsid w:val="00FC7F3A"/>
    <w:rsid w:val="00FD569C"/>
    <w:rsid w:val="00FE7D92"/>
    <w:rsid w:val="00FF10B9"/>
    <w:rsid w:val="00FF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702106"/>
  <w15:chartTrackingRefBased/>
  <w15:docId w15:val="{B0ED1CAD-400F-4D6E-BF76-2711F50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2FC6"/>
    <w:pPr>
      <w:spacing w:after="160" w:line="259" w:lineRule="auto"/>
    </w:pPr>
    <w:rPr>
      <w:sz w:val="22"/>
      <w:szCs w:val="22"/>
      <w:lang w:val="pl-PL"/>
    </w:rPr>
  </w:style>
  <w:style w:type="paragraph" w:styleId="Nagwek5">
    <w:name w:val="heading 5"/>
    <w:basedOn w:val="Normalny"/>
    <w:link w:val="Nagwek5Znak"/>
    <w:uiPriority w:val="9"/>
    <w:qFormat/>
    <w:rsid w:val="0009209A"/>
    <w:pPr>
      <w:spacing w:before="100" w:beforeAutospacing="1" w:after="100" w:afterAutospacing="1" w:line="240" w:lineRule="auto"/>
      <w:outlineLvl w:val="4"/>
    </w:pPr>
    <w:rPr>
      <w:rFonts w:ascii="Times New Roman" w:eastAsia="Times New Roman" w:hAnsi="Times New Roman"/>
      <w:b/>
      <w:bCs/>
      <w:sz w:val="20"/>
      <w:szCs w:val="20"/>
      <w:lang w:val="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7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B64"/>
  </w:style>
  <w:style w:type="paragraph" w:styleId="Stopka">
    <w:name w:val="footer"/>
    <w:basedOn w:val="Normalny"/>
    <w:link w:val="StopkaZnak"/>
    <w:uiPriority w:val="99"/>
    <w:unhideWhenUsed/>
    <w:rsid w:val="008F7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B64"/>
  </w:style>
  <w:style w:type="table" w:styleId="Tabela-Siatka">
    <w:name w:val="Table Grid"/>
    <w:basedOn w:val="Standardowy"/>
    <w:uiPriority w:val="39"/>
    <w:rsid w:val="008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8F7B64"/>
    <w:rPr>
      <w:color w:val="0000FF"/>
      <w:u w:val="single"/>
    </w:rPr>
  </w:style>
  <w:style w:type="paragraph" w:customStyle="1" w:styleId="Default">
    <w:name w:val="Default"/>
    <w:rsid w:val="008F7B64"/>
    <w:pPr>
      <w:autoSpaceDE w:val="0"/>
      <w:autoSpaceDN w:val="0"/>
      <w:adjustRightInd w:val="0"/>
    </w:pPr>
    <w:rPr>
      <w:rFonts w:ascii="Arial" w:hAnsi="Arial" w:cs="Arial"/>
      <w:color w:val="000000"/>
      <w:sz w:val="24"/>
      <w:szCs w:val="24"/>
      <w:lang w:val="pl-PL"/>
    </w:rPr>
  </w:style>
  <w:style w:type="paragraph" w:customStyle="1" w:styleId="Tekstpodstawowy1">
    <w:name w:val="Tekst podstawowy1"/>
    <w:basedOn w:val="Normalny"/>
    <w:rsid w:val="00A2675C"/>
    <w:pPr>
      <w:widowControl w:val="0"/>
      <w:shd w:val="clear" w:color="auto" w:fill="FFFFFF"/>
      <w:spacing w:after="0" w:line="240" w:lineRule="auto"/>
    </w:pPr>
    <w:rPr>
      <w:rFonts w:ascii="Times New Roman" w:eastAsia="Times New Roman" w:hAnsi="Times New Roman"/>
      <w:sz w:val="20"/>
      <w:szCs w:val="20"/>
      <w:lang w:eastAsia="pl-PL"/>
    </w:rPr>
  </w:style>
  <w:style w:type="character" w:customStyle="1" w:styleId="BodytextArial">
    <w:name w:val="Body text + Arial"/>
    <w:aliases w:val="9,5 pt,Bold"/>
    <w:rsid w:val="00A2675C"/>
    <w:rPr>
      <w:rFonts w:ascii="Arial" w:eastAsia="Times New Roman" w:hAnsi="Arial" w:cs="Arial" w:hint="default"/>
      <w:b/>
      <w:bCs/>
      <w:color w:val="000000"/>
      <w:spacing w:val="0"/>
      <w:w w:val="100"/>
      <w:position w:val="0"/>
      <w:sz w:val="19"/>
      <w:szCs w:val="19"/>
      <w:shd w:val="clear" w:color="auto" w:fill="FFFFFF"/>
      <w:lang w:val="pl-PL"/>
    </w:rPr>
  </w:style>
  <w:style w:type="character" w:customStyle="1" w:styleId="Nierozpoznanawzmianka1">
    <w:name w:val="Nierozpoznana wzmianka1"/>
    <w:uiPriority w:val="99"/>
    <w:semiHidden/>
    <w:unhideWhenUsed/>
    <w:rsid w:val="0025682B"/>
    <w:rPr>
      <w:color w:val="808080"/>
      <w:shd w:val="clear" w:color="auto" w:fill="E6E6E6"/>
    </w:rPr>
  </w:style>
  <w:style w:type="paragraph" w:styleId="Tekstdymka">
    <w:name w:val="Balloon Text"/>
    <w:basedOn w:val="Normalny"/>
    <w:link w:val="TekstdymkaZnak"/>
    <w:uiPriority w:val="99"/>
    <w:semiHidden/>
    <w:unhideWhenUsed/>
    <w:rsid w:val="0093632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36323"/>
    <w:rPr>
      <w:rFonts w:ascii="Segoe UI" w:hAnsi="Segoe UI" w:cs="Segoe UI"/>
      <w:sz w:val="18"/>
      <w:szCs w:val="18"/>
      <w:lang w:val="pl-PL"/>
    </w:rPr>
  </w:style>
  <w:style w:type="character" w:styleId="UyteHipercze">
    <w:name w:val="FollowedHyperlink"/>
    <w:uiPriority w:val="99"/>
    <w:semiHidden/>
    <w:unhideWhenUsed/>
    <w:rsid w:val="00864B53"/>
    <w:rPr>
      <w:color w:val="954F72"/>
      <w:u w:val="single"/>
    </w:rPr>
  </w:style>
  <w:style w:type="character" w:styleId="Odwoaniedokomentarza">
    <w:name w:val="annotation reference"/>
    <w:uiPriority w:val="99"/>
    <w:semiHidden/>
    <w:unhideWhenUsed/>
    <w:rsid w:val="002633FB"/>
    <w:rPr>
      <w:sz w:val="16"/>
      <w:szCs w:val="16"/>
    </w:rPr>
  </w:style>
  <w:style w:type="paragraph" w:styleId="Tekstkomentarza">
    <w:name w:val="annotation text"/>
    <w:basedOn w:val="Normalny"/>
    <w:link w:val="TekstkomentarzaZnak"/>
    <w:uiPriority w:val="99"/>
    <w:semiHidden/>
    <w:unhideWhenUsed/>
    <w:rsid w:val="002633FB"/>
    <w:rPr>
      <w:sz w:val="20"/>
      <w:szCs w:val="20"/>
    </w:rPr>
  </w:style>
  <w:style w:type="character" w:customStyle="1" w:styleId="TekstkomentarzaZnak">
    <w:name w:val="Tekst komentarza Znak"/>
    <w:link w:val="Tekstkomentarza"/>
    <w:uiPriority w:val="99"/>
    <w:semiHidden/>
    <w:rsid w:val="002633FB"/>
    <w:rPr>
      <w:lang w:val="pl-PL"/>
    </w:rPr>
  </w:style>
  <w:style w:type="paragraph" w:styleId="Tematkomentarza">
    <w:name w:val="annotation subject"/>
    <w:basedOn w:val="Tekstkomentarza"/>
    <w:next w:val="Tekstkomentarza"/>
    <w:link w:val="TematkomentarzaZnak"/>
    <w:uiPriority w:val="99"/>
    <w:semiHidden/>
    <w:unhideWhenUsed/>
    <w:rsid w:val="002633FB"/>
    <w:rPr>
      <w:b/>
      <w:bCs/>
    </w:rPr>
  </w:style>
  <w:style w:type="character" w:customStyle="1" w:styleId="TematkomentarzaZnak">
    <w:name w:val="Temat komentarza Znak"/>
    <w:link w:val="Tematkomentarza"/>
    <w:uiPriority w:val="99"/>
    <w:semiHidden/>
    <w:rsid w:val="002633FB"/>
    <w:rPr>
      <w:b/>
      <w:bCs/>
      <w:lang w:val="pl-PL"/>
    </w:rPr>
  </w:style>
  <w:style w:type="paragraph" w:styleId="Akapitzlist">
    <w:name w:val="List Paragraph"/>
    <w:basedOn w:val="Normalny"/>
    <w:uiPriority w:val="34"/>
    <w:qFormat/>
    <w:rsid w:val="00742DC5"/>
    <w:pPr>
      <w:ind w:left="720"/>
      <w:contextualSpacing/>
    </w:pPr>
  </w:style>
  <w:style w:type="character" w:customStyle="1" w:styleId="Nagwek5Znak">
    <w:name w:val="Nagłówek 5 Znak"/>
    <w:basedOn w:val="Domylnaczcionkaakapitu"/>
    <w:link w:val="Nagwek5"/>
    <w:uiPriority w:val="9"/>
    <w:rsid w:val="0009209A"/>
    <w:rPr>
      <w:rFonts w:ascii="Times New Roman" w:eastAsia="Times New Roman" w:hAnsi="Times New Roman"/>
      <w:b/>
      <w:bCs/>
    </w:rPr>
  </w:style>
  <w:style w:type="paragraph" w:customStyle="1" w:styleId="-">
    <w:name w:val="-"/>
    <w:basedOn w:val="Normalny"/>
    <w:rsid w:val="0013228B"/>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61802">
      <w:bodyDiv w:val="1"/>
      <w:marLeft w:val="0"/>
      <w:marRight w:val="0"/>
      <w:marTop w:val="0"/>
      <w:marBottom w:val="0"/>
      <w:divBdr>
        <w:top w:val="none" w:sz="0" w:space="0" w:color="auto"/>
        <w:left w:val="none" w:sz="0" w:space="0" w:color="auto"/>
        <w:bottom w:val="none" w:sz="0" w:space="0" w:color="auto"/>
        <w:right w:val="none" w:sz="0" w:space="0" w:color="auto"/>
      </w:divBdr>
    </w:div>
    <w:div w:id="136188756">
      <w:bodyDiv w:val="1"/>
      <w:marLeft w:val="0"/>
      <w:marRight w:val="0"/>
      <w:marTop w:val="0"/>
      <w:marBottom w:val="0"/>
      <w:divBdr>
        <w:top w:val="none" w:sz="0" w:space="0" w:color="auto"/>
        <w:left w:val="none" w:sz="0" w:space="0" w:color="auto"/>
        <w:bottom w:val="none" w:sz="0" w:space="0" w:color="auto"/>
        <w:right w:val="none" w:sz="0" w:space="0" w:color="auto"/>
      </w:divBdr>
    </w:div>
    <w:div w:id="351567607">
      <w:bodyDiv w:val="1"/>
      <w:marLeft w:val="0"/>
      <w:marRight w:val="0"/>
      <w:marTop w:val="0"/>
      <w:marBottom w:val="0"/>
      <w:divBdr>
        <w:top w:val="none" w:sz="0" w:space="0" w:color="auto"/>
        <w:left w:val="none" w:sz="0" w:space="0" w:color="auto"/>
        <w:bottom w:val="none" w:sz="0" w:space="0" w:color="auto"/>
        <w:right w:val="none" w:sz="0" w:space="0" w:color="auto"/>
      </w:divBdr>
    </w:div>
    <w:div w:id="405803521">
      <w:bodyDiv w:val="1"/>
      <w:marLeft w:val="0"/>
      <w:marRight w:val="0"/>
      <w:marTop w:val="0"/>
      <w:marBottom w:val="0"/>
      <w:divBdr>
        <w:top w:val="none" w:sz="0" w:space="0" w:color="auto"/>
        <w:left w:val="none" w:sz="0" w:space="0" w:color="auto"/>
        <w:bottom w:val="none" w:sz="0" w:space="0" w:color="auto"/>
        <w:right w:val="none" w:sz="0" w:space="0" w:color="auto"/>
      </w:divBdr>
    </w:div>
    <w:div w:id="501168866">
      <w:bodyDiv w:val="1"/>
      <w:marLeft w:val="0"/>
      <w:marRight w:val="0"/>
      <w:marTop w:val="0"/>
      <w:marBottom w:val="0"/>
      <w:divBdr>
        <w:top w:val="none" w:sz="0" w:space="0" w:color="auto"/>
        <w:left w:val="none" w:sz="0" w:space="0" w:color="auto"/>
        <w:bottom w:val="none" w:sz="0" w:space="0" w:color="auto"/>
        <w:right w:val="none" w:sz="0" w:space="0" w:color="auto"/>
      </w:divBdr>
    </w:div>
    <w:div w:id="566307300">
      <w:bodyDiv w:val="1"/>
      <w:marLeft w:val="0"/>
      <w:marRight w:val="0"/>
      <w:marTop w:val="0"/>
      <w:marBottom w:val="0"/>
      <w:divBdr>
        <w:top w:val="none" w:sz="0" w:space="0" w:color="auto"/>
        <w:left w:val="none" w:sz="0" w:space="0" w:color="auto"/>
        <w:bottom w:val="none" w:sz="0" w:space="0" w:color="auto"/>
        <w:right w:val="none" w:sz="0" w:space="0" w:color="auto"/>
      </w:divBdr>
    </w:div>
    <w:div w:id="577640719">
      <w:bodyDiv w:val="1"/>
      <w:marLeft w:val="0"/>
      <w:marRight w:val="0"/>
      <w:marTop w:val="0"/>
      <w:marBottom w:val="0"/>
      <w:divBdr>
        <w:top w:val="none" w:sz="0" w:space="0" w:color="auto"/>
        <w:left w:val="none" w:sz="0" w:space="0" w:color="auto"/>
        <w:bottom w:val="none" w:sz="0" w:space="0" w:color="auto"/>
        <w:right w:val="none" w:sz="0" w:space="0" w:color="auto"/>
      </w:divBdr>
    </w:div>
    <w:div w:id="1027100408">
      <w:bodyDiv w:val="1"/>
      <w:marLeft w:val="0"/>
      <w:marRight w:val="0"/>
      <w:marTop w:val="0"/>
      <w:marBottom w:val="0"/>
      <w:divBdr>
        <w:top w:val="none" w:sz="0" w:space="0" w:color="auto"/>
        <w:left w:val="none" w:sz="0" w:space="0" w:color="auto"/>
        <w:bottom w:val="none" w:sz="0" w:space="0" w:color="auto"/>
        <w:right w:val="none" w:sz="0" w:space="0" w:color="auto"/>
      </w:divBdr>
    </w:div>
    <w:div w:id="1060597551">
      <w:bodyDiv w:val="1"/>
      <w:marLeft w:val="0"/>
      <w:marRight w:val="0"/>
      <w:marTop w:val="0"/>
      <w:marBottom w:val="0"/>
      <w:divBdr>
        <w:top w:val="none" w:sz="0" w:space="0" w:color="auto"/>
        <w:left w:val="none" w:sz="0" w:space="0" w:color="auto"/>
        <w:bottom w:val="none" w:sz="0" w:space="0" w:color="auto"/>
        <w:right w:val="none" w:sz="0" w:space="0" w:color="auto"/>
      </w:divBdr>
    </w:div>
    <w:div w:id="1189871824">
      <w:bodyDiv w:val="1"/>
      <w:marLeft w:val="0"/>
      <w:marRight w:val="0"/>
      <w:marTop w:val="0"/>
      <w:marBottom w:val="0"/>
      <w:divBdr>
        <w:top w:val="none" w:sz="0" w:space="0" w:color="auto"/>
        <w:left w:val="none" w:sz="0" w:space="0" w:color="auto"/>
        <w:bottom w:val="none" w:sz="0" w:space="0" w:color="auto"/>
        <w:right w:val="none" w:sz="0" w:space="0" w:color="auto"/>
      </w:divBdr>
    </w:div>
    <w:div w:id="1389642938">
      <w:bodyDiv w:val="1"/>
      <w:marLeft w:val="0"/>
      <w:marRight w:val="0"/>
      <w:marTop w:val="0"/>
      <w:marBottom w:val="0"/>
      <w:divBdr>
        <w:top w:val="none" w:sz="0" w:space="0" w:color="auto"/>
        <w:left w:val="none" w:sz="0" w:space="0" w:color="auto"/>
        <w:bottom w:val="none" w:sz="0" w:space="0" w:color="auto"/>
        <w:right w:val="none" w:sz="0" w:space="0" w:color="auto"/>
      </w:divBdr>
    </w:div>
    <w:div w:id="1400439751">
      <w:bodyDiv w:val="1"/>
      <w:marLeft w:val="0"/>
      <w:marRight w:val="0"/>
      <w:marTop w:val="0"/>
      <w:marBottom w:val="0"/>
      <w:divBdr>
        <w:top w:val="none" w:sz="0" w:space="0" w:color="auto"/>
        <w:left w:val="none" w:sz="0" w:space="0" w:color="auto"/>
        <w:bottom w:val="none" w:sz="0" w:space="0" w:color="auto"/>
        <w:right w:val="none" w:sz="0" w:space="0" w:color="auto"/>
      </w:divBdr>
    </w:div>
    <w:div w:id="1588807261">
      <w:bodyDiv w:val="1"/>
      <w:marLeft w:val="0"/>
      <w:marRight w:val="0"/>
      <w:marTop w:val="0"/>
      <w:marBottom w:val="0"/>
      <w:divBdr>
        <w:top w:val="none" w:sz="0" w:space="0" w:color="auto"/>
        <w:left w:val="none" w:sz="0" w:space="0" w:color="auto"/>
        <w:bottom w:val="none" w:sz="0" w:space="0" w:color="auto"/>
        <w:right w:val="none" w:sz="0" w:space="0" w:color="auto"/>
      </w:divBdr>
    </w:div>
    <w:div w:id="1903447580">
      <w:bodyDiv w:val="1"/>
      <w:marLeft w:val="0"/>
      <w:marRight w:val="0"/>
      <w:marTop w:val="0"/>
      <w:marBottom w:val="0"/>
      <w:divBdr>
        <w:top w:val="none" w:sz="0" w:space="0" w:color="auto"/>
        <w:left w:val="none" w:sz="0" w:space="0" w:color="auto"/>
        <w:bottom w:val="none" w:sz="0" w:space="0" w:color="auto"/>
        <w:right w:val="none" w:sz="0" w:space="0" w:color="auto"/>
      </w:divBdr>
    </w:div>
    <w:div w:id="1984115717">
      <w:bodyDiv w:val="1"/>
      <w:marLeft w:val="0"/>
      <w:marRight w:val="0"/>
      <w:marTop w:val="0"/>
      <w:marBottom w:val="0"/>
      <w:divBdr>
        <w:top w:val="none" w:sz="0" w:space="0" w:color="auto"/>
        <w:left w:val="none" w:sz="0" w:space="0" w:color="auto"/>
        <w:bottom w:val="none" w:sz="0" w:space="0" w:color="auto"/>
        <w:right w:val="none" w:sz="0" w:space="0" w:color="auto"/>
      </w:divBdr>
    </w:div>
    <w:div w:id="19942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yperlink" Target="https://www.energystar.gov/productfinder/product/certified-displays/resul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peat.net/search-computers-and-display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cocertified.com/product-find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ugloadsolutions.com/80pluspowersupplies.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ideocardbenchmark.net/gpu_list.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41A54-05C0-40A6-AE52-0CA9E5388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3033</Words>
  <Characters>18200</Characters>
  <Application>Microsoft Office Word</Application>
  <DocSecurity>0</DocSecurity>
  <Lines>151</Lines>
  <Paragraphs>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21191</CharactersWithSpaces>
  <SharedDoc>false</SharedDoc>
  <HLinks>
    <vt:vector size="24" baseType="variant">
      <vt:variant>
        <vt:i4>7012450</vt:i4>
      </vt:variant>
      <vt:variant>
        <vt:i4>9</vt:i4>
      </vt:variant>
      <vt:variant>
        <vt:i4>0</vt:i4>
      </vt:variant>
      <vt:variant>
        <vt:i4>5</vt:i4>
      </vt:variant>
      <vt:variant>
        <vt:lpwstr>http://tcocertified.com/product-finder/</vt:lpwstr>
      </vt:variant>
      <vt:variant>
        <vt:lpwstr/>
      </vt:variant>
      <vt:variant>
        <vt:i4>5439490</vt:i4>
      </vt:variant>
      <vt:variant>
        <vt:i4>6</vt:i4>
      </vt:variant>
      <vt:variant>
        <vt:i4>0</vt:i4>
      </vt:variant>
      <vt:variant>
        <vt:i4>5</vt:i4>
      </vt:variant>
      <vt:variant>
        <vt:lpwstr>http://www.dmtf.org/standards/mgmt/dash/</vt:lpwstr>
      </vt:variant>
      <vt:variant>
        <vt:lpwstr/>
      </vt:variant>
      <vt:variant>
        <vt:i4>1835089</vt:i4>
      </vt:variant>
      <vt:variant>
        <vt:i4>3</vt:i4>
      </vt:variant>
      <vt:variant>
        <vt:i4>0</vt:i4>
      </vt:variant>
      <vt:variant>
        <vt:i4>5</vt:i4>
      </vt:variant>
      <vt:variant>
        <vt:lpwstr>http://www.plugloadsolutions.com/80pluspowersupplies.aspx</vt:lpwstr>
      </vt:variant>
      <vt:variant>
        <vt:lpwstr/>
      </vt:variant>
      <vt:variant>
        <vt:i4>2162794</vt:i4>
      </vt:variant>
      <vt:variant>
        <vt:i4>0</vt:i4>
      </vt:variant>
      <vt:variant>
        <vt:i4>0</vt:i4>
      </vt:variant>
      <vt:variant>
        <vt:i4>5</vt:i4>
      </vt:variant>
      <vt:variant>
        <vt:lpwstr>https://www.videocardbenchmark.net/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Skyscan</dc:creator>
  <dc:description/>
  <cp:lastModifiedBy>Dąbrowski Łukasz</cp:lastModifiedBy>
  <cp:revision>11</cp:revision>
  <dcterms:created xsi:type="dcterms:W3CDTF">2024-04-25T09:37:00Z</dcterms:created>
  <dcterms:modified xsi:type="dcterms:W3CDTF">2024-06-20T12:08:00Z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8679c804-e300-4f43-b0c7-bb51abd65768</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y fmtid="{D5CDD505-2E9C-101B-9397-08002B2CF9AE}" pid="7" name="MSIP_Label_17cb76b2-10b8-4fe1-93d4-2202842406cd_Enabled">
    <vt:lpwstr>True</vt:lpwstr>
  </property>
  <property fmtid="{D5CDD505-2E9C-101B-9397-08002B2CF9AE}" pid="8" name="MSIP_Label_17cb76b2-10b8-4fe1-93d4-2202842406cd_SiteId">
    <vt:lpwstr>945c199a-83a2-4e80-9f8c-5a91be5752dd</vt:lpwstr>
  </property>
  <property fmtid="{D5CDD505-2E9C-101B-9397-08002B2CF9AE}" pid="9" name="MSIP_Label_17cb76b2-10b8-4fe1-93d4-2202842406cd_Ref">
    <vt:lpwstr>https://api.informationprotection.azure.com/api/945c199a-83a2-4e80-9f8c-5a91be5752dd</vt:lpwstr>
  </property>
  <property fmtid="{D5CDD505-2E9C-101B-9397-08002B2CF9AE}" pid="10" name="MSIP_Label_17cb76b2-10b8-4fe1-93d4-2202842406cd_Owner">
    <vt:lpwstr>Kazimierz_Szczepanik@Dell.com</vt:lpwstr>
  </property>
  <property fmtid="{D5CDD505-2E9C-101B-9397-08002B2CF9AE}" pid="11" name="MSIP_Label_17cb76b2-10b8-4fe1-93d4-2202842406cd_SetDate">
    <vt:lpwstr>2018-02-16T11:22:59.5063346+01:00</vt:lpwstr>
  </property>
  <property fmtid="{D5CDD505-2E9C-101B-9397-08002B2CF9AE}" pid="12" name="MSIP_Label_17cb76b2-10b8-4fe1-93d4-2202842406cd_Name">
    <vt:lpwstr>External Public</vt:lpwstr>
  </property>
  <property fmtid="{D5CDD505-2E9C-101B-9397-08002B2CF9AE}" pid="13" name="MSIP_Label_17cb76b2-10b8-4fe1-93d4-2202842406cd_Application">
    <vt:lpwstr>Microsoft Azure Information Protection</vt:lpwstr>
  </property>
  <property fmtid="{D5CDD505-2E9C-101B-9397-08002B2CF9AE}" pid="14" name="MSIP_Label_17cb76b2-10b8-4fe1-93d4-2202842406cd_Extended_MSFT_Method">
    <vt:lpwstr>Manual</vt:lpwstr>
  </property>
  <property fmtid="{D5CDD505-2E9C-101B-9397-08002B2CF9AE}" pid="15" name="Sensitivity">
    <vt:lpwstr>External Public</vt:lpwstr>
  </property>
</Properties>
</file>