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7D" w:rsidRPr="004D05BB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Cs w:val="24"/>
        </w:rPr>
      </w:pPr>
      <w:bookmarkStart w:id="0" w:name="_Toc245512521"/>
      <w:bookmarkStart w:id="1" w:name="_Toc248013632"/>
      <w:bookmarkStart w:id="2" w:name="_Toc251918582"/>
      <w:bookmarkStart w:id="3" w:name="_Toc266183666"/>
      <w:bookmarkStart w:id="4" w:name="_Toc308524480"/>
      <w:bookmarkStart w:id="5" w:name="_Toc386095115"/>
      <w:bookmarkStart w:id="6" w:name="_Toc387052763"/>
      <w:r w:rsidRPr="004D05BB">
        <w:rPr>
          <w:rFonts w:ascii="Gill Sans MT" w:hAnsi="Gill Sans MT"/>
          <w:szCs w:val="24"/>
        </w:rPr>
        <w:t xml:space="preserve">Nazwa obiektu budowlanego:     </w:t>
      </w:r>
    </w:p>
    <w:p w:rsidR="00A1497D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b/>
        </w:rPr>
      </w:pPr>
      <w:r w:rsidRPr="004D05BB">
        <w:rPr>
          <w:rFonts w:ascii="Gill Sans MT" w:hAnsi="Gill Sans MT"/>
          <w:b/>
        </w:rPr>
        <w:t>Przebudowa i nadbudowa budynku wielofun</w:t>
      </w:r>
      <w:r>
        <w:rPr>
          <w:rFonts w:ascii="Gill Sans MT" w:hAnsi="Gill Sans MT"/>
          <w:b/>
        </w:rPr>
        <w:t>kcyjnego z trybunami na terenie</w:t>
      </w:r>
    </w:p>
    <w:p w:rsidR="00A1497D" w:rsidRPr="004D05BB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b/>
        </w:rPr>
      </w:pPr>
      <w:r w:rsidRPr="004D05BB">
        <w:rPr>
          <w:rFonts w:ascii="Gill Sans MT" w:hAnsi="Gill Sans MT"/>
          <w:b/>
        </w:rPr>
        <w:t>stadionu</w:t>
      </w:r>
      <w:r>
        <w:rPr>
          <w:rFonts w:ascii="Gill Sans MT" w:hAnsi="Gill Sans MT"/>
          <w:b/>
        </w:rPr>
        <w:t xml:space="preserve"> </w:t>
      </w:r>
      <w:r w:rsidRPr="004D05BB">
        <w:rPr>
          <w:rFonts w:ascii="Gill Sans MT" w:hAnsi="Gill Sans MT"/>
          <w:b/>
        </w:rPr>
        <w:t>w Odrzykoniu</w:t>
      </w:r>
    </w:p>
    <w:p w:rsidR="00A1497D" w:rsidRPr="004D05BB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Cs w:val="24"/>
        </w:rPr>
      </w:pPr>
    </w:p>
    <w:p w:rsidR="00A1497D" w:rsidRPr="004D05BB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szCs w:val="24"/>
        </w:rPr>
      </w:pPr>
      <w:r w:rsidRPr="004D05BB">
        <w:rPr>
          <w:rFonts w:ascii="Gill Sans MT" w:hAnsi="Gill Sans MT"/>
          <w:szCs w:val="24"/>
        </w:rPr>
        <w:t xml:space="preserve">Adres budowy: </w:t>
      </w:r>
    </w:p>
    <w:p w:rsidR="00A1497D" w:rsidRPr="004D05BB" w:rsidRDefault="00A1497D" w:rsidP="00A1497D">
      <w:pPr>
        <w:tabs>
          <w:tab w:val="left" w:pos="1560"/>
        </w:tabs>
        <w:spacing w:line="240" w:lineRule="auto"/>
        <w:ind w:left="1540" w:hanging="1540"/>
        <w:rPr>
          <w:rFonts w:ascii="Gill Sans MT" w:hAnsi="Gill Sans MT"/>
          <w:b/>
          <w:szCs w:val="24"/>
        </w:rPr>
      </w:pPr>
      <w:r w:rsidRPr="004D05BB">
        <w:rPr>
          <w:rFonts w:ascii="Gill Sans MT" w:hAnsi="Gill Sans MT"/>
          <w:b/>
          <w:szCs w:val="24"/>
        </w:rPr>
        <w:t xml:space="preserve">dz. ew. nr 80/2, 81/2, </w:t>
      </w:r>
      <w:proofErr w:type="spellStart"/>
      <w:r w:rsidRPr="004D05BB">
        <w:rPr>
          <w:rFonts w:ascii="Gill Sans MT" w:hAnsi="Gill Sans MT"/>
          <w:b/>
          <w:szCs w:val="24"/>
        </w:rPr>
        <w:t>obr</w:t>
      </w:r>
      <w:proofErr w:type="spellEnd"/>
      <w:r w:rsidRPr="004D05BB">
        <w:rPr>
          <w:rFonts w:ascii="Gill Sans MT" w:hAnsi="Gill Sans MT"/>
          <w:b/>
          <w:szCs w:val="24"/>
        </w:rPr>
        <w:t xml:space="preserve">. 0005 Odrzykoń, jedn. </w:t>
      </w:r>
      <w:proofErr w:type="spellStart"/>
      <w:r w:rsidRPr="004D05BB">
        <w:rPr>
          <w:rFonts w:ascii="Gill Sans MT" w:hAnsi="Gill Sans MT"/>
          <w:b/>
          <w:szCs w:val="24"/>
        </w:rPr>
        <w:t>ewid</w:t>
      </w:r>
      <w:proofErr w:type="spellEnd"/>
      <w:r w:rsidRPr="004D05BB">
        <w:rPr>
          <w:rFonts w:ascii="Gill Sans MT" w:hAnsi="Gill Sans MT"/>
          <w:b/>
          <w:szCs w:val="24"/>
        </w:rPr>
        <w:t>. 180709_2 Wojaszówka</w:t>
      </w:r>
    </w:p>
    <w:p w:rsidR="00A1497D" w:rsidRPr="004D05BB" w:rsidRDefault="00A1497D" w:rsidP="00A1497D">
      <w:pPr>
        <w:rPr>
          <w:rFonts w:ascii="Gill Sans MT" w:hAnsi="Gill Sans MT"/>
          <w:szCs w:val="24"/>
        </w:rPr>
      </w:pPr>
    </w:p>
    <w:p w:rsidR="00A1497D" w:rsidRPr="004D05BB" w:rsidRDefault="00A1497D" w:rsidP="00A1497D">
      <w:pPr>
        <w:rPr>
          <w:rFonts w:ascii="Gill Sans MT" w:hAnsi="Gill Sans MT"/>
          <w:szCs w:val="24"/>
        </w:rPr>
      </w:pPr>
      <w:r w:rsidRPr="004D05BB">
        <w:rPr>
          <w:rFonts w:ascii="Gill Sans MT" w:hAnsi="Gill Sans MT"/>
          <w:szCs w:val="24"/>
        </w:rPr>
        <w:t xml:space="preserve">Inwestor:          </w:t>
      </w:r>
    </w:p>
    <w:p w:rsidR="00A1497D" w:rsidRPr="004D05BB" w:rsidRDefault="00A1497D" w:rsidP="00A1497D">
      <w:pPr>
        <w:autoSpaceDE w:val="0"/>
        <w:autoSpaceDN w:val="0"/>
        <w:adjustRightInd w:val="0"/>
        <w:rPr>
          <w:rFonts w:ascii="Gill Sans MT" w:hAnsi="Gill Sans MT"/>
          <w:b/>
          <w:szCs w:val="24"/>
        </w:rPr>
      </w:pPr>
      <w:r w:rsidRPr="004D05BB">
        <w:rPr>
          <w:rFonts w:ascii="Gill Sans MT" w:hAnsi="Gill Sans MT"/>
          <w:b/>
          <w:szCs w:val="24"/>
        </w:rPr>
        <w:t>Urząd Gminy Wojaszówka, 38-471 Wojaszówka 115</w:t>
      </w:r>
    </w:p>
    <w:p w:rsidR="004B40DB" w:rsidRDefault="004B40DB" w:rsidP="004B40DB">
      <w:pPr>
        <w:pStyle w:val="Nagwek1"/>
        <w:spacing w:line="276" w:lineRule="auto"/>
      </w:pPr>
    </w:p>
    <w:p w:rsidR="00EF0099" w:rsidRPr="00112E8D" w:rsidRDefault="00EF0099" w:rsidP="004B40DB">
      <w:pPr>
        <w:pStyle w:val="Nagwek1"/>
        <w:spacing w:line="276" w:lineRule="auto"/>
      </w:pPr>
      <w:r>
        <w:t xml:space="preserve">1. </w:t>
      </w:r>
      <w:r w:rsidRPr="00112E8D">
        <w:t>Charakterystyka energetyczna budynku</w:t>
      </w:r>
      <w:bookmarkEnd w:id="0"/>
      <w:bookmarkEnd w:id="1"/>
      <w:bookmarkEnd w:id="2"/>
      <w:bookmarkEnd w:id="3"/>
      <w:bookmarkEnd w:id="4"/>
      <w:bookmarkEnd w:id="5"/>
      <w:bookmarkEnd w:id="6"/>
    </w:p>
    <w:p w:rsidR="00EF0099" w:rsidRDefault="00EF0099" w:rsidP="004B40DB">
      <w:pPr>
        <w:spacing w:line="276" w:lineRule="auto"/>
      </w:pPr>
      <w:r>
        <w:t>a) Bilans mocy urządzeń elektrycznych, oraz urządzeń zużywających inne rodzaje energii:</w:t>
      </w:r>
    </w:p>
    <w:p w:rsidR="00EF0099" w:rsidRPr="00262740" w:rsidRDefault="00A1497D" w:rsidP="004B40DB">
      <w:pPr>
        <w:spacing w:line="276" w:lineRule="auto"/>
      </w:pPr>
      <w:r>
        <w:t xml:space="preserve">Kocioł na paliwo </w:t>
      </w:r>
      <w:r w:rsidRPr="00A1497D">
        <w:t>stałe</w:t>
      </w:r>
      <w:r w:rsidR="00214EDE" w:rsidRPr="00A1497D">
        <w:t xml:space="preserve"> </w:t>
      </w:r>
      <w:r w:rsidR="00EF0099" w:rsidRPr="00A1497D">
        <w:t xml:space="preserve">o mocy </w:t>
      </w:r>
      <w:r w:rsidR="004B40DB" w:rsidRPr="00A1497D">
        <w:t>24</w:t>
      </w:r>
      <w:r w:rsidR="00EF0099" w:rsidRPr="00A1497D">
        <w:t>kW</w:t>
      </w:r>
    </w:p>
    <w:p w:rsidR="00EF0099" w:rsidRPr="00601B67" w:rsidRDefault="00EF0099" w:rsidP="004B40DB">
      <w:pPr>
        <w:spacing w:line="276" w:lineRule="auto"/>
        <w:rPr>
          <w:color w:val="FF0000"/>
        </w:rPr>
      </w:pPr>
    </w:p>
    <w:p w:rsidR="00EF0099" w:rsidRDefault="00EF0099" w:rsidP="004B40DB">
      <w:pPr>
        <w:spacing w:line="276" w:lineRule="auto"/>
      </w:pPr>
      <w:r>
        <w:t>b) Właściwości cieplne przegród zewnętrznych</w:t>
      </w:r>
    </w:p>
    <w:p w:rsidR="00EF0099" w:rsidRDefault="00EF0099" w:rsidP="004B40DB">
      <w:pPr>
        <w:spacing w:line="276" w:lineRule="auto"/>
      </w:pPr>
      <w:r>
        <w:t>Założono następujące współczynniki przenikania ciepła dla przegród:</w:t>
      </w:r>
    </w:p>
    <w:p w:rsidR="00EF0099" w:rsidRDefault="00EF0099" w:rsidP="004B40DB">
      <w:pPr>
        <w:spacing w:line="276" w:lineRule="auto"/>
      </w:pPr>
      <w:r>
        <w:t>- Ściana zewnętrzna</w:t>
      </w:r>
      <w:r>
        <w:tab/>
      </w:r>
      <w:r>
        <w:tab/>
        <w:t>U = 0.</w:t>
      </w:r>
      <w:r w:rsidR="004A19DB">
        <w:t>175</w:t>
      </w:r>
      <w:r>
        <w:t xml:space="preserve"> W/m</w:t>
      </w:r>
      <w:r w:rsidRPr="002D30B5">
        <w:rPr>
          <w:vertAlign w:val="superscript"/>
        </w:rPr>
        <w:t>2</w:t>
      </w:r>
      <w:r>
        <w:t xml:space="preserve"> </w:t>
      </w:r>
      <w:proofErr w:type="spellStart"/>
      <w:r>
        <w:rPr>
          <w:rFonts w:cs="Courier New"/>
        </w:rPr>
        <w:t>∙</w:t>
      </w:r>
      <w:r>
        <w:t>K</w:t>
      </w:r>
      <w:proofErr w:type="spellEnd"/>
    </w:p>
    <w:p w:rsidR="003D16F1" w:rsidRDefault="006C4886" w:rsidP="004B40DB">
      <w:pPr>
        <w:spacing w:line="276" w:lineRule="auto"/>
      </w:pPr>
      <w:r>
        <w:t>- Podłoga na gruncie</w:t>
      </w:r>
      <w:r>
        <w:tab/>
        <w:t>U = 0.</w:t>
      </w:r>
      <w:r w:rsidR="004A19DB">
        <w:t>184</w:t>
      </w:r>
      <w:r w:rsidR="003D16F1">
        <w:t xml:space="preserve"> W/m</w:t>
      </w:r>
      <w:r w:rsidR="003D16F1" w:rsidRPr="002D30B5">
        <w:rPr>
          <w:vertAlign w:val="superscript"/>
        </w:rPr>
        <w:t>2</w:t>
      </w:r>
      <w:r w:rsidR="003D16F1">
        <w:t xml:space="preserve"> </w:t>
      </w:r>
      <w:proofErr w:type="spellStart"/>
      <w:r w:rsidR="003D16F1">
        <w:rPr>
          <w:rFonts w:cs="Courier New"/>
        </w:rPr>
        <w:t>∙</w:t>
      </w:r>
      <w:r w:rsidR="003D16F1">
        <w:t>K</w:t>
      </w:r>
      <w:proofErr w:type="spellEnd"/>
    </w:p>
    <w:p w:rsidR="00EF0099" w:rsidRDefault="00166301" w:rsidP="004B40DB">
      <w:pPr>
        <w:spacing w:line="276" w:lineRule="auto"/>
      </w:pPr>
      <w:r>
        <w:t>- Okno zewnętrzne</w:t>
      </w:r>
      <w:r>
        <w:tab/>
      </w:r>
      <w:r>
        <w:tab/>
        <w:t xml:space="preserve">U = </w:t>
      </w:r>
      <w:r w:rsidR="004A19DB">
        <w:t>0,80</w:t>
      </w:r>
      <w:r w:rsidR="00EF0099">
        <w:t xml:space="preserve">  W/m</w:t>
      </w:r>
      <w:r w:rsidR="00EF0099" w:rsidRPr="002D30B5">
        <w:rPr>
          <w:vertAlign w:val="superscript"/>
        </w:rPr>
        <w:t>2</w:t>
      </w:r>
      <w:r w:rsidR="00EF0099">
        <w:t xml:space="preserve"> </w:t>
      </w:r>
      <w:proofErr w:type="spellStart"/>
      <w:r w:rsidR="00EF0099">
        <w:rPr>
          <w:rFonts w:cs="Courier New"/>
        </w:rPr>
        <w:t>∙</w:t>
      </w:r>
      <w:r w:rsidR="00EF0099">
        <w:t>K</w:t>
      </w:r>
      <w:proofErr w:type="spellEnd"/>
    </w:p>
    <w:p w:rsidR="00EF0099" w:rsidRDefault="00EF0099" w:rsidP="004B40DB">
      <w:pPr>
        <w:spacing w:line="276" w:lineRule="auto"/>
      </w:pPr>
      <w:r>
        <w:t xml:space="preserve">- </w:t>
      </w:r>
      <w:r w:rsidR="003D16F1">
        <w:t>Drzwi</w:t>
      </w:r>
      <w:r w:rsidR="003D16F1">
        <w:tab/>
        <w:t>zewnętrzne</w:t>
      </w:r>
      <w:r>
        <w:tab/>
        <w:t xml:space="preserve">U = </w:t>
      </w:r>
      <w:r w:rsidR="004209A6">
        <w:t>1.3</w:t>
      </w:r>
      <w:r w:rsidR="003D16F1">
        <w:t>0</w:t>
      </w:r>
      <w:r>
        <w:t xml:space="preserve"> W/m</w:t>
      </w:r>
      <w:r w:rsidRPr="002D30B5">
        <w:rPr>
          <w:vertAlign w:val="superscript"/>
        </w:rPr>
        <w:t>2</w:t>
      </w:r>
      <w:r>
        <w:t xml:space="preserve"> </w:t>
      </w:r>
      <w:proofErr w:type="spellStart"/>
      <w:r>
        <w:rPr>
          <w:rFonts w:cs="Courier New"/>
        </w:rPr>
        <w:t>∙</w:t>
      </w:r>
      <w:r>
        <w:t>K</w:t>
      </w:r>
      <w:proofErr w:type="spellEnd"/>
    </w:p>
    <w:p w:rsidR="003D16F1" w:rsidRDefault="00157F08" w:rsidP="004B40DB">
      <w:pPr>
        <w:spacing w:line="276" w:lineRule="auto"/>
      </w:pPr>
      <w:r>
        <w:t xml:space="preserve">- </w:t>
      </w:r>
      <w:r w:rsidR="004209A6">
        <w:t>D</w:t>
      </w:r>
      <w:r w:rsidR="00166301">
        <w:t>ach</w:t>
      </w:r>
      <w:r>
        <w:tab/>
      </w:r>
      <w:r>
        <w:tab/>
      </w:r>
      <w:r w:rsidR="003D16F1">
        <w:tab/>
      </w:r>
      <w:r w:rsidR="004209A6">
        <w:tab/>
      </w:r>
      <w:r w:rsidR="003D16F1">
        <w:t>U = 0.</w:t>
      </w:r>
      <w:r w:rsidR="004A19DB">
        <w:t>13</w:t>
      </w:r>
      <w:r w:rsidR="003D16F1">
        <w:t xml:space="preserve"> W/m</w:t>
      </w:r>
      <w:r w:rsidR="003D16F1" w:rsidRPr="002D30B5">
        <w:rPr>
          <w:vertAlign w:val="superscript"/>
        </w:rPr>
        <w:t>2</w:t>
      </w:r>
      <w:r w:rsidR="003D16F1">
        <w:t xml:space="preserve"> </w:t>
      </w:r>
      <w:proofErr w:type="spellStart"/>
      <w:r w:rsidR="003D16F1">
        <w:rPr>
          <w:rFonts w:cs="Courier New"/>
        </w:rPr>
        <w:t>∙</w:t>
      </w:r>
      <w:r w:rsidR="003D16F1">
        <w:t>K</w:t>
      </w:r>
      <w:proofErr w:type="spellEnd"/>
    </w:p>
    <w:p w:rsidR="00EF0099" w:rsidRDefault="00EF0099" w:rsidP="004B40DB">
      <w:pPr>
        <w:spacing w:line="276" w:lineRule="auto"/>
        <w:ind w:firstLine="708"/>
      </w:pPr>
    </w:p>
    <w:p w:rsidR="00EF0099" w:rsidRDefault="00EF0099" w:rsidP="004B40DB">
      <w:pPr>
        <w:spacing w:line="276" w:lineRule="auto"/>
        <w:ind w:firstLine="708"/>
      </w:pPr>
      <w:r>
        <w:t>Obliczenia powyższe wykonano przy pomocy programu komputerowego OZC w oparciu o normy PN-EN ISO 6946, PN-EN ISI 12831:2006, PN-91/B-02025. W związku z powyższym budynek spełnia wymagania w zakresie izolacyjności przegród oraz oszczędności energii.</w:t>
      </w:r>
    </w:p>
    <w:p w:rsidR="00EF0099" w:rsidRDefault="00EF0099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F92A20" w:rsidRDefault="00F92A20" w:rsidP="004B40DB">
      <w:pPr>
        <w:spacing w:line="276" w:lineRule="auto"/>
      </w:pPr>
    </w:p>
    <w:p w:rsidR="004B40DB" w:rsidRDefault="004B40DB" w:rsidP="004B40DB">
      <w:pPr>
        <w:spacing w:line="276" w:lineRule="auto"/>
      </w:pPr>
    </w:p>
    <w:p w:rsidR="00EF0099" w:rsidRDefault="00EF0099" w:rsidP="004B40DB">
      <w:pPr>
        <w:spacing w:line="276" w:lineRule="auto"/>
      </w:pPr>
      <w:r>
        <w:lastRenderedPageBreak/>
        <w:t>c) Parametry sprawności energetycznej instalacji ogrzewczej:</w:t>
      </w:r>
    </w:p>
    <w:p w:rsidR="00EF0099" w:rsidRDefault="00EF0099" w:rsidP="004B40DB">
      <w:pPr>
        <w:spacing w:line="276" w:lineRule="auto"/>
      </w:pPr>
      <w:r>
        <w:t>Ogrzewanie :</w:t>
      </w:r>
    </w:p>
    <w:p w:rsidR="00A1497D" w:rsidRPr="00262740" w:rsidRDefault="00A1497D" w:rsidP="00A1497D">
      <w:pPr>
        <w:spacing w:line="276" w:lineRule="auto"/>
      </w:pPr>
      <w:r>
        <w:t xml:space="preserve">Kocioł na paliwo </w:t>
      </w:r>
      <w:r w:rsidRPr="00A1497D">
        <w:t>stałe o mocy 24kW</w:t>
      </w:r>
    </w:p>
    <w:p w:rsidR="00EF0099" w:rsidRDefault="00EF0099" w:rsidP="004B40DB">
      <w:pPr>
        <w:spacing w:line="276" w:lineRule="auto"/>
      </w:pPr>
      <w:r>
        <w:t>Sprawność wytwarzania – 0.94</w:t>
      </w:r>
    </w:p>
    <w:p w:rsidR="00EF0099" w:rsidRPr="00C9767D" w:rsidRDefault="00EF0099" w:rsidP="004B40DB">
      <w:pPr>
        <w:spacing w:line="276" w:lineRule="auto"/>
      </w:pPr>
      <w:r>
        <w:t>Sprawność regulacji – 0.98</w:t>
      </w:r>
    </w:p>
    <w:p w:rsidR="00EF0099" w:rsidRPr="00C9767D" w:rsidRDefault="00EF0099" w:rsidP="004B40DB">
      <w:pPr>
        <w:spacing w:line="276" w:lineRule="auto"/>
      </w:pPr>
      <w:r>
        <w:t>Sprawność przesyłu – 1.0</w:t>
      </w:r>
      <w:r w:rsidRPr="00C9767D">
        <w:t>0</w:t>
      </w:r>
    </w:p>
    <w:p w:rsidR="00EF0099" w:rsidRPr="00C9767D" w:rsidRDefault="00EF0099" w:rsidP="004B40DB">
      <w:pPr>
        <w:spacing w:line="276" w:lineRule="auto"/>
      </w:pPr>
      <w:r>
        <w:t>Sprawność akumulacji – 1.00</w:t>
      </w:r>
    </w:p>
    <w:p w:rsidR="00EF0099" w:rsidRPr="00C9767D" w:rsidRDefault="00EF0099" w:rsidP="004B40DB">
      <w:pPr>
        <w:spacing w:line="276" w:lineRule="auto"/>
      </w:pPr>
      <w:r>
        <w:t>Sprawność całkowita – 0.92</w:t>
      </w:r>
    </w:p>
    <w:p w:rsidR="00EF0099" w:rsidRPr="00C9767D" w:rsidRDefault="00EF0099" w:rsidP="004B40DB">
      <w:pPr>
        <w:spacing w:line="276" w:lineRule="auto"/>
      </w:pPr>
    </w:p>
    <w:p w:rsidR="00EF0099" w:rsidRPr="00C9767D" w:rsidRDefault="00EF0099" w:rsidP="004B40DB">
      <w:pPr>
        <w:spacing w:line="276" w:lineRule="auto"/>
      </w:pPr>
      <w:r w:rsidRPr="00C9767D">
        <w:t>Ciepła woda:</w:t>
      </w:r>
    </w:p>
    <w:p w:rsidR="00A1497D" w:rsidRPr="00262740" w:rsidRDefault="00A1497D" w:rsidP="00A1497D">
      <w:pPr>
        <w:spacing w:line="276" w:lineRule="auto"/>
      </w:pPr>
      <w:r>
        <w:t xml:space="preserve">Kocioł na paliwo </w:t>
      </w:r>
      <w:r w:rsidRPr="00A1497D">
        <w:t>stałe o mocy 24kW</w:t>
      </w:r>
    </w:p>
    <w:p w:rsidR="00EF0099" w:rsidRPr="00C9767D" w:rsidRDefault="00EF0099" w:rsidP="004B40DB">
      <w:pPr>
        <w:spacing w:line="276" w:lineRule="auto"/>
      </w:pPr>
      <w:r w:rsidRPr="00C9767D">
        <w:t>Sprawność wytwarzania – 0.88</w:t>
      </w:r>
    </w:p>
    <w:p w:rsidR="00EF0099" w:rsidRPr="00C9767D" w:rsidRDefault="00EF0099" w:rsidP="004B40DB">
      <w:pPr>
        <w:spacing w:line="276" w:lineRule="auto"/>
      </w:pPr>
      <w:r w:rsidRPr="00C9767D">
        <w:t xml:space="preserve">Sprawność przesyłu – </w:t>
      </w:r>
      <w:r>
        <w:t>1</w:t>
      </w:r>
      <w:r w:rsidRPr="00C9767D">
        <w:t>.</w:t>
      </w:r>
      <w:r>
        <w:t>00</w:t>
      </w:r>
    </w:p>
    <w:p w:rsidR="00EF0099" w:rsidRPr="00C9767D" w:rsidRDefault="00EF0099" w:rsidP="004B40DB">
      <w:pPr>
        <w:spacing w:line="276" w:lineRule="auto"/>
      </w:pPr>
      <w:r w:rsidRPr="00C9767D">
        <w:t>Sprawność akumulacji – 0.84</w:t>
      </w:r>
    </w:p>
    <w:p w:rsidR="00EF0099" w:rsidRPr="00C9767D" w:rsidRDefault="00EF0099" w:rsidP="004B40DB">
      <w:pPr>
        <w:spacing w:line="276" w:lineRule="auto"/>
      </w:pPr>
      <w:r w:rsidRPr="00C9767D">
        <w:t>Sprawność całkowit</w:t>
      </w:r>
      <w:r>
        <w:t>a – 0.74</w:t>
      </w:r>
    </w:p>
    <w:p w:rsidR="00EF0099" w:rsidRDefault="00EF0099" w:rsidP="004B40DB">
      <w:pPr>
        <w:widowControl/>
        <w:autoSpaceDE w:val="0"/>
        <w:autoSpaceDN w:val="0"/>
        <w:adjustRightInd w:val="0"/>
        <w:spacing w:line="276" w:lineRule="auto"/>
        <w:rPr>
          <w:rFonts w:cs="Courier New"/>
          <w:szCs w:val="24"/>
        </w:rPr>
      </w:pPr>
    </w:p>
    <w:p w:rsidR="00EF0099" w:rsidRPr="0063333A" w:rsidRDefault="00EF0099" w:rsidP="004B40DB">
      <w:pPr>
        <w:widowControl/>
        <w:autoSpaceDE w:val="0"/>
        <w:autoSpaceDN w:val="0"/>
        <w:adjustRightInd w:val="0"/>
        <w:spacing w:line="276" w:lineRule="auto"/>
        <w:rPr>
          <w:rFonts w:eastAsia="Univers-PL" w:cs="Courier New"/>
          <w:snapToGrid/>
          <w:szCs w:val="24"/>
        </w:rPr>
      </w:pPr>
      <w:r w:rsidRPr="0063333A">
        <w:rPr>
          <w:rFonts w:cs="Courier New"/>
          <w:szCs w:val="24"/>
        </w:rPr>
        <w:t>d)</w:t>
      </w:r>
      <w:r w:rsidRPr="0063333A">
        <w:rPr>
          <w:rFonts w:eastAsia="Univers-PL" w:cs="Courier New"/>
          <w:snapToGrid/>
          <w:szCs w:val="24"/>
        </w:rPr>
        <w:t xml:space="preserve"> </w:t>
      </w:r>
      <w:r>
        <w:rPr>
          <w:rFonts w:eastAsia="Univers-PL" w:cs="Courier New"/>
          <w:snapToGrid/>
          <w:szCs w:val="24"/>
        </w:rPr>
        <w:t>dane wykazują</w:t>
      </w:r>
      <w:r w:rsidRPr="0063333A">
        <w:rPr>
          <w:rFonts w:eastAsia="Univers-PL" w:cs="Courier New"/>
          <w:snapToGrid/>
          <w:szCs w:val="24"/>
        </w:rPr>
        <w:t xml:space="preserve">ce, </w:t>
      </w:r>
      <w:r>
        <w:rPr>
          <w:rFonts w:eastAsia="Univers-PL" w:cs="Courier New"/>
          <w:snapToGrid/>
          <w:szCs w:val="24"/>
        </w:rPr>
        <w:t>ze</w:t>
      </w:r>
      <w:r w:rsidRPr="0063333A">
        <w:rPr>
          <w:rFonts w:eastAsia="Univers-PL" w:cs="Courier New"/>
          <w:snapToGrid/>
          <w:szCs w:val="24"/>
        </w:rPr>
        <w:t xml:space="preserve"> przyj</w:t>
      </w:r>
      <w:r>
        <w:rPr>
          <w:rFonts w:eastAsia="Univers-PL" w:cs="Courier New"/>
          <w:snapToGrid/>
          <w:szCs w:val="24"/>
        </w:rPr>
        <w:t>ę</w:t>
      </w:r>
      <w:r w:rsidRPr="0063333A">
        <w:rPr>
          <w:rFonts w:eastAsia="Univers-PL" w:cs="Courier New"/>
          <w:snapToGrid/>
          <w:szCs w:val="24"/>
        </w:rPr>
        <w:t>te w projekcie</w:t>
      </w:r>
      <w:r>
        <w:rPr>
          <w:rFonts w:eastAsia="Univers-PL" w:cs="Courier New"/>
          <w:snapToGrid/>
          <w:szCs w:val="24"/>
        </w:rPr>
        <w:t xml:space="preserve"> </w:t>
      </w:r>
      <w:r w:rsidRPr="0063333A">
        <w:rPr>
          <w:rFonts w:eastAsia="Univers-PL" w:cs="Courier New"/>
          <w:snapToGrid/>
          <w:szCs w:val="24"/>
        </w:rPr>
        <w:t xml:space="preserve">architektoniczno-budowlanym </w:t>
      </w:r>
      <w:r>
        <w:rPr>
          <w:rFonts w:eastAsia="Univers-PL" w:cs="Courier New"/>
          <w:snapToGrid/>
          <w:szCs w:val="24"/>
        </w:rPr>
        <w:t xml:space="preserve">rozwiązania </w:t>
      </w:r>
      <w:r w:rsidRPr="0063333A">
        <w:rPr>
          <w:rFonts w:eastAsia="Univers-PL" w:cs="Courier New"/>
          <w:snapToGrid/>
          <w:szCs w:val="24"/>
        </w:rPr>
        <w:t>budowlane i instalacyjne spe</w:t>
      </w:r>
      <w:r>
        <w:rPr>
          <w:rFonts w:eastAsia="Univers-PL" w:cs="Courier New"/>
          <w:snapToGrid/>
          <w:szCs w:val="24"/>
        </w:rPr>
        <w:t>ł</w:t>
      </w:r>
      <w:r w:rsidRPr="0063333A">
        <w:rPr>
          <w:rFonts w:eastAsia="Univers-PL" w:cs="Courier New"/>
          <w:snapToGrid/>
          <w:szCs w:val="24"/>
        </w:rPr>
        <w:t>niaj</w:t>
      </w:r>
      <w:r>
        <w:rPr>
          <w:rFonts w:eastAsia="Univers-PL" w:cs="Courier New"/>
          <w:snapToGrid/>
          <w:szCs w:val="24"/>
        </w:rPr>
        <w:t xml:space="preserve">ą </w:t>
      </w:r>
      <w:r w:rsidRPr="0063333A">
        <w:rPr>
          <w:rFonts w:eastAsia="Univers-PL" w:cs="Courier New"/>
          <w:snapToGrid/>
          <w:szCs w:val="24"/>
        </w:rPr>
        <w:t>wymagania dotycz</w:t>
      </w:r>
      <w:r>
        <w:rPr>
          <w:rFonts w:eastAsia="Univers-PL" w:cs="Courier New"/>
          <w:snapToGrid/>
          <w:szCs w:val="24"/>
        </w:rPr>
        <w:t>ą</w:t>
      </w:r>
      <w:r w:rsidRPr="0063333A">
        <w:rPr>
          <w:rFonts w:eastAsia="Univers-PL" w:cs="Courier New"/>
          <w:snapToGrid/>
          <w:szCs w:val="24"/>
        </w:rPr>
        <w:t>ce oszcz</w:t>
      </w:r>
      <w:r>
        <w:rPr>
          <w:rFonts w:eastAsia="Univers-PL" w:cs="Courier New"/>
          <w:snapToGrid/>
          <w:szCs w:val="24"/>
        </w:rPr>
        <w:t>ę</w:t>
      </w:r>
      <w:r w:rsidRPr="0063333A">
        <w:rPr>
          <w:rFonts w:eastAsia="Univers-PL" w:cs="Courier New"/>
          <w:snapToGrid/>
          <w:szCs w:val="24"/>
        </w:rPr>
        <w:t>dno</w:t>
      </w:r>
      <w:r>
        <w:rPr>
          <w:rFonts w:eastAsia="Univers-PL" w:cs="Courier New"/>
          <w:snapToGrid/>
          <w:szCs w:val="24"/>
        </w:rPr>
        <w:t>ś</w:t>
      </w:r>
      <w:r w:rsidRPr="0063333A">
        <w:rPr>
          <w:rFonts w:eastAsia="Univers-PL" w:cs="Courier New"/>
          <w:snapToGrid/>
          <w:szCs w:val="24"/>
        </w:rPr>
        <w:t>ci</w:t>
      </w:r>
      <w:r>
        <w:rPr>
          <w:rFonts w:eastAsia="Univers-PL" w:cs="Courier New"/>
          <w:snapToGrid/>
          <w:szCs w:val="24"/>
        </w:rPr>
        <w:t xml:space="preserve"> </w:t>
      </w:r>
      <w:r w:rsidRPr="0063333A">
        <w:rPr>
          <w:rFonts w:eastAsia="Univers-PL" w:cs="Courier New"/>
          <w:snapToGrid/>
          <w:szCs w:val="24"/>
        </w:rPr>
        <w:t xml:space="preserve">energii </w:t>
      </w:r>
      <w:r>
        <w:rPr>
          <w:rFonts w:eastAsia="Univers-PL" w:cs="Courier New"/>
          <w:snapToGrid/>
          <w:szCs w:val="24"/>
        </w:rPr>
        <w:t>zawarte w przepisach techniczno-</w:t>
      </w:r>
      <w:r w:rsidRPr="0063333A">
        <w:rPr>
          <w:rFonts w:eastAsia="Univers-PL" w:cs="Courier New"/>
          <w:snapToGrid/>
          <w:szCs w:val="24"/>
        </w:rPr>
        <w:t>budowlanych</w:t>
      </w:r>
    </w:p>
    <w:p w:rsidR="00EF0099" w:rsidRDefault="00EF0099" w:rsidP="004B40DB">
      <w:pPr>
        <w:spacing w:line="276" w:lineRule="auto"/>
      </w:pPr>
    </w:p>
    <w:p w:rsidR="00EF0099" w:rsidRPr="00402372" w:rsidRDefault="00EF0099" w:rsidP="004B40DB">
      <w:pPr>
        <w:spacing w:line="276" w:lineRule="auto"/>
      </w:pPr>
      <w:r w:rsidRPr="00402372">
        <w:t xml:space="preserve">Zgodnie z Rozporządzeniem Ministra Infrastruktury zmieniające rozporządzenie w sprawie warunków technicznych, jakim powinny odpowiadać budynki i ich usytuowanie z dnia 6 listopada 2008, § 329.2 wystarczającym warunkiem spełnienia § 328 jest spełnienie izolacyjności przegród budynku, zastosowania techniki instalacyjnej spełniającej wymagania izolacyjności termicznej. Przegrody spełniają wymagania izolacyjności oraz izolacje termiczne techniki sanitarnej są zgodne z w/w rozporządzeniem. </w:t>
      </w:r>
    </w:p>
    <w:p w:rsidR="00EF0099" w:rsidRDefault="00EF0099" w:rsidP="004B40DB">
      <w:pPr>
        <w:spacing w:line="276" w:lineRule="auto"/>
      </w:pPr>
    </w:p>
    <w:p w:rsidR="00EF0099" w:rsidRDefault="00EF0099" w:rsidP="004B40DB">
      <w:pPr>
        <w:spacing w:line="276" w:lineRule="auto"/>
      </w:pPr>
      <w:r>
        <w:t xml:space="preserve">Wskaźnik rocznego zapotrzebowania na energie pierwotną </w:t>
      </w:r>
    </w:p>
    <w:p w:rsidR="00EF0099" w:rsidRDefault="00EF0099" w:rsidP="004B40DB">
      <w:pPr>
        <w:spacing w:line="276" w:lineRule="auto"/>
      </w:pPr>
    </w:p>
    <w:p w:rsidR="00EF0099" w:rsidRPr="00402372" w:rsidRDefault="00EF0099" w:rsidP="004B40DB">
      <w:pPr>
        <w:spacing w:line="276" w:lineRule="auto"/>
      </w:pPr>
      <w:proofErr w:type="spellStart"/>
      <w:r w:rsidRPr="00402372">
        <w:t>EP</w:t>
      </w:r>
      <w:r w:rsidRPr="00402372">
        <w:rPr>
          <w:vertAlign w:val="subscript"/>
        </w:rPr>
        <w:t>HC+W+L</w:t>
      </w:r>
      <w:proofErr w:type="spellEnd"/>
      <w:r w:rsidRPr="00402372">
        <w:t xml:space="preserve"> = </w:t>
      </w:r>
      <w:proofErr w:type="spellStart"/>
      <w:r w:rsidRPr="00402372">
        <w:t>EP</w:t>
      </w:r>
      <w:r w:rsidRPr="00402372">
        <w:rPr>
          <w:vertAlign w:val="subscript"/>
        </w:rPr>
        <w:t>H+W</w:t>
      </w:r>
      <w:proofErr w:type="spellEnd"/>
      <w:r w:rsidRPr="00402372">
        <w:t xml:space="preserve"> + (10 + 60 × </w:t>
      </w:r>
      <w:proofErr w:type="spellStart"/>
      <w:r w:rsidRPr="00402372">
        <w:t>A</w:t>
      </w:r>
      <w:r w:rsidRPr="00402372">
        <w:rPr>
          <w:vertAlign w:val="subscript"/>
        </w:rPr>
        <w:t>w,e</w:t>
      </w:r>
      <w:proofErr w:type="spellEnd"/>
      <w:r w:rsidRPr="00402372">
        <w:t>/</w:t>
      </w:r>
      <w:proofErr w:type="spellStart"/>
      <w:r w:rsidRPr="00402372">
        <w:t>A</w:t>
      </w:r>
      <w:r w:rsidRPr="00402372">
        <w:rPr>
          <w:vertAlign w:val="subscript"/>
        </w:rPr>
        <w:t>f</w:t>
      </w:r>
      <w:proofErr w:type="spellEnd"/>
      <w:r w:rsidRPr="00402372">
        <w:t>) × (1 - 0,2 × A/</w:t>
      </w:r>
      <w:proofErr w:type="spellStart"/>
      <w:r w:rsidRPr="00402372">
        <w:t>V</w:t>
      </w:r>
      <w:r w:rsidRPr="00402372">
        <w:rPr>
          <w:vertAlign w:val="subscript"/>
        </w:rPr>
        <w:t>e</w:t>
      </w:r>
      <w:proofErr w:type="spellEnd"/>
      <w:r w:rsidRPr="00402372">
        <w:t xml:space="preserve">) × </w:t>
      </w:r>
      <w:proofErr w:type="spellStart"/>
      <w:r w:rsidRPr="00402372">
        <w:t>A</w:t>
      </w:r>
      <w:r w:rsidRPr="00402372">
        <w:rPr>
          <w:vertAlign w:val="subscript"/>
        </w:rPr>
        <w:t>f,c</w:t>
      </w:r>
      <w:proofErr w:type="spellEnd"/>
      <w:r w:rsidRPr="00402372">
        <w:t>/</w:t>
      </w:r>
      <w:proofErr w:type="spellStart"/>
      <w:r w:rsidRPr="00402372">
        <w:t>A</w:t>
      </w:r>
      <w:r w:rsidRPr="00402372">
        <w:rPr>
          <w:vertAlign w:val="subscript"/>
        </w:rPr>
        <w:t>f</w:t>
      </w:r>
      <w:proofErr w:type="spellEnd"/>
      <w:r w:rsidRPr="00402372">
        <w:t>; [</w:t>
      </w:r>
      <w:proofErr w:type="spellStart"/>
      <w:r w:rsidRPr="00402372">
        <w:t>kWh</w:t>
      </w:r>
      <w:proofErr w:type="spellEnd"/>
      <w:r w:rsidRPr="00402372">
        <w:t>/(m</w:t>
      </w:r>
      <w:r w:rsidRPr="00402372">
        <w:rPr>
          <w:vertAlign w:val="superscript"/>
        </w:rPr>
        <w:t>2</w:t>
      </w:r>
      <w:r w:rsidRPr="00402372">
        <w:t>·× rok)]</w:t>
      </w:r>
    </w:p>
    <w:p w:rsidR="00EF0099" w:rsidRPr="00402372" w:rsidRDefault="00EF0099" w:rsidP="004B40DB">
      <w:pPr>
        <w:spacing w:line="276" w:lineRule="auto"/>
      </w:pPr>
      <w:r w:rsidRPr="00402372">
        <w:t xml:space="preserve">gdzie: </w:t>
      </w:r>
    </w:p>
    <w:p w:rsidR="00EF0099" w:rsidRPr="00402372" w:rsidRDefault="00EF0099" w:rsidP="004B40DB">
      <w:pPr>
        <w:widowControl/>
        <w:numPr>
          <w:ilvl w:val="0"/>
          <w:numId w:val="1"/>
        </w:numPr>
        <w:autoSpaceDE w:val="0"/>
        <w:autoSpaceDN w:val="0"/>
        <w:spacing w:line="276" w:lineRule="auto"/>
      </w:pPr>
      <w:proofErr w:type="spellStart"/>
      <w:r w:rsidRPr="00402372">
        <w:t>A</w:t>
      </w:r>
      <w:r w:rsidRPr="00402372">
        <w:rPr>
          <w:vertAlign w:val="subscript"/>
        </w:rPr>
        <w:t>w,e</w:t>
      </w:r>
      <w:proofErr w:type="spellEnd"/>
      <w:r w:rsidRPr="00402372">
        <w:t xml:space="preserve"> - powierzchnia ścian zewnętrznych budynku, liczona po obrysie zewnętrznym,</w:t>
      </w:r>
    </w:p>
    <w:p w:rsidR="00EF0099" w:rsidRPr="00402372" w:rsidRDefault="00EF0099" w:rsidP="004B40DB">
      <w:pPr>
        <w:widowControl/>
        <w:numPr>
          <w:ilvl w:val="0"/>
          <w:numId w:val="1"/>
        </w:numPr>
        <w:autoSpaceDE w:val="0"/>
        <w:autoSpaceDN w:val="0"/>
        <w:spacing w:line="276" w:lineRule="auto"/>
      </w:pPr>
      <w:proofErr w:type="spellStart"/>
      <w:r w:rsidRPr="00402372">
        <w:t>A</w:t>
      </w:r>
      <w:r w:rsidRPr="00402372">
        <w:rPr>
          <w:vertAlign w:val="subscript"/>
        </w:rPr>
        <w:t>f,c</w:t>
      </w:r>
      <w:proofErr w:type="spellEnd"/>
      <w:r w:rsidRPr="00402372">
        <w:t xml:space="preserve"> - powierzchnia użytkowa chłodzona budynku (lokalu), </w:t>
      </w:r>
    </w:p>
    <w:p w:rsidR="00EF0099" w:rsidRPr="00402372" w:rsidRDefault="00EF0099" w:rsidP="004B40DB">
      <w:pPr>
        <w:widowControl/>
        <w:numPr>
          <w:ilvl w:val="0"/>
          <w:numId w:val="1"/>
        </w:numPr>
        <w:autoSpaceDE w:val="0"/>
        <w:autoSpaceDN w:val="0"/>
        <w:spacing w:line="276" w:lineRule="auto"/>
      </w:pPr>
      <w:proofErr w:type="spellStart"/>
      <w:r w:rsidRPr="00402372">
        <w:t>EP</w:t>
      </w:r>
      <w:r w:rsidRPr="00402372">
        <w:rPr>
          <w:vertAlign w:val="subscript"/>
        </w:rPr>
        <w:t>H+W</w:t>
      </w:r>
      <w:proofErr w:type="spellEnd"/>
      <w:r w:rsidRPr="00402372">
        <w:t xml:space="preserve"> - wartości według zależności określonej poniżej, przy czym </w:t>
      </w:r>
      <w:r w:rsidRPr="00402372">
        <w:rPr>
          <w:rFonts w:ascii="Symbol" w:hAnsi="Symbol"/>
        </w:rPr>
        <w:t></w:t>
      </w:r>
      <w:r w:rsidRPr="00402372">
        <w:t>EP = EP</w:t>
      </w:r>
      <w:r w:rsidRPr="00402372">
        <w:rPr>
          <w:vertAlign w:val="subscript"/>
        </w:rPr>
        <w:t>W</w:t>
      </w:r>
      <w:r w:rsidRPr="00402372">
        <w:t xml:space="preserve"> + EP</w:t>
      </w:r>
      <w:r w:rsidRPr="00402372">
        <w:rPr>
          <w:vertAlign w:val="subscript"/>
        </w:rPr>
        <w:t>L</w:t>
      </w:r>
      <w:r w:rsidRPr="00402372">
        <w:t xml:space="preserve">, </w:t>
      </w:r>
    </w:p>
    <w:p w:rsidR="00EF0099" w:rsidRPr="00402372" w:rsidRDefault="00EF0099" w:rsidP="004B40DB">
      <w:pPr>
        <w:spacing w:line="276" w:lineRule="auto"/>
        <w:ind w:left="708" w:firstLine="708"/>
      </w:pPr>
      <w:r w:rsidRPr="00402372">
        <w:t>a) dla A/</w:t>
      </w:r>
      <w:proofErr w:type="spellStart"/>
      <w:r w:rsidRPr="00402372">
        <w:t>V</w:t>
      </w:r>
      <w:r w:rsidRPr="00402372">
        <w:rPr>
          <w:vertAlign w:val="subscript"/>
        </w:rPr>
        <w:t>e</w:t>
      </w:r>
      <w:proofErr w:type="spellEnd"/>
      <w:r w:rsidRPr="00402372">
        <w:t> </w:t>
      </w:r>
      <w:r w:rsidRPr="00402372">
        <w:rPr>
          <w:rFonts w:ascii="Symbol" w:hAnsi="Symbol"/>
        </w:rPr>
        <w:t></w:t>
      </w:r>
      <w:r w:rsidRPr="00402372">
        <w:t xml:space="preserve"> 0,2; EP = 73 +</w:t>
      </w:r>
      <w:proofErr w:type="spellStart"/>
      <w:r w:rsidRPr="00402372">
        <w:rPr>
          <w:rFonts w:ascii="Symbol" w:hAnsi="Symbol"/>
        </w:rPr>
        <w:t></w:t>
      </w:r>
      <w:r w:rsidRPr="00402372">
        <w:t>EP</w:t>
      </w:r>
      <w:proofErr w:type="spellEnd"/>
      <w:r w:rsidRPr="00402372">
        <w:t>; [</w:t>
      </w:r>
      <w:proofErr w:type="spellStart"/>
      <w:r w:rsidRPr="00402372">
        <w:t>kWh</w:t>
      </w:r>
      <w:proofErr w:type="spellEnd"/>
      <w:r w:rsidRPr="00402372">
        <w:t>/m· rok)],</w:t>
      </w:r>
    </w:p>
    <w:p w:rsidR="00EF0099" w:rsidRPr="00402372" w:rsidRDefault="00EF0099" w:rsidP="004B40DB">
      <w:pPr>
        <w:spacing w:line="276" w:lineRule="auto"/>
        <w:ind w:left="708" w:firstLine="708"/>
      </w:pPr>
      <w:r w:rsidRPr="00402372">
        <w:t xml:space="preserve">b) dla 0,2 </w:t>
      </w:r>
      <w:r w:rsidRPr="00402372">
        <w:rPr>
          <w:rFonts w:ascii="Symbol" w:hAnsi="Symbol"/>
        </w:rPr>
        <w:t></w:t>
      </w:r>
      <w:r w:rsidRPr="00402372">
        <w:t xml:space="preserve"> A/</w:t>
      </w:r>
      <w:proofErr w:type="spellStart"/>
      <w:r w:rsidRPr="00402372">
        <w:t>V</w:t>
      </w:r>
      <w:r w:rsidRPr="00402372">
        <w:rPr>
          <w:vertAlign w:val="subscript"/>
        </w:rPr>
        <w:t>e</w:t>
      </w:r>
      <w:proofErr w:type="spellEnd"/>
      <w:r w:rsidRPr="00402372">
        <w:t> </w:t>
      </w:r>
      <w:r w:rsidRPr="00402372">
        <w:rPr>
          <w:rFonts w:ascii="Symbol" w:hAnsi="Symbol"/>
        </w:rPr>
        <w:t></w:t>
      </w:r>
      <w:r w:rsidRPr="00402372">
        <w:t xml:space="preserve"> 1,05; EP = 55 + 90 × (A/V) + </w:t>
      </w:r>
      <w:r w:rsidRPr="00402372">
        <w:rPr>
          <w:rFonts w:ascii="Symbol" w:hAnsi="Symbol"/>
        </w:rPr>
        <w:t></w:t>
      </w:r>
      <w:r w:rsidRPr="00402372">
        <w:t>EP; [</w:t>
      </w:r>
      <w:proofErr w:type="spellStart"/>
      <w:r w:rsidRPr="00402372">
        <w:t>kWh</w:t>
      </w:r>
      <w:proofErr w:type="spellEnd"/>
      <w:r w:rsidRPr="00402372">
        <w:t>/(m × rok)],</w:t>
      </w:r>
    </w:p>
    <w:p w:rsidR="00EF0099" w:rsidRPr="00402372" w:rsidRDefault="00EF0099" w:rsidP="004B40DB">
      <w:pPr>
        <w:spacing w:line="276" w:lineRule="auto"/>
        <w:ind w:left="708" w:firstLine="708"/>
      </w:pPr>
      <w:r w:rsidRPr="00402372">
        <w:lastRenderedPageBreak/>
        <w:t>c) dla A/</w:t>
      </w:r>
      <w:proofErr w:type="spellStart"/>
      <w:r w:rsidRPr="00402372">
        <w:t>V</w:t>
      </w:r>
      <w:r w:rsidRPr="00402372">
        <w:rPr>
          <w:vertAlign w:val="subscript"/>
        </w:rPr>
        <w:t>e</w:t>
      </w:r>
      <w:proofErr w:type="spellEnd"/>
      <w:r w:rsidRPr="00402372">
        <w:t> </w:t>
      </w:r>
      <w:r w:rsidRPr="00402372">
        <w:rPr>
          <w:rFonts w:ascii="Symbol" w:hAnsi="Symbol"/>
        </w:rPr>
        <w:t></w:t>
      </w:r>
      <w:r w:rsidRPr="00402372">
        <w:t xml:space="preserve"> 1,05; EP = 149,5 + </w:t>
      </w:r>
      <w:r w:rsidRPr="00402372">
        <w:rPr>
          <w:rFonts w:ascii="Symbol" w:hAnsi="Symbol"/>
        </w:rPr>
        <w:t></w:t>
      </w:r>
      <w:r w:rsidRPr="00402372">
        <w:t xml:space="preserve">EP; </w:t>
      </w:r>
    </w:p>
    <w:p w:rsidR="00EF0099" w:rsidRPr="00402372" w:rsidRDefault="00EF0099" w:rsidP="004B40DB">
      <w:pPr>
        <w:widowControl/>
        <w:numPr>
          <w:ilvl w:val="0"/>
          <w:numId w:val="1"/>
        </w:numPr>
        <w:autoSpaceDE w:val="0"/>
        <w:autoSpaceDN w:val="0"/>
        <w:spacing w:line="276" w:lineRule="auto"/>
      </w:pPr>
      <w:r w:rsidRPr="00402372">
        <w:t xml:space="preserve">A - jest sumą pól powierzchni wszystkich przegród budynku, oddzielających część ogrzewaną budynku od powietrza zewnętrznego, gruntu i przyległych pomieszczeń nieogrzewanych, liczoną po obrysie zewnętrznym, </w:t>
      </w:r>
    </w:p>
    <w:p w:rsidR="00EF0099" w:rsidRPr="00402372" w:rsidRDefault="00EF0099" w:rsidP="004B40DB">
      <w:pPr>
        <w:widowControl/>
        <w:numPr>
          <w:ilvl w:val="0"/>
          <w:numId w:val="1"/>
        </w:numPr>
        <w:autoSpaceDE w:val="0"/>
        <w:autoSpaceDN w:val="0"/>
        <w:spacing w:line="276" w:lineRule="auto"/>
      </w:pPr>
      <w:r w:rsidRPr="00402372">
        <w:t>EP</w:t>
      </w:r>
      <w:r w:rsidRPr="00402372">
        <w:rPr>
          <w:vertAlign w:val="subscript"/>
        </w:rPr>
        <w:t>W</w:t>
      </w:r>
      <w:r w:rsidRPr="00402372">
        <w:t xml:space="preserve"> - dodatek na jednostkowe zapotrzebowanie na nieodnawialną energię pierwotną do przygotowania ciepłej wody użytkowej w ciągu roku; dla budynku z wydzielonymi częściami o różnych funkcjach użytkowych wyznacza się wartość średnią EP</w:t>
      </w:r>
      <w:r w:rsidRPr="00402372">
        <w:rPr>
          <w:vertAlign w:val="subscript"/>
        </w:rPr>
        <w:t>W</w:t>
      </w:r>
      <w:r w:rsidRPr="00402372">
        <w:t xml:space="preserve"> dla całego budynku, przy czym: </w:t>
      </w:r>
    </w:p>
    <w:p w:rsidR="00EF0099" w:rsidRPr="00402372" w:rsidRDefault="00EF0099" w:rsidP="004B40DB">
      <w:pPr>
        <w:spacing w:line="276" w:lineRule="auto"/>
      </w:pPr>
      <w:r w:rsidRPr="00402372">
        <w:t>EP</w:t>
      </w:r>
      <w:r w:rsidRPr="00402372">
        <w:rPr>
          <w:vertAlign w:val="subscript"/>
        </w:rPr>
        <w:t>W</w:t>
      </w:r>
      <w:r w:rsidRPr="00402372">
        <w:t xml:space="preserve"> = 1,56 × 19,10 × </w:t>
      </w:r>
      <w:proofErr w:type="spellStart"/>
      <w:r w:rsidRPr="00402372">
        <w:t>V</w:t>
      </w:r>
      <w:r w:rsidRPr="00402372">
        <w:rPr>
          <w:vertAlign w:val="subscript"/>
        </w:rPr>
        <w:t>CW</w:t>
      </w:r>
      <w:r w:rsidRPr="00402372">
        <w:t>·×</w:t>
      </w:r>
      <w:proofErr w:type="spellEnd"/>
      <w:r w:rsidRPr="00402372">
        <w:t xml:space="preserve"> </w:t>
      </w:r>
      <w:proofErr w:type="spellStart"/>
      <w:r w:rsidRPr="00402372">
        <w:t>b</w:t>
      </w:r>
      <w:r w:rsidRPr="00402372">
        <w:rPr>
          <w:vertAlign w:val="subscript"/>
        </w:rPr>
        <w:t>t</w:t>
      </w:r>
      <w:proofErr w:type="spellEnd"/>
      <w:r w:rsidRPr="00402372">
        <w:t>/a</w:t>
      </w:r>
      <w:r w:rsidRPr="00402372">
        <w:rPr>
          <w:vertAlign w:val="subscript"/>
        </w:rPr>
        <w:t>1</w:t>
      </w:r>
      <w:r w:rsidRPr="00402372">
        <w:t>; [</w:t>
      </w:r>
      <w:proofErr w:type="spellStart"/>
      <w:r w:rsidRPr="00402372">
        <w:t>kWh</w:t>
      </w:r>
      <w:proofErr w:type="spellEnd"/>
      <w:r w:rsidRPr="00402372">
        <w:t>/(m</w:t>
      </w:r>
      <w:r w:rsidRPr="00402372">
        <w:rPr>
          <w:vertAlign w:val="superscript"/>
        </w:rPr>
        <w:t>2</w:t>
      </w:r>
      <w:r w:rsidRPr="00402372">
        <w:t xml:space="preserve">·× rok)] </w:t>
      </w:r>
    </w:p>
    <w:p w:rsidR="00EF0099" w:rsidRPr="00402372" w:rsidRDefault="00EF0099" w:rsidP="004B40DB">
      <w:pPr>
        <w:spacing w:line="276" w:lineRule="auto"/>
      </w:pPr>
      <w:r w:rsidRPr="00402372">
        <w:t xml:space="preserve">gdzie: </w:t>
      </w:r>
    </w:p>
    <w:p w:rsidR="00EF0099" w:rsidRPr="00402372" w:rsidRDefault="00EF0099" w:rsidP="004B40DB">
      <w:pPr>
        <w:widowControl/>
        <w:numPr>
          <w:ilvl w:val="0"/>
          <w:numId w:val="2"/>
        </w:numPr>
        <w:autoSpaceDE w:val="0"/>
        <w:autoSpaceDN w:val="0"/>
        <w:spacing w:line="276" w:lineRule="auto"/>
      </w:pPr>
      <w:r w:rsidRPr="00402372">
        <w:t>V</w:t>
      </w:r>
      <w:r w:rsidRPr="00402372">
        <w:rPr>
          <w:vertAlign w:val="subscript"/>
        </w:rPr>
        <w:t>CW</w:t>
      </w:r>
      <w:r w:rsidRPr="00402372">
        <w:t xml:space="preserve"> - jednostkowe dobowe zużycie ciepłej wody użytkowej [dm</w:t>
      </w:r>
      <w:r w:rsidRPr="00402372">
        <w:rPr>
          <w:vertAlign w:val="superscript"/>
        </w:rPr>
        <w:t>3</w:t>
      </w:r>
      <w:r w:rsidRPr="00402372">
        <w:t>/((</w:t>
      </w:r>
      <w:proofErr w:type="spellStart"/>
      <w:r w:rsidRPr="00402372">
        <w:t>j.o</w:t>
      </w:r>
      <w:proofErr w:type="spellEnd"/>
      <w:r w:rsidRPr="00402372">
        <w:t xml:space="preserve">.) × doba)] należy przyjmować z założeń projektowych, </w:t>
      </w:r>
    </w:p>
    <w:p w:rsidR="00EF0099" w:rsidRPr="00402372" w:rsidRDefault="00EF0099" w:rsidP="004B40DB">
      <w:pPr>
        <w:widowControl/>
        <w:numPr>
          <w:ilvl w:val="0"/>
          <w:numId w:val="2"/>
        </w:numPr>
        <w:autoSpaceDE w:val="0"/>
        <w:autoSpaceDN w:val="0"/>
        <w:spacing w:line="276" w:lineRule="auto"/>
      </w:pPr>
      <w:r w:rsidRPr="00402372">
        <w:t>a</w:t>
      </w:r>
      <w:r w:rsidRPr="00402372">
        <w:rPr>
          <w:vertAlign w:val="subscript"/>
        </w:rPr>
        <w:t>1</w:t>
      </w:r>
      <w:r w:rsidRPr="00402372">
        <w:t xml:space="preserve"> - udział powierzchni </w:t>
      </w:r>
      <w:proofErr w:type="spellStart"/>
      <w:r w:rsidRPr="00402372">
        <w:t>A</w:t>
      </w:r>
      <w:r w:rsidRPr="00402372">
        <w:rPr>
          <w:vertAlign w:val="subscript"/>
        </w:rPr>
        <w:t>f</w:t>
      </w:r>
      <w:proofErr w:type="spellEnd"/>
      <w:r w:rsidRPr="00402372">
        <w:t xml:space="preserve"> na jednostkę odniesienia (</w:t>
      </w:r>
      <w:proofErr w:type="spellStart"/>
      <w:r w:rsidRPr="00402372">
        <w:t>j.o</w:t>
      </w:r>
      <w:proofErr w:type="spellEnd"/>
      <w:r w:rsidRPr="00402372">
        <w:t>.), najczęściej na osobę [m</w:t>
      </w:r>
      <w:r w:rsidRPr="00402372">
        <w:rPr>
          <w:vertAlign w:val="superscript"/>
        </w:rPr>
        <w:t>2</w:t>
      </w:r>
      <w:r w:rsidRPr="00402372">
        <w:t>/(</w:t>
      </w:r>
      <w:proofErr w:type="spellStart"/>
      <w:r w:rsidRPr="00402372">
        <w:t>j.o</w:t>
      </w:r>
      <w:proofErr w:type="spellEnd"/>
      <w:r w:rsidRPr="00402372">
        <w:t xml:space="preserve">.)], należy przyjmować z założeń projektowych, </w:t>
      </w:r>
    </w:p>
    <w:p w:rsidR="00EF0099" w:rsidRPr="00402372" w:rsidRDefault="00EF0099" w:rsidP="004B40DB">
      <w:pPr>
        <w:widowControl/>
        <w:numPr>
          <w:ilvl w:val="0"/>
          <w:numId w:val="2"/>
        </w:numPr>
        <w:autoSpaceDE w:val="0"/>
        <w:autoSpaceDN w:val="0"/>
        <w:spacing w:line="276" w:lineRule="auto"/>
      </w:pPr>
      <w:proofErr w:type="spellStart"/>
      <w:r w:rsidRPr="00402372">
        <w:t>b</w:t>
      </w:r>
      <w:r w:rsidRPr="00402372">
        <w:rPr>
          <w:vertAlign w:val="subscript"/>
        </w:rPr>
        <w:t>t</w:t>
      </w:r>
      <w:proofErr w:type="spellEnd"/>
      <w:r w:rsidRPr="00402372">
        <w:t xml:space="preserve"> - bezwymiarowy czas użytkowania w ciągu roku systemu ciepłej wody użytkowej należy przyjmować z założeń projektowych. </w:t>
      </w:r>
    </w:p>
    <w:p w:rsidR="00EF0099" w:rsidRPr="00402372" w:rsidRDefault="00EF0099" w:rsidP="004B40DB">
      <w:pPr>
        <w:spacing w:line="276" w:lineRule="auto"/>
      </w:pPr>
      <w:r w:rsidRPr="00402372">
        <w:t>EP</w:t>
      </w:r>
      <w:r w:rsidRPr="00402372">
        <w:rPr>
          <w:vertAlign w:val="subscript"/>
        </w:rPr>
        <w:t>L</w:t>
      </w:r>
      <w:r w:rsidRPr="00402372">
        <w:t xml:space="preserve"> - dodatek na jednostkowe z</w:t>
      </w:r>
      <w:r>
        <w:t xml:space="preserve">apotrzebowanie na nieodnawialną </w:t>
      </w:r>
      <w:r w:rsidRPr="00402372">
        <w:t>energię pierwotną do oświetlenia wbudowanego w ciągu roku (dotyczy budynków użyteczności publicznej); dla budynku z wydzielonymi częściami o różnych funkcjach użytkowych wyznacza się wartość średnią EP</w:t>
      </w:r>
      <w:r w:rsidRPr="00402372">
        <w:rPr>
          <w:vertAlign w:val="subscript"/>
        </w:rPr>
        <w:t>L</w:t>
      </w:r>
      <w:r w:rsidRPr="00402372">
        <w:t xml:space="preserve"> dla całego budynku, przy czym: </w:t>
      </w:r>
    </w:p>
    <w:p w:rsidR="00EF0099" w:rsidRPr="00402372" w:rsidRDefault="00EF0099" w:rsidP="004B40DB">
      <w:pPr>
        <w:spacing w:line="276" w:lineRule="auto"/>
        <w:ind w:left="360"/>
      </w:pPr>
      <w:r w:rsidRPr="00402372">
        <w:t>EP</w:t>
      </w:r>
      <w:r w:rsidRPr="00402372">
        <w:rPr>
          <w:vertAlign w:val="subscript"/>
        </w:rPr>
        <w:t>L</w:t>
      </w:r>
      <w:r w:rsidRPr="00402372">
        <w:t xml:space="preserve"> = 2,7 × </w:t>
      </w:r>
      <w:proofErr w:type="spellStart"/>
      <w:r w:rsidRPr="00402372">
        <w:t>P</w:t>
      </w:r>
      <w:r w:rsidRPr="00402372">
        <w:rPr>
          <w:vertAlign w:val="subscript"/>
        </w:rPr>
        <w:t>N</w:t>
      </w:r>
      <w:r w:rsidRPr="00402372">
        <w:t>·×</w:t>
      </w:r>
      <w:proofErr w:type="spellEnd"/>
      <w:r w:rsidRPr="00402372">
        <w:t xml:space="preserve"> t</w:t>
      </w:r>
      <w:r w:rsidRPr="00402372">
        <w:rPr>
          <w:vertAlign w:val="subscript"/>
        </w:rPr>
        <w:t>0</w:t>
      </w:r>
      <w:r w:rsidRPr="00402372">
        <w:t>/1000; [</w:t>
      </w:r>
      <w:proofErr w:type="spellStart"/>
      <w:r w:rsidRPr="00402372">
        <w:t>kWh</w:t>
      </w:r>
      <w:proofErr w:type="spellEnd"/>
      <w:r w:rsidRPr="00402372">
        <w:t>/(m</w:t>
      </w:r>
      <w:r w:rsidRPr="00402372">
        <w:rPr>
          <w:vertAlign w:val="superscript"/>
        </w:rPr>
        <w:t>2</w:t>
      </w:r>
      <w:r w:rsidRPr="00402372">
        <w:t xml:space="preserve">·× rok)] </w:t>
      </w:r>
    </w:p>
    <w:p w:rsidR="00EF0099" w:rsidRPr="00402372" w:rsidRDefault="00EF0099" w:rsidP="004B40DB">
      <w:pPr>
        <w:spacing w:line="276" w:lineRule="auto"/>
        <w:ind w:left="360"/>
      </w:pPr>
      <w:r w:rsidRPr="00402372">
        <w:t xml:space="preserve">gdzie: </w:t>
      </w:r>
    </w:p>
    <w:p w:rsidR="00EF0099" w:rsidRPr="00402372" w:rsidRDefault="00EF0099" w:rsidP="004B40DB">
      <w:pPr>
        <w:widowControl/>
        <w:numPr>
          <w:ilvl w:val="0"/>
          <w:numId w:val="3"/>
        </w:numPr>
        <w:autoSpaceDE w:val="0"/>
        <w:autoSpaceDN w:val="0"/>
        <w:spacing w:line="276" w:lineRule="auto"/>
      </w:pPr>
      <w:r w:rsidRPr="00402372">
        <w:t>P</w:t>
      </w:r>
      <w:r w:rsidRPr="00402372">
        <w:rPr>
          <w:vertAlign w:val="subscript"/>
        </w:rPr>
        <w:t>N</w:t>
      </w:r>
      <w:r w:rsidRPr="00402372">
        <w:t xml:space="preserve"> - moc elektryczną referencyjną [W/m</w:t>
      </w:r>
      <w:r w:rsidRPr="00402372">
        <w:rPr>
          <w:vertAlign w:val="superscript"/>
        </w:rPr>
        <w:t>2</w:t>
      </w:r>
      <w:r w:rsidRPr="00402372">
        <w:t xml:space="preserve">] należy przyjmować z założeń projektowych, </w:t>
      </w:r>
    </w:p>
    <w:p w:rsidR="00EF0099" w:rsidRDefault="00EF0099" w:rsidP="004B40DB">
      <w:pPr>
        <w:spacing w:line="276" w:lineRule="auto"/>
      </w:pPr>
      <w:r w:rsidRPr="00402372">
        <w:t>t</w:t>
      </w:r>
      <w:r w:rsidRPr="00402372">
        <w:rPr>
          <w:vertAlign w:val="subscript"/>
        </w:rPr>
        <w:t>0</w:t>
      </w:r>
      <w:r w:rsidRPr="00402372">
        <w:t xml:space="preserve"> - czas użytkowania oświetlenia [h/rok] należy przyjmować z założeń projektowych</w:t>
      </w:r>
    </w:p>
    <w:p w:rsidR="00EF0099" w:rsidRPr="00F92A20" w:rsidRDefault="00EF0099" w:rsidP="004B40DB">
      <w:pPr>
        <w:spacing w:line="276" w:lineRule="auto"/>
        <w:rPr>
          <w:b/>
        </w:rPr>
      </w:pPr>
      <w:proofErr w:type="spellStart"/>
      <w:r w:rsidRPr="00F92A20">
        <w:rPr>
          <w:b/>
        </w:rPr>
        <w:t>Ep</w:t>
      </w:r>
      <w:proofErr w:type="spellEnd"/>
      <w:r w:rsidRPr="00F92A20">
        <w:rPr>
          <w:b/>
        </w:rPr>
        <w:t xml:space="preserve"> = </w:t>
      </w:r>
      <w:r w:rsidR="004209A6" w:rsidRPr="00F92A20">
        <w:rPr>
          <w:b/>
        </w:rPr>
        <w:t>9</w:t>
      </w:r>
      <w:r w:rsidR="00A1497D">
        <w:rPr>
          <w:b/>
        </w:rPr>
        <w:t>4</w:t>
      </w:r>
      <w:r w:rsidR="00282421" w:rsidRPr="00F92A20">
        <w:rPr>
          <w:b/>
        </w:rPr>
        <w:t>.12</w:t>
      </w:r>
      <w:r w:rsidRPr="00F92A20">
        <w:rPr>
          <w:b/>
        </w:rPr>
        <w:t>kWh/m</w:t>
      </w:r>
      <w:r w:rsidRPr="00F92A20">
        <w:rPr>
          <w:b/>
          <w:vertAlign w:val="superscript"/>
        </w:rPr>
        <w:t>2</w:t>
      </w:r>
      <w:r w:rsidRPr="00F92A20">
        <w:rPr>
          <w:b/>
        </w:rPr>
        <w:t xml:space="preserve">*rok </w:t>
      </w:r>
    </w:p>
    <w:p w:rsidR="00EF0099" w:rsidRDefault="00166301" w:rsidP="004B40DB">
      <w:pPr>
        <w:spacing w:line="276" w:lineRule="auto"/>
      </w:pPr>
      <w:proofErr w:type="spellStart"/>
      <w:r>
        <w:t>Ek</w:t>
      </w:r>
      <w:proofErr w:type="spellEnd"/>
      <w:r>
        <w:t xml:space="preserve"> =  </w:t>
      </w:r>
      <w:r w:rsidR="00282421">
        <w:t>79</w:t>
      </w:r>
      <w:r w:rsidR="00EF0099">
        <w:t>.</w:t>
      </w:r>
      <w:r w:rsidR="00282421">
        <w:t>2</w:t>
      </w:r>
      <w:r w:rsidR="004209A6">
        <w:t>3</w:t>
      </w:r>
      <w:r w:rsidR="00EF0099">
        <w:t>kWh/m</w:t>
      </w:r>
      <w:r w:rsidR="00EF0099" w:rsidRPr="00660C1F">
        <w:rPr>
          <w:vertAlign w:val="superscript"/>
        </w:rPr>
        <w:t>2</w:t>
      </w:r>
      <w:r w:rsidR="00EF0099">
        <w:t>*rok</w:t>
      </w: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Default="004A19DB" w:rsidP="004B40DB">
      <w:pPr>
        <w:spacing w:line="276" w:lineRule="auto"/>
      </w:pPr>
    </w:p>
    <w:p w:rsidR="004A19DB" w:rsidRPr="00EE6F69" w:rsidRDefault="004A19DB" w:rsidP="004A19DB">
      <w:pPr>
        <w:pStyle w:val="Nagwek1"/>
        <w:spacing w:line="360" w:lineRule="auto"/>
      </w:pPr>
      <w:bookmarkStart w:id="7" w:name="_Toc381798070"/>
      <w:r>
        <w:lastRenderedPageBreak/>
        <w:t>2</w:t>
      </w:r>
      <w:r w:rsidRPr="00EE6F69">
        <w:t xml:space="preserve">. </w:t>
      </w:r>
      <w:r>
        <w:t>Ekonomiczna  analiza optymalizacyjno-porównawcza</w:t>
      </w:r>
      <w:bookmarkEnd w:id="7"/>
      <w:r w:rsidRPr="00EE6F69">
        <w:t xml:space="preserve"> 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1.</w:t>
      </w:r>
      <w:r w:rsidRPr="0063333A">
        <w:rPr>
          <w:rFonts w:eastAsia="Univers-PL" w:cs="Courier New"/>
          <w:snapToGrid/>
          <w:szCs w:val="24"/>
        </w:rPr>
        <w:t xml:space="preserve"> </w:t>
      </w:r>
      <w:r>
        <w:rPr>
          <w:rFonts w:eastAsia="Univers-PL" w:cs="Courier New"/>
          <w:snapToGrid/>
          <w:szCs w:val="24"/>
        </w:rPr>
        <w:t>Roczne zapotrzebowanie na energię użytkową do ogrzewania, wentylacji, przygotowania ciepłej wody użytkowej oraz chłodzenia: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proofErr w:type="spellStart"/>
      <w:r>
        <w:rPr>
          <w:rFonts w:eastAsia="Univers-PL" w:cs="Courier New"/>
          <w:snapToGrid/>
          <w:szCs w:val="24"/>
        </w:rPr>
        <w:t>Q</w:t>
      </w:r>
      <w:r w:rsidRPr="00F82BB6">
        <w:rPr>
          <w:rFonts w:eastAsia="Univers-PL" w:cs="Courier New"/>
          <w:snapToGrid/>
          <w:szCs w:val="24"/>
          <w:vertAlign w:val="subscript"/>
        </w:rPr>
        <w:t>h</w:t>
      </w:r>
      <w:proofErr w:type="spellEnd"/>
      <w:r>
        <w:rPr>
          <w:rFonts w:eastAsia="Univers-PL" w:cs="Courier New"/>
          <w:snapToGrid/>
          <w:szCs w:val="24"/>
        </w:rPr>
        <w:t xml:space="preserve"> = 182.68GJ/rok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proofErr w:type="spellStart"/>
      <w:r>
        <w:rPr>
          <w:rFonts w:eastAsia="Univers-PL" w:cs="Courier New"/>
          <w:snapToGrid/>
          <w:szCs w:val="24"/>
        </w:rPr>
        <w:t>Q</w:t>
      </w:r>
      <w:r w:rsidRPr="00F82BB6">
        <w:rPr>
          <w:rFonts w:eastAsia="Univers-PL" w:cs="Courier New"/>
          <w:snapToGrid/>
          <w:szCs w:val="24"/>
          <w:vertAlign w:val="subscript"/>
        </w:rPr>
        <w:t>h</w:t>
      </w:r>
      <w:proofErr w:type="spellEnd"/>
      <w:r>
        <w:rPr>
          <w:rFonts w:eastAsia="Univers-PL" w:cs="Courier New"/>
          <w:snapToGrid/>
          <w:szCs w:val="24"/>
        </w:rPr>
        <w:t xml:space="preserve"> = 50746kWh/rok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cs="Courier New"/>
          <w:szCs w:val="24"/>
        </w:rPr>
        <w:t>2</w:t>
      </w:r>
      <w:r w:rsidRPr="0063333A">
        <w:rPr>
          <w:rFonts w:cs="Courier New"/>
          <w:szCs w:val="24"/>
        </w:rPr>
        <w:t>)</w:t>
      </w:r>
      <w:r w:rsidRPr="0063333A">
        <w:rPr>
          <w:rFonts w:eastAsia="Univers-PL" w:cs="Courier New"/>
          <w:snapToGrid/>
          <w:szCs w:val="24"/>
        </w:rPr>
        <w:t xml:space="preserve"> </w:t>
      </w:r>
      <w:r>
        <w:rPr>
          <w:rFonts w:eastAsia="Univers-PL" w:cs="Courier New"/>
          <w:snapToGrid/>
          <w:szCs w:val="24"/>
        </w:rPr>
        <w:t>Dostępne nośniki energii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Dostępna jest energia z sieci gazowej, energetycznej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cs="Courier New"/>
          <w:szCs w:val="24"/>
        </w:rPr>
        <w:t>3</w:t>
      </w:r>
      <w:r w:rsidRPr="0063333A">
        <w:rPr>
          <w:rFonts w:cs="Courier New"/>
          <w:szCs w:val="24"/>
        </w:rPr>
        <w:t>)</w:t>
      </w:r>
      <w:r w:rsidRPr="0063333A">
        <w:rPr>
          <w:rFonts w:eastAsia="Univers-PL" w:cs="Courier New"/>
          <w:snapToGrid/>
          <w:szCs w:val="24"/>
        </w:rPr>
        <w:t xml:space="preserve"> </w:t>
      </w:r>
      <w:r>
        <w:rPr>
          <w:rFonts w:eastAsia="Univers-PL" w:cs="Courier New"/>
          <w:snapToGrid/>
          <w:szCs w:val="24"/>
        </w:rPr>
        <w:t>Warunki przyłączenia do sieci zewnętrznych – gazowa, energetyczna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cs="Courier New"/>
          <w:szCs w:val="24"/>
        </w:rPr>
        <w:t>4</w:t>
      </w:r>
      <w:r w:rsidRPr="0063333A">
        <w:rPr>
          <w:rFonts w:cs="Courier New"/>
          <w:szCs w:val="24"/>
        </w:rPr>
        <w:t>)</w:t>
      </w:r>
      <w:r w:rsidRPr="0063333A">
        <w:rPr>
          <w:rFonts w:eastAsia="Univers-PL" w:cs="Courier New"/>
          <w:snapToGrid/>
          <w:szCs w:val="24"/>
        </w:rPr>
        <w:t xml:space="preserve"> </w:t>
      </w:r>
      <w:r>
        <w:rPr>
          <w:rFonts w:eastAsia="Univers-PL" w:cs="Courier New"/>
          <w:snapToGrid/>
          <w:szCs w:val="24"/>
        </w:rPr>
        <w:t>Wybór dwóch systemów zaopatrzenia w energię do analizy porównawczej: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Wybrano system konwencjonalny oraz system alternatywny z kolektorami słonecznymi do ogrzewania ciepłej wody użytkowej: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5) Obliczenia optymalizacyjno-porównawcze dla wybranych systemów zaopatrzenia w energię: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Do obliczenia opłacalności inwestycji dla systemu konwencjonalnego i alternatywnego przyjęto wskaźnik NPV – wartość bieżąca netto który to wskaźnik efektywnie ocenia koszty inwestycji w stosunku do zysków: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 w:rsidRPr="00D82B05">
        <w:rPr>
          <w:rFonts w:eastAsia="Univers-PL" w:cs="Courier New"/>
          <w:snapToGrid/>
          <w:position w:val="-30"/>
          <w:szCs w:val="24"/>
        </w:rPr>
        <w:object w:dxaOrig="22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7pt;height:34.95pt" o:ole="">
            <v:imagedata r:id="rId5" o:title=""/>
          </v:shape>
          <o:OLEObject Type="Embed" ProgID="Equation.3" ShapeID="_x0000_i1025" DrawAspect="Content" ObjectID="_1581328436" r:id="rId6"/>
        </w:objec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gdzie 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NPV – wartość bieżąca netto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proofErr w:type="spellStart"/>
      <w:r>
        <w:rPr>
          <w:rFonts w:eastAsia="Univers-PL" w:cs="Courier New"/>
          <w:snapToGrid/>
          <w:szCs w:val="24"/>
        </w:rPr>
        <w:t>CF</w:t>
      </w:r>
      <w:r w:rsidRPr="00D82B05">
        <w:rPr>
          <w:rFonts w:eastAsia="Univers-PL" w:cs="Courier New"/>
          <w:snapToGrid/>
          <w:szCs w:val="24"/>
          <w:vertAlign w:val="subscript"/>
        </w:rPr>
        <w:t>t</w:t>
      </w:r>
      <w:proofErr w:type="spellEnd"/>
      <w:r>
        <w:rPr>
          <w:rFonts w:eastAsia="Univers-PL" w:cs="Courier New"/>
          <w:snapToGrid/>
          <w:szCs w:val="24"/>
        </w:rPr>
        <w:t xml:space="preserve"> – przepływy gotówkowe w okresie t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proofErr w:type="spellStart"/>
      <w:r>
        <w:rPr>
          <w:rFonts w:eastAsia="Univers-PL" w:cs="Courier New"/>
          <w:snapToGrid/>
          <w:szCs w:val="24"/>
        </w:rPr>
        <w:t>r</w:t>
      </w:r>
      <w:proofErr w:type="spellEnd"/>
      <w:r>
        <w:rPr>
          <w:rFonts w:eastAsia="Univers-PL" w:cs="Courier New"/>
          <w:snapToGrid/>
          <w:szCs w:val="24"/>
        </w:rPr>
        <w:t xml:space="preserve"> – stopa dyskonta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proofErr w:type="spellStart"/>
      <w:r>
        <w:rPr>
          <w:rFonts w:eastAsia="Univers-PL" w:cs="Courier New"/>
          <w:snapToGrid/>
          <w:szCs w:val="24"/>
        </w:rPr>
        <w:t>I</w:t>
      </w:r>
      <w:r w:rsidRPr="00483E2B">
        <w:rPr>
          <w:rFonts w:eastAsia="Univers-PL" w:cs="Courier New"/>
          <w:snapToGrid/>
          <w:szCs w:val="24"/>
          <w:vertAlign w:val="subscript"/>
        </w:rPr>
        <w:t>o</w:t>
      </w:r>
      <w:proofErr w:type="spellEnd"/>
      <w:r>
        <w:rPr>
          <w:rFonts w:eastAsia="Univers-PL" w:cs="Courier New"/>
          <w:snapToGrid/>
          <w:szCs w:val="24"/>
        </w:rPr>
        <w:t xml:space="preserve"> – nakłady początkowe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t – kolejne lata eksploatacji inwestycji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Dla inwestycji alternatywnej:</w:t>
      </w:r>
    </w:p>
    <w:p w:rsidR="004A19DB" w:rsidRDefault="004A19DB" w:rsidP="004A19DB">
      <w:pPr>
        <w:spacing w:line="360" w:lineRule="auto"/>
        <w:rPr>
          <w:rFonts w:eastAsia="Univers-PL" w:cs="Courier New"/>
          <w:snapToGrid/>
          <w:szCs w:val="24"/>
        </w:rPr>
      </w:pPr>
      <w:r>
        <w:rPr>
          <w:rFonts w:eastAsia="Univers-PL" w:cs="Courier New"/>
          <w:snapToGrid/>
          <w:szCs w:val="24"/>
        </w:rPr>
        <w:t>W związku z trwałością kolektorów słonecznych t=15lat przyjęto okres do obliczenia NPV równy 15 lat. Przyjęto stopę dyskonta r=5%. Przyjęto również, że kolektory słoneczne będą pokrywać roczne zapotrzebowanie energii na podgrzanie ciepłej wody w ilości 65% ogólnego zapotrzebowania na energię.</w:t>
      </w:r>
    </w:p>
    <w:tbl>
      <w:tblPr>
        <w:tblW w:w="886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1080"/>
        <w:gridCol w:w="1300"/>
        <w:gridCol w:w="1080"/>
        <w:gridCol w:w="1080"/>
        <w:gridCol w:w="1080"/>
        <w:gridCol w:w="1080"/>
        <w:gridCol w:w="1080"/>
        <w:gridCol w:w="1080"/>
      </w:tblGrid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proofErr w:type="spellStart"/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lastRenderedPageBreak/>
              <w:t>Okes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Przychody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Koszty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CF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proofErr w:type="spellStart"/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dCF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I0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NPV</w:t>
            </w: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0.961538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1079.74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12000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485.1708</w:t>
            </w: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0.924556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1038.212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0.888996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998.2807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0.854804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959.8853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0.821927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922.9666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0.790315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887.4679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0.759918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853.3345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0.73069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820.514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0.702587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788.9557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0.675564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758.6113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0.649581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729.4339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0.624597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701.3788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0.600574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674.4027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0.577475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648.4641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1730.43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607.5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1122.93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0.555265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623.5232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  <w:tr w:rsidR="004A19DB" w:rsidRPr="00C4671D" w:rsidTr="00F96176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  <w:r w:rsidRPr="00C4671D">
              <w:rPr>
                <w:rFonts w:ascii="Czcionka tekstu podstawowego" w:hAnsi="Czcionka tekstu podstawowego"/>
                <w:snapToGrid/>
                <w:color w:val="000000"/>
                <w:sz w:val="22"/>
                <w:szCs w:val="22"/>
              </w:rPr>
              <w:t>12485.17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9DB" w:rsidRPr="00C4671D" w:rsidRDefault="004A19DB" w:rsidP="00F96176">
            <w:pPr>
              <w:widowControl/>
              <w:spacing w:line="240" w:lineRule="auto"/>
              <w:jc w:val="center"/>
              <w:rPr>
                <w:rFonts w:ascii="Czcionka tekstu podstawowego" w:hAnsi="Czcionka tekstu podstawowego"/>
                <w:snapToGrid/>
                <w:color w:val="000000"/>
                <w:szCs w:val="22"/>
              </w:rPr>
            </w:pPr>
          </w:p>
        </w:tc>
      </w:tr>
    </w:tbl>
    <w:p w:rsidR="004A19DB" w:rsidRDefault="004A19DB" w:rsidP="004A19DB">
      <w:pPr>
        <w:spacing w:line="360" w:lineRule="auto"/>
      </w:pPr>
    </w:p>
    <w:p w:rsidR="004A19DB" w:rsidRDefault="004A19DB" w:rsidP="004A19DB">
      <w:pPr>
        <w:spacing w:line="360" w:lineRule="auto"/>
      </w:pPr>
      <w:r>
        <w:t>Z powyższych obliczeń wynika, że zdyskontowana wartość netto inwestycji NPV=485.17zł.</w:t>
      </w:r>
    </w:p>
    <w:p w:rsidR="004A19DB" w:rsidRDefault="004A19DB" w:rsidP="004A19DB">
      <w:pPr>
        <w:spacing w:line="360" w:lineRule="auto"/>
        <w:ind w:firstLine="720"/>
      </w:pPr>
      <w:r>
        <w:t>Udowodniono, że inwestycja się zwróci po 15 latach w związku z czy</w:t>
      </w:r>
      <w:r w:rsidR="00214EDE">
        <w:t>m wybrano system konwencjonalny.</w:t>
      </w:r>
    </w:p>
    <w:sectPr w:rsidR="004A19DB" w:rsidSect="00863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27CCF"/>
    <w:multiLevelType w:val="hybridMultilevel"/>
    <w:tmpl w:val="7BD06B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DD17FB"/>
    <w:multiLevelType w:val="hybridMultilevel"/>
    <w:tmpl w:val="3976BB9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6CA6DE7"/>
    <w:multiLevelType w:val="hybridMultilevel"/>
    <w:tmpl w:val="217A89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F0099"/>
    <w:rsid w:val="000927BB"/>
    <w:rsid w:val="00157F08"/>
    <w:rsid w:val="00166301"/>
    <w:rsid w:val="001A12AF"/>
    <w:rsid w:val="00214EDE"/>
    <w:rsid w:val="002653C7"/>
    <w:rsid w:val="00282421"/>
    <w:rsid w:val="002E7757"/>
    <w:rsid w:val="0037348C"/>
    <w:rsid w:val="00380A8C"/>
    <w:rsid w:val="003D16F1"/>
    <w:rsid w:val="003E1415"/>
    <w:rsid w:val="004209A6"/>
    <w:rsid w:val="0043667C"/>
    <w:rsid w:val="00470F82"/>
    <w:rsid w:val="00486BA9"/>
    <w:rsid w:val="004A19DB"/>
    <w:rsid w:val="004B40DB"/>
    <w:rsid w:val="004C534C"/>
    <w:rsid w:val="004C541D"/>
    <w:rsid w:val="00601B67"/>
    <w:rsid w:val="006C4886"/>
    <w:rsid w:val="006E4D52"/>
    <w:rsid w:val="007A68A7"/>
    <w:rsid w:val="007A7D46"/>
    <w:rsid w:val="007E520E"/>
    <w:rsid w:val="008639E9"/>
    <w:rsid w:val="008A1A17"/>
    <w:rsid w:val="008C7D71"/>
    <w:rsid w:val="00913080"/>
    <w:rsid w:val="00922EDA"/>
    <w:rsid w:val="009313BF"/>
    <w:rsid w:val="0098084E"/>
    <w:rsid w:val="00A122D0"/>
    <w:rsid w:val="00A1497D"/>
    <w:rsid w:val="00A32B52"/>
    <w:rsid w:val="00B15265"/>
    <w:rsid w:val="00B41AD3"/>
    <w:rsid w:val="00C32028"/>
    <w:rsid w:val="00CD21DC"/>
    <w:rsid w:val="00D43B17"/>
    <w:rsid w:val="00D7220A"/>
    <w:rsid w:val="00E465BE"/>
    <w:rsid w:val="00EA31DE"/>
    <w:rsid w:val="00EA6D45"/>
    <w:rsid w:val="00ED2EAF"/>
    <w:rsid w:val="00EF0099"/>
    <w:rsid w:val="00F30EBE"/>
    <w:rsid w:val="00F92A20"/>
    <w:rsid w:val="00FF2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0099"/>
    <w:pPr>
      <w:widowControl w:val="0"/>
      <w:spacing w:after="0" w:line="312" w:lineRule="auto"/>
      <w:jc w:val="both"/>
    </w:pPr>
    <w:rPr>
      <w:rFonts w:ascii="Courier New" w:eastAsia="Times New Roman" w:hAnsi="Courier New" w:cs="Times New Roman"/>
      <w:snapToGrid w:val="0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0099"/>
    <w:pPr>
      <w:keepNext/>
      <w:spacing w:before="180" w:after="60"/>
      <w:outlineLvl w:val="0"/>
    </w:pPr>
    <w:rPr>
      <w:rFonts w:ascii="Arial" w:hAnsi="Arial"/>
      <w:smallCaps/>
      <w:kern w:val="28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099"/>
    <w:rPr>
      <w:rFonts w:ascii="Arial" w:eastAsia="Times New Roman" w:hAnsi="Arial" w:cs="Times New Roman"/>
      <w:smallCaps/>
      <w:snapToGrid w:val="0"/>
      <w:kern w:val="28"/>
      <w:sz w:val="30"/>
      <w:szCs w:val="20"/>
      <w:lang w:eastAsia="pl-PL"/>
    </w:rPr>
  </w:style>
  <w:style w:type="paragraph" w:customStyle="1" w:styleId="Standard">
    <w:name w:val="Standard"/>
    <w:rsid w:val="00EF0099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0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099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915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Pabian</dc:creator>
  <cp:keywords/>
  <dc:description/>
  <cp:lastModifiedBy>PC</cp:lastModifiedBy>
  <cp:revision>8</cp:revision>
  <cp:lastPrinted>2018-02-28T12:04:00Z</cp:lastPrinted>
  <dcterms:created xsi:type="dcterms:W3CDTF">2016-09-16T11:32:00Z</dcterms:created>
  <dcterms:modified xsi:type="dcterms:W3CDTF">2018-02-28T12:08:00Z</dcterms:modified>
</cp:coreProperties>
</file>