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289" w14:textId="00A730E3" w:rsidR="00355C5D" w:rsidRPr="00A30B8C" w:rsidRDefault="00A30B8C" w:rsidP="00355C5D">
      <w:pPr>
        <w:spacing w:after="0" w:line="240" w:lineRule="auto"/>
        <w:jc w:val="right"/>
        <w:rPr>
          <w:rFonts w:ascii="Open Sans" w:hAnsi="Open Sans" w:cs="Open Sans"/>
          <w:bCs/>
          <w:sz w:val="16"/>
          <w:szCs w:val="16"/>
        </w:rPr>
      </w:pPr>
      <w:r w:rsidRPr="00A30B8C">
        <w:rPr>
          <w:rFonts w:ascii="Open Sans" w:hAnsi="Open Sans" w:cs="Open Sans"/>
          <w:bCs/>
          <w:sz w:val="16"/>
          <w:szCs w:val="16"/>
        </w:rPr>
        <w:t xml:space="preserve">Rozdział II </w:t>
      </w:r>
    </w:p>
    <w:p w14:paraId="74D15D53" w14:textId="77777777" w:rsidR="00355C5D" w:rsidRPr="00C63977" w:rsidRDefault="00355C5D" w:rsidP="00355C5D">
      <w:pPr>
        <w:spacing w:after="0" w:line="240" w:lineRule="auto"/>
        <w:jc w:val="center"/>
        <w:rPr>
          <w:rFonts w:ascii="Open Sans" w:hAnsi="Open Sans" w:cs="Open Sans"/>
          <w:b/>
          <w:smallCaps/>
          <w:szCs w:val="24"/>
        </w:rPr>
      </w:pPr>
    </w:p>
    <w:p w14:paraId="6866D67D" w14:textId="77777777" w:rsidR="00785A82" w:rsidRDefault="00785A82" w:rsidP="00355C5D">
      <w:pPr>
        <w:spacing w:after="0" w:line="240" w:lineRule="auto"/>
        <w:jc w:val="center"/>
        <w:rPr>
          <w:rFonts w:ascii="Open Sans" w:hAnsi="Open Sans" w:cs="Open Sans"/>
          <w:b/>
          <w:smallCaps/>
          <w:szCs w:val="24"/>
        </w:rPr>
      </w:pPr>
    </w:p>
    <w:p w14:paraId="692883B4" w14:textId="47357218" w:rsidR="00355C5D" w:rsidRPr="00D94261" w:rsidRDefault="00355C5D" w:rsidP="00355C5D">
      <w:pPr>
        <w:spacing w:after="0" w:line="240" w:lineRule="auto"/>
        <w:jc w:val="center"/>
        <w:rPr>
          <w:rFonts w:ascii="Open Sans" w:hAnsi="Open Sans" w:cs="Open Sans"/>
          <w:bCs/>
          <w:szCs w:val="24"/>
        </w:rPr>
      </w:pPr>
      <w:r w:rsidRPr="00D94261">
        <w:rPr>
          <w:rFonts w:ascii="Open Sans" w:hAnsi="Open Sans" w:cs="Open Sans"/>
          <w:bCs/>
          <w:smallCaps/>
          <w:szCs w:val="24"/>
        </w:rPr>
        <w:t>Szczegółowy Opis Przedmiotu Zamówienia</w:t>
      </w:r>
    </w:p>
    <w:p w14:paraId="2203DF5A" w14:textId="544C7B94" w:rsidR="004A1067" w:rsidRPr="004A1067" w:rsidRDefault="001F530C" w:rsidP="00D94261">
      <w:pPr>
        <w:spacing w:after="120" w:line="240" w:lineRule="auto"/>
        <w:jc w:val="left"/>
        <w:rPr>
          <w:rFonts w:ascii="Open Sans" w:eastAsia="Tahoma" w:hAnsi="Open Sans" w:cs="Open Sans"/>
          <w:b/>
          <w:bCs/>
          <w:color w:val="000000"/>
          <w:sz w:val="20"/>
          <w:szCs w:val="20"/>
          <w:lang w:eastAsia="pl-PL"/>
        </w:rPr>
      </w:pPr>
      <w:r w:rsidRPr="00C63977">
        <w:rPr>
          <w:rFonts w:ascii="Open Sans" w:hAnsi="Open Sans" w:cs="Open Sans"/>
          <w:sz w:val="20"/>
          <w:szCs w:val="20"/>
        </w:rPr>
        <w:t xml:space="preserve">Nazwa zamówienia: </w:t>
      </w:r>
    </w:p>
    <w:p w14:paraId="099C526B" w14:textId="73EFCE43" w:rsidR="004A1067" w:rsidRPr="00D94261" w:rsidRDefault="004A1067" w:rsidP="00D94261">
      <w:pPr>
        <w:spacing w:after="120" w:line="240" w:lineRule="auto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bookmarkStart w:id="0" w:name="_Hlk133915991"/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Zadanie nr 2</w:t>
      </w:r>
      <w:r w:rsidR="00D94261"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- </w:t>
      </w:r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Dostawa 2 szt</w:t>
      </w:r>
      <w:r w:rsidR="00D94261"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uk </w:t>
      </w:r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kontenerów typu KP-40 do zbierania odpadów.</w:t>
      </w:r>
    </w:p>
    <w:bookmarkEnd w:id="0"/>
    <w:p w14:paraId="2506CD5C" w14:textId="5DC6B2D3" w:rsidR="001F530C" w:rsidRDefault="001F530C" w:rsidP="00D942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BEDF17D" w14:textId="77777777" w:rsidR="004A1067" w:rsidRPr="00D94261" w:rsidRDefault="004A1067" w:rsidP="00D94261">
      <w:pPr>
        <w:spacing w:after="0"/>
        <w:jc w:val="left"/>
        <w:rPr>
          <w:rFonts w:ascii="Open Sans" w:hAnsi="Open Sans" w:cs="Open Sans"/>
          <w:b/>
          <w:bCs/>
          <w:sz w:val="16"/>
          <w:szCs w:val="16"/>
        </w:rPr>
      </w:pPr>
      <w:r w:rsidRPr="00D94261">
        <w:rPr>
          <w:rFonts w:ascii="Open Sans" w:hAnsi="Open Sans" w:cs="Open Sans"/>
          <w:sz w:val="16"/>
          <w:szCs w:val="16"/>
        </w:rPr>
        <w:t xml:space="preserve">Nazwa i kod CPV: </w:t>
      </w:r>
      <w:r w:rsidRPr="00D94261">
        <w:rPr>
          <w:rFonts w:ascii="Open Sans" w:hAnsi="Open Sans" w:cs="Open Sans"/>
          <w:b/>
          <w:bCs/>
          <w:sz w:val="16"/>
          <w:szCs w:val="16"/>
        </w:rPr>
        <w:t xml:space="preserve"> </w:t>
      </w:r>
    </w:p>
    <w:p w14:paraId="740F5259" w14:textId="2A0D3FF3" w:rsidR="004A1067" w:rsidRPr="00D94261" w:rsidRDefault="00785A82" w:rsidP="00D94261">
      <w:pPr>
        <w:spacing w:after="0" w:line="240" w:lineRule="auto"/>
        <w:jc w:val="left"/>
        <w:rPr>
          <w:rFonts w:ascii="Open Sans" w:hAnsi="Open Sans" w:cs="Open Sans"/>
          <w:sz w:val="16"/>
          <w:szCs w:val="16"/>
        </w:rPr>
      </w:pPr>
      <w:r w:rsidRPr="00D94261">
        <w:rPr>
          <w:rFonts w:ascii="Open Sans" w:eastAsia="Times New Roman" w:hAnsi="Open Sans" w:cs="Open Sans"/>
          <w:sz w:val="16"/>
          <w:szCs w:val="16"/>
          <w:lang w:eastAsia="pl-PL"/>
        </w:rPr>
        <w:t>Pojemniki i kosze na odpady i śmieci</w:t>
      </w:r>
      <w:r w:rsidR="00EC5F40" w:rsidRPr="00D94261">
        <w:rPr>
          <w:rFonts w:ascii="Open Sans" w:eastAsia="Times New Roman" w:hAnsi="Open Sans" w:cs="Open Sans"/>
          <w:sz w:val="16"/>
          <w:szCs w:val="16"/>
          <w:lang w:eastAsia="pl-PL"/>
        </w:rPr>
        <w:t xml:space="preserve"> 34928480-6</w:t>
      </w:r>
    </w:p>
    <w:p w14:paraId="78198FC2" w14:textId="77777777" w:rsidR="004A1067" w:rsidRDefault="004A1067" w:rsidP="001F530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2BCB54" w14:textId="5DCDA94B" w:rsidR="00785A82" w:rsidRPr="00D94261" w:rsidRDefault="00785A82" w:rsidP="00D94261">
      <w:pPr>
        <w:spacing w:after="120" w:line="280" w:lineRule="exact"/>
        <w:jc w:val="center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Zadanie nr 2</w:t>
      </w:r>
      <w:r w:rsidR="00D94261"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- </w:t>
      </w:r>
      <w:r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Dostawa 2 szt</w:t>
      </w:r>
      <w:r w:rsidR="00D94261"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uk </w:t>
      </w:r>
      <w:r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kontenerów</w:t>
      </w:r>
      <w:r w:rsidR="00EC5F40"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zamkniętych</w:t>
      </w:r>
      <w:r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typu KP-40 </w:t>
      </w:r>
      <w:r w:rsidR="00D94261"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br/>
      </w:r>
      <w:r w:rsidRPr="00D94261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do zbierania odpadów.</w:t>
      </w:r>
    </w:p>
    <w:p w14:paraId="662B70DA" w14:textId="3EC91D26" w:rsidR="00785A82" w:rsidRPr="00785A82" w:rsidRDefault="00785A82" w:rsidP="00AC2950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72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85A82">
        <w:rPr>
          <w:rFonts w:ascii="Open Sans" w:eastAsia="Times New Roman" w:hAnsi="Open Sans" w:cs="Open Sans"/>
          <w:sz w:val="20"/>
          <w:szCs w:val="20"/>
          <w:lang w:eastAsia="pl-PL"/>
        </w:rPr>
        <w:t>Przedmiot zamówienia.</w:t>
      </w:r>
    </w:p>
    <w:p w14:paraId="2B9556E7" w14:textId="4EE6E7D6" w:rsidR="00785A82" w:rsidRPr="00D94261" w:rsidRDefault="00785A82" w:rsidP="00AC2950">
      <w:pPr>
        <w:pStyle w:val="Akapitzlist"/>
        <w:numPr>
          <w:ilvl w:val="1"/>
          <w:numId w:val="2"/>
        </w:numPr>
        <w:spacing w:after="0" w:line="240" w:lineRule="auto"/>
        <w:ind w:left="284" w:hanging="284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Przedmiot zamówienia stanowi d</w:t>
      </w: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 xml:space="preserve">ostawa </w:t>
      </w:r>
      <w:r w:rsidR="00D261C2" w:rsidRPr="00D9426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fabrycznie nowych </w:t>
      </w:r>
      <w:r w:rsidR="0062417B"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2</w:t>
      </w:r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szt. </w:t>
      </w:r>
      <w:bookmarkStart w:id="1" w:name="_Hlk133923044"/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kontenerów </w:t>
      </w:r>
      <w:r w:rsidR="00EC5F40"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zamknięt</w:t>
      </w:r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ych typu KP-</w:t>
      </w:r>
      <w:r w:rsidR="00AC2950"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4</w:t>
      </w:r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0 do zbierania odpadów</w:t>
      </w:r>
      <w:bookmarkEnd w:id="1"/>
      <w:r w:rsidRPr="00D94261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.</w:t>
      </w:r>
    </w:p>
    <w:p w14:paraId="1B33B17D" w14:textId="77777777" w:rsidR="00785A82" w:rsidRPr="00E42CF2" w:rsidRDefault="00785A82" w:rsidP="00AC2950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Kontenery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należy dostarczyć do siedziby Przedsiębiorstwa Gospodarki Komunalnej Sp. z o.o.,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ul. Komunalna 5, 75-724 Koszalin w godzinach od 7.00 do 14.00 od poniedziałku do piątku 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  <w:t>z wyjątkiem dni ustawowo wolnych od pracy, po uprzednim powiadomieniu Zamawiającego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32E8F1B" w14:textId="4AE2FA7B" w:rsidR="00E42CF2" w:rsidRPr="00E42CF2" w:rsidRDefault="00E42CF2" w:rsidP="00E42CF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hAnsi="Open Sans" w:cs="Open Sans"/>
          <w:sz w:val="20"/>
          <w:szCs w:val="20"/>
        </w:rPr>
        <w:t>K</w:t>
      </w:r>
      <w:r w:rsidRPr="00E42CF2">
        <w:rPr>
          <w:rFonts w:ascii="Open Sans" w:hAnsi="Open Sans" w:cs="Open Sans"/>
          <w:sz w:val="20"/>
          <w:szCs w:val="20"/>
        </w:rPr>
        <w:t xml:space="preserve">onstrukcja wykonana z blachy </w:t>
      </w:r>
      <w:r>
        <w:rPr>
          <w:rFonts w:ascii="Open Sans" w:hAnsi="Open Sans" w:cs="Open Sans"/>
          <w:sz w:val="20"/>
          <w:szCs w:val="20"/>
        </w:rPr>
        <w:t xml:space="preserve">o grubości od </w:t>
      </w:r>
      <w:r w:rsidRPr="00E42CF2">
        <w:rPr>
          <w:rFonts w:ascii="Open Sans" w:hAnsi="Open Sans" w:cs="Open Sans"/>
          <w:sz w:val="20"/>
          <w:szCs w:val="20"/>
        </w:rPr>
        <w:t xml:space="preserve">3 do 5 mm (podłoga 5 mm), wzmacniany kształtownikiem  </w:t>
      </w:r>
      <w:proofErr w:type="spellStart"/>
      <w:r w:rsidRPr="00E42CF2">
        <w:rPr>
          <w:rFonts w:ascii="Open Sans" w:hAnsi="Open Sans" w:cs="Open Sans"/>
          <w:sz w:val="20"/>
          <w:szCs w:val="20"/>
        </w:rPr>
        <w:t>zimnogiętym</w:t>
      </w:r>
      <w:proofErr w:type="spellEnd"/>
      <w:r w:rsidRPr="00E42CF2">
        <w:rPr>
          <w:rFonts w:ascii="Open Sans" w:hAnsi="Open Sans" w:cs="Open Sans"/>
          <w:sz w:val="20"/>
          <w:szCs w:val="20"/>
        </w:rPr>
        <w:t>,</w:t>
      </w:r>
      <w:r w:rsidR="00E371EF">
        <w:rPr>
          <w:rFonts w:ascii="Open Sans" w:hAnsi="Open Sans" w:cs="Open Sans"/>
          <w:sz w:val="20"/>
          <w:szCs w:val="20"/>
        </w:rPr>
        <w:t xml:space="preserve"> w kolorze</w:t>
      </w:r>
      <w:r w:rsidR="00E371EF" w:rsidRPr="00E371E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371EF" w:rsidRPr="00E42CF2">
        <w:rPr>
          <w:rFonts w:ascii="Open Sans" w:hAnsi="Open Sans" w:cs="Open Sans"/>
          <w:color w:val="000000"/>
          <w:sz w:val="20"/>
          <w:szCs w:val="20"/>
        </w:rPr>
        <w:t>niebieski</w:t>
      </w:r>
      <w:r w:rsidR="00E371EF">
        <w:rPr>
          <w:rFonts w:ascii="Open Sans" w:hAnsi="Open Sans" w:cs="Open Sans"/>
          <w:color w:val="000000"/>
          <w:sz w:val="20"/>
          <w:szCs w:val="20"/>
        </w:rPr>
        <w:t>m</w:t>
      </w:r>
      <w:r w:rsidR="00E371EF" w:rsidRPr="00E42CF2">
        <w:rPr>
          <w:rFonts w:ascii="Open Sans" w:hAnsi="Open Sans" w:cs="Open Sans"/>
          <w:color w:val="000000"/>
          <w:sz w:val="20"/>
          <w:szCs w:val="20"/>
        </w:rPr>
        <w:t xml:space="preserve">  RAL 5002,</w:t>
      </w:r>
    </w:p>
    <w:p w14:paraId="2220F3FD" w14:textId="7E27D9AA" w:rsidR="00E371EF" w:rsidRDefault="00E42CF2" w:rsidP="00E42CF2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Wymiary </w:t>
      </w:r>
      <w:r w:rsidR="00E371EF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kontenerów:</w:t>
      </w:r>
    </w:p>
    <w:p w14:paraId="3C34F3FF" w14:textId="677D53E6" w:rsidR="00E42CF2" w:rsidRDefault="00E371EF" w:rsidP="00E371EF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4.1. </w:t>
      </w:r>
      <w:r w:rsidR="00E42CF2" w:rsidRPr="00E42CF2">
        <w:rPr>
          <w:rFonts w:ascii="Open Sans" w:hAnsi="Open Sans" w:cs="Open Sans"/>
          <w:color w:val="000000"/>
          <w:sz w:val="20"/>
          <w:szCs w:val="20"/>
        </w:rPr>
        <w:t>długość wewnętrzna - 7000 mm,</w:t>
      </w:r>
    </w:p>
    <w:p w14:paraId="3B842F4D" w14:textId="5845A84F" w:rsidR="00E42CF2" w:rsidRDefault="00E371EF" w:rsidP="00E371EF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4.2. </w:t>
      </w:r>
      <w:r w:rsidR="00E42CF2" w:rsidRPr="00E371EF">
        <w:rPr>
          <w:rFonts w:ascii="Open Sans" w:hAnsi="Open Sans" w:cs="Open Sans"/>
          <w:color w:val="000000"/>
          <w:sz w:val="20"/>
          <w:szCs w:val="20"/>
        </w:rPr>
        <w:t>szerokość wewnętrzna - 2350 mm,</w:t>
      </w:r>
    </w:p>
    <w:p w14:paraId="591780DA" w14:textId="0CB6D0AB" w:rsidR="00E42CF2" w:rsidRDefault="00E371EF" w:rsidP="00E371EF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4.3. </w:t>
      </w:r>
      <w:r w:rsidR="00E42CF2" w:rsidRPr="00E371EF">
        <w:rPr>
          <w:rFonts w:ascii="Open Sans" w:hAnsi="Open Sans" w:cs="Open Sans"/>
          <w:color w:val="000000"/>
          <w:sz w:val="20"/>
          <w:szCs w:val="20"/>
        </w:rPr>
        <w:t>wysokość wewnętrzna – 2400 mm (do krawędzi górnej kontenera, bez dachu),</w:t>
      </w:r>
    </w:p>
    <w:p w14:paraId="550AC2C8" w14:textId="7B7B3F77" w:rsidR="00E371EF" w:rsidRDefault="00E371EF" w:rsidP="00E371EF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 xml:space="preserve">rozstaw podłużnic wewnętrzny - 900 mm, </w:t>
      </w:r>
    </w:p>
    <w:p w14:paraId="18DF4F92" w14:textId="1D896507" w:rsidR="00E371EF" w:rsidRDefault="00E371EF" w:rsidP="00E371EF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szerokość podłużnicy - 90 mm,</w:t>
      </w:r>
    </w:p>
    <w:p w14:paraId="0D33253A" w14:textId="555D0BF0" w:rsidR="00E371EF" w:rsidRDefault="00E371EF" w:rsidP="00E371EF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wysokość podłużnicy (podłoże – podłoga kontenera): 180 – 190 mm</w:t>
      </w:r>
      <w:r w:rsidR="00C22FAE">
        <w:rPr>
          <w:rFonts w:ascii="Open Sans" w:hAnsi="Open Sans" w:cs="Open Sans"/>
          <w:color w:val="000000"/>
          <w:sz w:val="20"/>
          <w:szCs w:val="20"/>
        </w:rPr>
        <w:t>.</w:t>
      </w:r>
    </w:p>
    <w:p w14:paraId="6EF2BF94" w14:textId="77777777" w:rsidR="00C22FAE" w:rsidRPr="00E371EF" w:rsidRDefault="00C22FAE" w:rsidP="00C22FA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a rogach podłogi od dołu z przodu i na tyle zamocowane metalowe koła do przetaczania </w:t>
      </w:r>
      <w:r>
        <w:rPr>
          <w:rFonts w:ascii="Open Sans" w:hAnsi="Open Sans" w:cs="Open Sans"/>
          <w:color w:val="000000"/>
          <w:sz w:val="20"/>
          <w:szCs w:val="20"/>
        </w:rPr>
        <w:t>kontenera: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  </w:t>
      </w:r>
    </w:p>
    <w:p w14:paraId="71AC874D" w14:textId="77777777" w:rsidR="00C22FAE" w:rsidRDefault="00C22FAE" w:rsidP="00C22FAE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średnica zewnętrzna koła - 160 mm,</w:t>
      </w:r>
    </w:p>
    <w:p w14:paraId="02CF7C9A" w14:textId="77777777" w:rsidR="00C22FAE" w:rsidRDefault="00C22FAE" w:rsidP="00C22FAE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 xml:space="preserve">szerokość koła - 300 mm,  </w:t>
      </w:r>
    </w:p>
    <w:p w14:paraId="0FA100E6" w14:textId="5722B6CE" w:rsidR="00C22FAE" w:rsidRPr="00C22FAE" w:rsidRDefault="00C22FAE" w:rsidP="00C22FAE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wysokość koła wraz z jego mocowaniem (podłoże</w:t>
      </w:r>
      <w:r>
        <w:rPr>
          <w:rFonts w:ascii="Open Sans" w:hAnsi="Open Sans" w:cs="Open Sans"/>
          <w:color w:val="000000"/>
          <w:sz w:val="20"/>
          <w:szCs w:val="20"/>
        </w:rPr>
        <w:t>m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- podłog</w:t>
      </w:r>
      <w:r>
        <w:rPr>
          <w:rFonts w:ascii="Open Sans" w:hAnsi="Open Sans" w:cs="Open Sans"/>
          <w:color w:val="000000"/>
          <w:sz w:val="20"/>
          <w:szCs w:val="20"/>
        </w:rPr>
        <w:t>ą</w:t>
      </w:r>
      <w:r w:rsidRPr="00E371EF">
        <w:rPr>
          <w:rFonts w:ascii="Open Sans" w:hAnsi="Open Sans" w:cs="Open Sans"/>
          <w:color w:val="000000"/>
          <w:sz w:val="20"/>
          <w:szCs w:val="20"/>
        </w:rPr>
        <w:t>): 220 – 230 mm</w:t>
      </w:r>
      <w:r>
        <w:rPr>
          <w:rFonts w:ascii="Open Sans" w:hAnsi="Open Sans" w:cs="Open Sans"/>
          <w:color w:val="000000"/>
          <w:sz w:val="20"/>
          <w:szCs w:val="20"/>
        </w:rPr>
        <w:t>.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0E9036F5" w14:textId="4D055E28" w:rsidR="00E371EF" w:rsidRDefault="00C22FAE" w:rsidP="00E371EF">
      <w:pPr>
        <w:tabs>
          <w:tab w:val="left" w:pos="284"/>
        </w:tabs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6. </w:t>
      </w:r>
      <w:r w:rsidR="00E371EF" w:rsidRPr="006E2FBF">
        <w:rPr>
          <w:rFonts w:ascii="Open Sans" w:eastAsia="Times New Roman" w:hAnsi="Open Sans" w:cs="Open Sans"/>
          <w:sz w:val="20"/>
          <w:szCs w:val="20"/>
          <w:lang w:eastAsia="pl-PL"/>
        </w:rPr>
        <w:t>Kontenery</w:t>
      </w:r>
      <w:r w:rsidR="006E2FB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E42CF2" w:rsidRPr="00E371EF">
        <w:rPr>
          <w:rFonts w:ascii="Open Sans" w:hAnsi="Open Sans" w:cs="Open Sans"/>
          <w:color w:val="000000"/>
          <w:sz w:val="20"/>
          <w:szCs w:val="20"/>
        </w:rPr>
        <w:t>przystosowan</w:t>
      </w:r>
      <w:r w:rsidR="00E371EF">
        <w:rPr>
          <w:rFonts w:ascii="Open Sans" w:hAnsi="Open Sans" w:cs="Open Sans"/>
          <w:color w:val="000000"/>
          <w:sz w:val="20"/>
          <w:szCs w:val="20"/>
        </w:rPr>
        <w:t>e</w:t>
      </w:r>
      <w:r w:rsidR="00E42CF2" w:rsidRPr="00E371EF">
        <w:rPr>
          <w:rFonts w:ascii="Open Sans" w:hAnsi="Open Sans" w:cs="Open Sans"/>
          <w:color w:val="000000"/>
          <w:sz w:val="20"/>
          <w:szCs w:val="20"/>
        </w:rPr>
        <w:t xml:space="preserve"> do opróżniania przez samochód typu </w:t>
      </w:r>
      <w:proofErr w:type="spellStart"/>
      <w:r w:rsidR="00E42CF2" w:rsidRPr="00E371EF">
        <w:rPr>
          <w:rFonts w:ascii="Open Sans" w:hAnsi="Open Sans" w:cs="Open Sans"/>
          <w:color w:val="000000"/>
          <w:sz w:val="20"/>
          <w:szCs w:val="20"/>
        </w:rPr>
        <w:t>hakowiec</w:t>
      </w:r>
      <w:proofErr w:type="spellEnd"/>
      <w:r w:rsidR="00E42CF2" w:rsidRPr="00E371EF">
        <w:rPr>
          <w:rFonts w:ascii="Open Sans" w:hAnsi="Open Sans" w:cs="Open Sans"/>
          <w:color w:val="000000"/>
          <w:sz w:val="20"/>
          <w:szCs w:val="20"/>
        </w:rPr>
        <w:t xml:space="preserve"> z hakowym</w:t>
      </w:r>
      <w:r w:rsidR="00E371EF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6E2FBF">
        <w:rPr>
          <w:rFonts w:ascii="Open Sans" w:hAnsi="Open Sans" w:cs="Open Sans"/>
          <w:color w:val="000000"/>
          <w:sz w:val="20"/>
          <w:szCs w:val="20"/>
        </w:rPr>
        <w:t xml:space="preserve">      </w:t>
      </w:r>
      <w:r w:rsidR="00E42CF2" w:rsidRPr="00E371EF">
        <w:rPr>
          <w:rFonts w:ascii="Open Sans" w:hAnsi="Open Sans" w:cs="Open Sans"/>
          <w:color w:val="000000"/>
          <w:sz w:val="20"/>
          <w:szCs w:val="20"/>
        </w:rPr>
        <w:t>systemem załadowczym wg normy DIN 30722,</w:t>
      </w:r>
    </w:p>
    <w:p w14:paraId="4FD708E8" w14:textId="31343C9C" w:rsidR="00E42CF2" w:rsidRDefault="00C22FAE" w:rsidP="00E371EF">
      <w:pPr>
        <w:tabs>
          <w:tab w:val="left" w:pos="284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7. </w:t>
      </w:r>
      <w:r w:rsidR="00E371EF" w:rsidRPr="0062417B">
        <w:rPr>
          <w:rFonts w:ascii="Open Sans" w:hAnsi="Open Sans" w:cs="Open Sans"/>
          <w:sz w:val="20"/>
          <w:szCs w:val="20"/>
        </w:rPr>
        <w:t>D</w:t>
      </w:r>
      <w:r w:rsidR="00E42CF2" w:rsidRPr="0062417B">
        <w:rPr>
          <w:rFonts w:ascii="Open Sans" w:hAnsi="Open Sans" w:cs="Open Sans"/>
          <w:sz w:val="20"/>
          <w:szCs w:val="20"/>
        </w:rPr>
        <w:t xml:space="preserve">ach </w:t>
      </w:r>
      <w:r w:rsidR="00E371EF" w:rsidRPr="0062417B">
        <w:rPr>
          <w:rFonts w:ascii="Open Sans" w:hAnsi="Open Sans" w:cs="Open Sans"/>
          <w:sz w:val="20"/>
          <w:szCs w:val="20"/>
        </w:rPr>
        <w:t xml:space="preserve">kontenerów </w:t>
      </w:r>
      <w:r w:rsidR="00E42CF2" w:rsidRPr="0062417B">
        <w:rPr>
          <w:rFonts w:ascii="Open Sans" w:hAnsi="Open Sans" w:cs="Open Sans"/>
          <w:sz w:val="20"/>
          <w:szCs w:val="20"/>
        </w:rPr>
        <w:t>zamknięty na stałe</w:t>
      </w:r>
      <w:r w:rsidR="0062417B" w:rsidRPr="0062417B">
        <w:rPr>
          <w:rFonts w:ascii="Open Sans" w:hAnsi="Open Sans" w:cs="Open Sans"/>
          <w:sz w:val="20"/>
          <w:szCs w:val="20"/>
        </w:rPr>
        <w:t>.</w:t>
      </w:r>
    </w:p>
    <w:p w14:paraId="077D99D5" w14:textId="33218681" w:rsidR="00E42CF2" w:rsidRPr="00C22FAE" w:rsidRDefault="00C22FAE" w:rsidP="006E2FBF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22FAE">
        <w:rPr>
          <w:rFonts w:ascii="Open Sans" w:hAnsi="Open Sans" w:cs="Open Sans"/>
          <w:sz w:val="20"/>
          <w:szCs w:val="20"/>
        </w:rPr>
        <w:t>8.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371EF" w:rsidRPr="00C22FAE">
        <w:rPr>
          <w:rFonts w:ascii="Open Sans" w:hAnsi="Open Sans" w:cs="Open Sans"/>
          <w:sz w:val="20"/>
          <w:szCs w:val="20"/>
        </w:rPr>
        <w:t>D</w:t>
      </w:r>
      <w:r w:rsidR="00E42CF2" w:rsidRPr="00C22FAE">
        <w:rPr>
          <w:rFonts w:ascii="Open Sans" w:hAnsi="Open Sans" w:cs="Open Sans"/>
          <w:sz w:val="20"/>
          <w:szCs w:val="20"/>
        </w:rPr>
        <w:t xml:space="preserve">rzwi </w:t>
      </w:r>
      <w:r w:rsidRPr="00C22FAE">
        <w:rPr>
          <w:rFonts w:ascii="Open Sans" w:hAnsi="Open Sans" w:cs="Open Sans"/>
          <w:sz w:val="20"/>
          <w:szCs w:val="20"/>
        </w:rPr>
        <w:t xml:space="preserve">kontenerów </w:t>
      </w:r>
      <w:r w:rsidR="00E42CF2" w:rsidRPr="00C22FAE">
        <w:rPr>
          <w:rFonts w:ascii="Open Sans" w:hAnsi="Open Sans" w:cs="Open Sans"/>
          <w:sz w:val="20"/>
          <w:szCs w:val="20"/>
        </w:rPr>
        <w:t xml:space="preserve">dwuskrzydłowe zamykane zasuwą hakową kotwioną u góry i na dole </w:t>
      </w:r>
      <w:r w:rsidR="00E371EF" w:rsidRPr="00C22FAE">
        <w:rPr>
          <w:rFonts w:ascii="Open Sans" w:hAnsi="Open Sans" w:cs="Open Sans"/>
          <w:sz w:val="20"/>
          <w:szCs w:val="20"/>
        </w:rPr>
        <w:t>kontenera</w:t>
      </w:r>
      <w:r w:rsidR="006E2FBF">
        <w:rPr>
          <w:rFonts w:ascii="Open Sans" w:hAnsi="Open Sans" w:cs="Open Sans"/>
          <w:sz w:val="20"/>
          <w:szCs w:val="20"/>
        </w:rPr>
        <w:t>.</w:t>
      </w:r>
    </w:p>
    <w:p w14:paraId="74B44470" w14:textId="644E0877" w:rsidR="00785A82" w:rsidRPr="00AC2950" w:rsidRDefault="00785A82" w:rsidP="00AC2950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</w:tabs>
        <w:spacing w:after="0" w:line="240" w:lineRule="auto"/>
        <w:ind w:left="142" w:hanging="142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C2950">
        <w:rPr>
          <w:rFonts w:ascii="Open Sans" w:eastAsia="Times New Roman" w:hAnsi="Open Sans" w:cs="Open Sans"/>
          <w:sz w:val="20"/>
          <w:szCs w:val="20"/>
          <w:lang w:eastAsia="pl-PL"/>
        </w:rPr>
        <w:t>Termin realizacji przedmiotu zamówienia.</w:t>
      </w:r>
    </w:p>
    <w:p w14:paraId="42B265E3" w14:textId="19AE74C7" w:rsidR="00785A82" w:rsidRPr="00C63977" w:rsidRDefault="00785A82" w:rsidP="00785A82">
      <w:pPr>
        <w:spacing w:after="0" w:line="240" w:lineRule="auto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Wykonawca zobowiązany jest do dostarczenia </w:t>
      </w:r>
      <w:r w:rsidR="00D94261">
        <w:rPr>
          <w:rFonts w:ascii="Open Sans" w:eastAsia="Arial Unicode MS" w:hAnsi="Open Sans" w:cs="Open Sans"/>
          <w:sz w:val="20"/>
          <w:szCs w:val="20"/>
          <w:lang w:eastAsia="pl-PL"/>
        </w:rPr>
        <w:t>kontenerów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: w terminie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do </w:t>
      </w:r>
      <w:r w:rsidR="00C22FAE">
        <w:rPr>
          <w:rFonts w:ascii="Open Sans" w:eastAsia="Arial Unicode MS" w:hAnsi="Open Sans" w:cs="Open Sans"/>
          <w:sz w:val="20"/>
          <w:szCs w:val="20"/>
          <w:lang w:eastAsia="pl-PL"/>
        </w:rPr>
        <w:t>6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>0 dni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od dnia zawarcia umowy.</w:t>
      </w:r>
    </w:p>
    <w:p w14:paraId="5DD7F374" w14:textId="5DEEFC17" w:rsidR="00785A82" w:rsidRPr="00AC2950" w:rsidRDefault="00785A82" w:rsidP="00AC2950">
      <w:pPr>
        <w:pStyle w:val="Akapitzlist"/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4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AC2950">
        <w:rPr>
          <w:rFonts w:ascii="Open Sans" w:eastAsiaTheme="minorHAnsi" w:hAnsi="Open Sans" w:cs="Open Sans"/>
          <w:color w:val="000000"/>
          <w:sz w:val="20"/>
          <w:szCs w:val="20"/>
        </w:rPr>
        <w:t>Podstawy wykluczenia.</w:t>
      </w:r>
    </w:p>
    <w:p w14:paraId="40A39DCE" w14:textId="77777777" w:rsidR="00785A82" w:rsidRDefault="00785A82" w:rsidP="00785A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O udzielenie zamówieni</w:t>
      </w:r>
      <w:r>
        <w:rPr>
          <w:rFonts w:ascii="Helv" w:eastAsiaTheme="minorHAnsi" w:hAnsi="Helv" w:cs="Helv"/>
          <w:color w:val="000000"/>
          <w:sz w:val="20"/>
          <w:szCs w:val="20"/>
        </w:rPr>
        <w:t>a mogą ubiegać się wykonawcy, kt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órzy:</w:t>
      </w:r>
    </w:p>
    <w:p w14:paraId="5FE9BA8E" w14:textId="77777777" w:rsidR="00785A82" w:rsidRDefault="00785A82" w:rsidP="00785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1.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Nie podlega</w:t>
      </w:r>
      <w:r>
        <w:rPr>
          <w:rFonts w:ascii="Helv" w:eastAsiaTheme="minorHAnsi" w:hAnsi="Helv" w:cs="Helv"/>
          <w:color w:val="000000"/>
          <w:sz w:val="20"/>
          <w:szCs w:val="20"/>
        </w:rPr>
        <w:t>ją w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ykluczeniu na podstawie art. 108 ust.1 ustawy PZP;</w:t>
      </w:r>
    </w:p>
    <w:p w14:paraId="595268B7" w14:textId="58E7A2E9" w:rsidR="00785A82" w:rsidRDefault="00785A82" w:rsidP="00785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2.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Zama</w:t>
      </w:r>
      <w:r>
        <w:rPr>
          <w:rFonts w:ascii="Helv" w:eastAsiaTheme="minorHAnsi" w:hAnsi="Helv" w:cs="Helv"/>
          <w:color w:val="000000"/>
          <w:sz w:val="20"/>
          <w:szCs w:val="20"/>
        </w:rPr>
        <w:t>wiający przewid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uje wykluczenie na podstawie art. 109 ust.1 pkt 4 ustawy PZP.</w:t>
      </w:r>
    </w:p>
    <w:p w14:paraId="05A27A0F" w14:textId="77777777" w:rsidR="00785A82" w:rsidRPr="00E533A3" w:rsidRDefault="00785A82" w:rsidP="00AC2950">
      <w:pPr>
        <w:pStyle w:val="Akapitzlist"/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426"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Warunki udziału w postępowaniu.</w:t>
      </w:r>
    </w:p>
    <w:p w14:paraId="45313377" w14:textId="77777777" w:rsidR="00785A82" w:rsidRDefault="00785A82" w:rsidP="00785A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 xml:space="preserve">w postępowaniu określone w  art. 112 ust. 2 pkt. 4  ustawy PZP, dotyczące zdolności technicznej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lub zawodowej:</w:t>
      </w:r>
    </w:p>
    <w:p w14:paraId="0B9047E8" w14:textId="33D28359" w:rsidR="00785A82" w:rsidRDefault="00785A82" w:rsidP="00785A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Wykonawca spełni warunek, jeżeli wykaże, że w okresie ostatnich 3 lat, licząc wstecz od dnia, w którym upływa termin składania ofert, a jeżeli okres prowadzenia działalności jest krótszy – w tym okresie wykonał </w:t>
      </w:r>
      <w:r>
        <w:rPr>
          <w:rFonts w:ascii="Segoe UI" w:eastAsiaTheme="minorHAnsi" w:hAnsi="Segoe UI" w:cs="Segoe UI"/>
          <w:color w:val="000000"/>
          <w:sz w:val="20"/>
          <w:szCs w:val="20"/>
        </w:rPr>
        <w:lastRenderedPageBreak/>
        <w:t xml:space="preserve">lub wykonuje co najmniej 1 dostawę o wartości co najmniej 60 000,00 złotych brutto, polegającą na dostawie </w:t>
      </w:r>
      <w:r w:rsidR="0062417B" w:rsidRPr="0062417B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kontenerów zamkniętych typu KP-40 do zbierania odpadów.</w:t>
      </w:r>
    </w:p>
    <w:p w14:paraId="3923436F" w14:textId="77777777" w:rsidR="00785A82" w:rsidRPr="00E533A3" w:rsidRDefault="00785A82" w:rsidP="00EC5F40">
      <w:pPr>
        <w:pStyle w:val="Akapitzlist"/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Podmiotowe środki dowodowe.</w:t>
      </w:r>
    </w:p>
    <w:p w14:paraId="18DEBCFD" w14:textId="19D8DD93" w:rsidR="00785A82" w:rsidRDefault="00785A82" w:rsidP="00785A82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</w:t>
      </w:r>
      <w:r w:rsidR="00F22CBA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>5</w:t>
      </w:r>
      <w:r w:rsidRPr="00FE7266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 xml:space="preserve"> dni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, aktualnych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na dzień złożenia podmiotowych środków dowodowych potwierdzających spełnianie przez Wykonawcę warunków udziału w postępowaniu dotyczących zdolności technicznej lub zawodowej tj.:</w:t>
      </w:r>
    </w:p>
    <w:p w14:paraId="3404EA36" w14:textId="49181816" w:rsidR="00785A82" w:rsidRDefault="00785A82" w:rsidP="006E2FBF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- wykazu dostaw wykonanych, a w przypadku świadczeń powtarzających się lub ciągłych również</w:t>
      </w:r>
      <w:r w:rsidR="006E2FBF"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wykonywanych, w okresie ostatnich 3 lat, a jeżeli okres prowadzenia działalności jest krótszy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B99EB37" w14:textId="77777777" w:rsidR="00785A82" w:rsidRDefault="00785A82" w:rsidP="00785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1AE16F67" w14:textId="77777777" w:rsidR="00785A82" w:rsidRPr="00C63977" w:rsidRDefault="00785A82" w:rsidP="00EC5F4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Dokumenty.</w:t>
      </w:r>
    </w:p>
    <w:p w14:paraId="0106EE96" w14:textId="3C60F044" w:rsidR="00785A82" w:rsidRPr="004A1067" w:rsidRDefault="00785A82" w:rsidP="006E2FB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Oryginał lub kserokopia dokumentu potwierdzającego zgodność wykonania pojemników </w:t>
      </w:r>
      <w:r w:rsidR="006E2FBF">
        <w:rPr>
          <w:rFonts w:ascii="Open Sans" w:eastAsia="Times New Roman" w:hAnsi="Open Sans" w:cs="Open Sans"/>
          <w:bCs/>
          <w:color w:val="000000"/>
          <w:sz w:val="20"/>
          <w:szCs w:val="20"/>
        </w:rPr>
        <w:br/>
      </w: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z normą </w:t>
      </w: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DIN 30722.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785A82" w:rsidRPr="00901678" w14:paraId="6889592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1849E" w14:textId="77777777" w:rsidR="00785A82" w:rsidRPr="00901678" w:rsidRDefault="00785A82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p w14:paraId="41CFE134" w14:textId="1BE08BFE" w:rsidR="00785A82" w:rsidRPr="006E2FBF" w:rsidRDefault="00785A82" w:rsidP="00785A8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709" w:hanging="567"/>
        <w:jc w:val="left"/>
        <w:rPr>
          <w:rStyle w:val="Pogrubienie"/>
          <w:rFonts w:ascii="Open Sans" w:eastAsia="Times New Roman" w:hAnsi="Open Sans" w:cs="Open Sans"/>
          <w:b w:val="0"/>
          <w:bCs w:val="0"/>
          <w:sz w:val="20"/>
          <w:szCs w:val="20"/>
          <w:lang w:eastAsia="pl-PL"/>
        </w:rPr>
      </w:pPr>
      <w:r w:rsidRPr="00C63977">
        <w:rPr>
          <w:rFonts w:ascii="Open Sans" w:hAnsi="Open Sans" w:cs="Open Sans"/>
          <w:bCs/>
          <w:sz w:val="20"/>
          <w:szCs w:val="20"/>
        </w:rPr>
        <w:t>Kryteria i ocena kryteriów.</w:t>
      </w:r>
    </w:p>
    <w:p w14:paraId="5EFF5B22" w14:textId="50F4BBB3" w:rsidR="00785A82" w:rsidRPr="006E2FBF" w:rsidRDefault="00785A82" w:rsidP="00EC5F40">
      <w:pPr>
        <w:pStyle w:val="Akapitzlist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E2FBF">
        <w:rPr>
          <w:rFonts w:ascii="Open Sans" w:hAnsi="Open Sans" w:cs="Open Sans"/>
          <w:sz w:val="20"/>
          <w:szCs w:val="20"/>
        </w:rPr>
        <w:t>Kryterium „Cena całego zamówienia” – waga 100 punktów.</w:t>
      </w:r>
    </w:p>
    <w:p w14:paraId="05581FFD" w14:textId="77777777" w:rsidR="00785A82" w:rsidRDefault="00785A82" w:rsidP="00EC5F40">
      <w:pPr>
        <w:pStyle w:val="Akapitzlist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E2FBF">
        <w:rPr>
          <w:rFonts w:ascii="Open Sans" w:hAnsi="Open Sans" w:cs="Open Sans"/>
          <w:sz w:val="20"/>
          <w:szCs w:val="20"/>
        </w:rPr>
        <w:t>Kryterium „Cena</w:t>
      </w:r>
      <w:r w:rsidRPr="00EC5F4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C5F40">
        <w:rPr>
          <w:rFonts w:ascii="Open Sans" w:hAnsi="Open Sans" w:cs="Open Sans"/>
          <w:sz w:val="20"/>
          <w:szCs w:val="20"/>
        </w:rPr>
        <w:t xml:space="preserve">całego zamówienia” będzie rozpatrywane na podstawie ceny brutto za wykonanie   przedmiotu zamówienia, podanej przez Wykonawcę w „Formularzu ofertowym”. </w:t>
      </w:r>
    </w:p>
    <w:p w14:paraId="20CFF152" w14:textId="77777777" w:rsidR="00785A82" w:rsidRPr="00EC5F40" w:rsidRDefault="00785A82" w:rsidP="00EC5F40">
      <w:pPr>
        <w:pStyle w:val="Akapitzlist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C5F40">
        <w:rPr>
          <w:rFonts w:ascii="Open Sans" w:hAnsi="Open Sans" w:cs="Open Sans"/>
          <w:sz w:val="20"/>
          <w:szCs w:val="20"/>
        </w:rPr>
        <w:t>Kryterium „Cena całego zamówienia” zostanie obliczona zgodnie ze wzorem:</w:t>
      </w:r>
    </w:p>
    <w:p w14:paraId="6469AA68" w14:textId="77777777" w:rsidR="00785A82" w:rsidRPr="00C8163A" w:rsidRDefault="00785A82" w:rsidP="00785A82">
      <w:pPr>
        <w:tabs>
          <w:tab w:val="left" w:pos="993"/>
        </w:tabs>
        <w:spacing w:after="0" w:line="240" w:lineRule="auto"/>
        <w:ind w:left="993"/>
        <w:contextualSpacing/>
        <w:rPr>
          <w:rFonts w:ascii="Open Sans" w:eastAsia="Cambria" w:hAnsi="Open Sans" w:cs="Open Sans"/>
          <w:sz w:val="20"/>
          <w:szCs w:val="20"/>
        </w:rPr>
      </w:pPr>
    </w:p>
    <w:p w14:paraId="44BB4CE5" w14:textId="77777777" w:rsidR="00785A82" w:rsidRPr="00C8163A" w:rsidRDefault="00785A82" w:rsidP="00785A82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Najniższa cena brutto z ocenianych ofert</w:t>
      </w:r>
    </w:p>
    <w:p w14:paraId="6081C35B" w14:textId="77777777" w:rsidR="00785A82" w:rsidRPr="00C8163A" w:rsidRDefault="00785A82" w:rsidP="00785A82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------------------------------------------------------------- x 100 = ilość uzyskanych punktów.</w:t>
      </w:r>
    </w:p>
    <w:p w14:paraId="77287582" w14:textId="10675795" w:rsidR="00785A82" w:rsidRPr="00C8163A" w:rsidRDefault="00785A82" w:rsidP="006E2FBF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Cena brutto badanej oferty</w:t>
      </w:r>
    </w:p>
    <w:p w14:paraId="663104D2" w14:textId="77777777" w:rsidR="00785A82" w:rsidRPr="00C8163A" w:rsidRDefault="00785A82" w:rsidP="00785A82">
      <w:p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192CB3A" w14:textId="3F5AEF4C" w:rsidR="00785A82" w:rsidRDefault="00785A82" w:rsidP="00EC5F40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Open Sans" w:eastAsia="Cambria" w:hAnsi="Open Sans" w:cs="Open Sans"/>
          <w:sz w:val="20"/>
        </w:rPr>
      </w:pPr>
      <w:r w:rsidRPr="00EC5F40">
        <w:rPr>
          <w:rFonts w:ascii="Open Sans" w:eastAsia="Cambria" w:hAnsi="Open Sans" w:cs="Open Sans"/>
          <w:sz w:val="20"/>
        </w:rPr>
        <w:t>Punkty będą liczone z dokładnością do dwóch miejsc po przecinku, stosując powszechne zasady zaokrąglania.</w:t>
      </w:r>
    </w:p>
    <w:p w14:paraId="778B28DD" w14:textId="77777777" w:rsidR="00785A82" w:rsidRPr="00EC5F40" w:rsidRDefault="00785A82" w:rsidP="00EC5F40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Open Sans" w:eastAsia="Cambria" w:hAnsi="Open Sans" w:cs="Open Sans"/>
          <w:sz w:val="20"/>
        </w:rPr>
      </w:pPr>
      <w:r w:rsidRPr="00EC5F4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 udzieli zamówienia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Wykonawcy, 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którego oferta odpowiada wszystkim wymogom zawartym w szczegółowym opisie przedmiotu zamówienia i zostanie oceniona jako najkorzystniejsza – w oparciu o podane kryterium wyboru, uzyskując najwyższą liczbę punktów. </w:t>
      </w:r>
    </w:p>
    <w:p w14:paraId="30AB9A5A" w14:textId="4FC2A212" w:rsidR="00785A82" w:rsidRPr="00EC5F40" w:rsidRDefault="00785A82" w:rsidP="00EC5F40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toku badania i oceny ofert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>Zamawiający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może żądać od Wykonawcy wyjaśnień dotyczących treści </w:t>
      </w:r>
      <w:r w:rsidRPr="00EC5F4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złożonych ofert. </w:t>
      </w:r>
    </w:p>
    <w:p w14:paraId="424D3BA6" w14:textId="30CD16E0" w:rsidR="00785A82" w:rsidRPr="00EC5F40" w:rsidRDefault="00785A82" w:rsidP="00EC5F40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Zamawiający nie będzie mógł wybrać najkorzystniejszej oferty ze względu 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na to, że złożone zostały oferty, które uzyskały taką samą liczbę punktów, Zamawiający wezwie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Wykonawców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>, których oferty uzyskały tę samą liczbę punktów, do złożenia – w terminie określonym przez Zamawiającego – ofert dodatkowych. Kwota w ofercie dodatkowej nie może przewyższać kwoty w pierwotnie złożonej ofercie.</w:t>
      </w:r>
    </w:p>
    <w:p w14:paraId="7FFFCB66" w14:textId="77777777" w:rsidR="00785A82" w:rsidRPr="00C63977" w:rsidRDefault="00785A82" w:rsidP="00785A82">
      <w:pPr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139CEE23" w14:textId="066870BC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317003CF" w14:textId="77777777" w:rsidR="00D261C2" w:rsidRDefault="00D261C2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sectPr w:rsidR="00D261C2" w:rsidSect="007F4548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0F"/>
    <w:multiLevelType w:val="hybridMultilevel"/>
    <w:tmpl w:val="BE00979C"/>
    <w:lvl w:ilvl="0" w:tplc="75B04202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B418B260">
      <w:start w:val="1"/>
      <w:numFmt w:val="decimal"/>
      <w:lvlText w:val="%2."/>
      <w:lvlJc w:val="left"/>
      <w:pPr>
        <w:ind w:left="1505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D63AC5"/>
    <w:multiLevelType w:val="hybridMultilevel"/>
    <w:tmpl w:val="EFBEEDDE"/>
    <w:lvl w:ilvl="0" w:tplc="6408E5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EE5AE6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3A7"/>
    <w:multiLevelType w:val="hybridMultilevel"/>
    <w:tmpl w:val="EED89604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801AD024">
      <w:start w:val="1"/>
      <w:numFmt w:val="decimal"/>
      <w:lvlText w:val="%7."/>
      <w:lvlJc w:val="left"/>
      <w:pPr>
        <w:ind w:left="617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26AD696C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4" w15:restartNumberingAfterBreak="0">
    <w:nsid w:val="369772DD"/>
    <w:multiLevelType w:val="multilevel"/>
    <w:tmpl w:val="BDBA1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5" w15:restartNumberingAfterBreak="0">
    <w:nsid w:val="38ED274C"/>
    <w:multiLevelType w:val="hybridMultilevel"/>
    <w:tmpl w:val="BCC6AA88"/>
    <w:lvl w:ilvl="0" w:tplc="B928B6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6B4B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173FFE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8" w15:restartNumberingAfterBreak="0">
    <w:nsid w:val="53EE1FB3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53279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AC5734"/>
    <w:multiLevelType w:val="hybridMultilevel"/>
    <w:tmpl w:val="0556F72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59B"/>
    <w:multiLevelType w:val="hybridMultilevel"/>
    <w:tmpl w:val="100AD516"/>
    <w:lvl w:ilvl="0" w:tplc="007E24C6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716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70F0C"/>
    <w:multiLevelType w:val="multilevel"/>
    <w:tmpl w:val="E606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5350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635766">
    <w:abstractNumId w:val="2"/>
  </w:num>
  <w:num w:numId="3" w16cid:durableId="754396485">
    <w:abstractNumId w:val="7"/>
  </w:num>
  <w:num w:numId="4" w16cid:durableId="838886700">
    <w:abstractNumId w:val="6"/>
  </w:num>
  <w:num w:numId="5" w16cid:durableId="770706592">
    <w:abstractNumId w:val="5"/>
  </w:num>
  <w:num w:numId="6" w16cid:durableId="2080446515">
    <w:abstractNumId w:val="11"/>
  </w:num>
  <w:num w:numId="7" w16cid:durableId="109907799">
    <w:abstractNumId w:val="0"/>
  </w:num>
  <w:num w:numId="8" w16cid:durableId="1594046766">
    <w:abstractNumId w:val="4"/>
  </w:num>
  <w:num w:numId="9" w16cid:durableId="1006786403">
    <w:abstractNumId w:val="8"/>
  </w:num>
  <w:num w:numId="10" w16cid:durableId="2099785330">
    <w:abstractNumId w:val="9"/>
  </w:num>
  <w:num w:numId="11" w16cid:durableId="54935525">
    <w:abstractNumId w:val="10"/>
  </w:num>
  <w:num w:numId="12" w16cid:durableId="1565094934">
    <w:abstractNumId w:val="1"/>
  </w:num>
  <w:num w:numId="13" w16cid:durableId="1221329535">
    <w:abstractNumId w:val="12"/>
  </w:num>
  <w:num w:numId="14" w16cid:durableId="799762610">
    <w:abstractNumId w:val="3"/>
  </w:num>
  <w:num w:numId="15" w16cid:durableId="20531149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61"/>
    <w:rsid w:val="00012EA5"/>
    <w:rsid w:val="0001777B"/>
    <w:rsid w:val="0003383E"/>
    <w:rsid w:val="00044655"/>
    <w:rsid w:val="00060421"/>
    <w:rsid w:val="00061899"/>
    <w:rsid w:val="00070B73"/>
    <w:rsid w:val="000908DD"/>
    <w:rsid w:val="000A0893"/>
    <w:rsid w:val="000A32E9"/>
    <w:rsid w:val="000C59E9"/>
    <w:rsid w:val="000E3675"/>
    <w:rsid w:val="000E74AD"/>
    <w:rsid w:val="000F04D2"/>
    <w:rsid w:val="00100DAB"/>
    <w:rsid w:val="00104607"/>
    <w:rsid w:val="001146A2"/>
    <w:rsid w:val="00122D64"/>
    <w:rsid w:val="0012798C"/>
    <w:rsid w:val="001770CE"/>
    <w:rsid w:val="001A2D00"/>
    <w:rsid w:val="001A4D34"/>
    <w:rsid w:val="001D4E98"/>
    <w:rsid w:val="001D7648"/>
    <w:rsid w:val="001E51A8"/>
    <w:rsid w:val="001F530C"/>
    <w:rsid w:val="00212B32"/>
    <w:rsid w:val="00221009"/>
    <w:rsid w:val="00231CB9"/>
    <w:rsid w:val="00234E10"/>
    <w:rsid w:val="0023729A"/>
    <w:rsid w:val="00272DA4"/>
    <w:rsid w:val="002861E1"/>
    <w:rsid w:val="002879FF"/>
    <w:rsid w:val="002A4039"/>
    <w:rsid w:val="002D4092"/>
    <w:rsid w:val="002E2D4D"/>
    <w:rsid w:val="002E490A"/>
    <w:rsid w:val="002F0B76"/>
    <w:rsid w:val="002F0FFB"/>
    <w:rsid w:val="002F2EC5"/>
    <w:rsid w:val="00337D43"/>
    <w:rsid w:val="00355C5D"/>
    <w:rsid w:val="00380FC5"/>
    <w:rsid w:val="0038444D"/>
    <w:rsid w:val="003872B0"/>
    <w:rsid w:val="00397F6E"/>
    <w:rsid w:val="003B4C11"/>
    <w:rsid w:val="003B611E"/>
    <w:rsid w:val="003C337D"/>
    <w:rsid w:val="003D7A96"/>
    <w:rsid w:val="004043E4"/>
    <w:rsid w:val="00404D2C"/>
    <w:rsid w:val="00417FAC"/>
    <w:rsid w:val="00420143"/>
    <w:rsid w:val="00436E38"/>
    <w:rsid w:val="004655A5"/>
    <w:rsid w:val="00475E80"/>
    <w:rsid w:val="004818AA"/>
    <w:rsid w:val="00497CCA"/>
    <w:rsid w:val="004A05E6"/>
    <w:rsid w:val="004A1067"/>
    <w:rsid w:val="004A66F2"/>
    <w:rsid w:val="004B2B36"/>
    <w:rsid w:val="004C2851"/>
    <w:rsid w:val="004F4AB8"/>
    <w:rsid w:val="00505880"/>
    <w:rsid w:val="00513BAA"/>
    <w:rsid w:val="00514A4B"/>
    <w:rsid w:val="005225AD"/>
    <w:rsid w:val="0052692D"/>
    <w:rsid w:val="005444C0"/>
    <w:rsid w:val="005552D0"/>
    <w:rsid w:val="00574B05"/>
    <w:rsid w:val="005A6761"/>
    <w:rsid w:val="005B050C"/>
    <w:rsid w:val="005B0695"/>
    <w:rsid w:val="005D5095"/>
    <w:rsid w:val="005D77AB"/>
    <w:rsid w:val="005E4A11"/>
    <w:rsid w:val="00611F84"/>
    <w:rsid w:val="0062417B"/>
    <w:rsid w:val="00664C42"/>
    <w:rsid w:val="00671A0D"/>
    <w:rsid w:val="00687A17"/>
    <w:rsid w:val="006A2B4E"/>
    <w:rsid w:val="006A2D26"/>
    <w:rsid w:val="006C2D37"/>
    <w:rsid w:val="006D6A94"/>
    <w:rsid w:val="006E2FBF"/>
    <w:rsid w:val="006F2D6E"/>
    <w:rsid w:val="007060BB"/>
    <w:rsid w:val="007156E4"/>
    <w:rsid w:val="00715BCF"/>
    <w:rsid w:val="007205CF"/>
    <w:rsid w:val="0073374E"/>
    <w:rsid w:val="00760CA0"/>
    <w:rsid w:val="00785A82"/>
    <w:rsid w:val="007A112C"/>
    <w:rsid w:val="007A7DA0"/>
    <w:rsid w:val="007B0ED2"/>
    <w:rsid w:val="007B2866"/>
    <w:rsid w:val="007C168E"/>
    <w:rsid w:val="007C2E10"/>
    <w:rsid w:val="007C6E61"/>
    <w:rsid w:val="007E350A"/>
    <w:rsid w:val="007F16F6"/>
    <w:rsid w:val="007F4548"/>
    <w:rsid w:val="007F7883"/>
    <w:rsid w:val="00803B56"/>
    <w:rsid w:val="0080768A"/>
    <w:rsid w:val="00810E20"/>
    <w:rsid w:val="008378A8"/>
    <w:rsid w:val="008474B9"/>
    <w:rsid w:val="00847B62"/>
    <w:rsid w:val="008504C9"/>
    <w:rsid w:val="0087145B"/>
    <w:rsid w:val="008817D4"/>
    <w:rsid w:val="00890AC2"/>
    <w:rsid w:val="008B2B8E"/>
    <w:rsid w:val="008B6669"/>
    <w:rsid w:val="008C4EE4"/>
    <w:rsid w:val="008C545F"/>
    <w:rsid w:val="008F0E02"/>
    <w:rsid w:val="008F5E04"/>
    <w:rsid w:val="00901678"/>
    <w:rsid w:val="009175B3"/>
    <w:rsid w:val="009255BD"/>
    <w:rsid w:val="00927A18"/>
    <w:rsid w:val="009450A6"/>
    <w:rsid w:val="009472E9"/>
    <w:rsid w:val="0099123A"/>
    <w:rsid w:val="009D3D87"/>
    <w:rsid w:val="009E4EA3"/>
    <w:rsid w:val="00A070B5"/>
    <w:rsid w:val="00A30B8C"/>
    <w:rsid w:val="00A31495"/>
    <w:rsid w:val="00A35204"/>
    <w:rsid w:val="00A422F5"/>
    <w:rsid w:val="00A45DE4"/>
    <w:rsid w:val="00A534F2"/>
    <w:rsid w:val="00A5578F"/>
    <w:rsid w:val="00A564D2"/>
    <w:rsid w:val="00AB3123"/>
    <w:rsid w:val="00AB4008"/>
    <w:rsid w:val="00AC2950"/>
    <w:rsid w:val="00AC4A72"/>
    <w:rsid w:val="00AD1569"/>
    <w:rsid w:val="00AD3B24"/>
    <w:rsid w:val="00AD4F08"/>
    <w:rsid w:val="00B25711"/>
    <w:rsid w:val="00B43537"/>
    <w:rsid w:val="00B51BD6"/>
    <w:rsid w:val="00B7387D"/>
    <w:rsid w:val="00BA5228"/>
    <w:rsid w:val="00BD06A8"/>
    <w:rsid w:val="00BF37A1"/>
    <w:rsid w:val="00C0614E"/>
    <w:rsid w:val="00C22FAE"/>
    <w:rsid w:val="00C63977"/>
    <w:rsid w:val="00C8163A"/>
    <w:rsid w:val="00C94DC1"/>
    <w:rsid w:val="00CA297A"/>
    <w:rsid w:val="00CB3410"/>
    <w:rsid w:val="00CC391D"/>
    <w:rsid w:val="00CD1D3A"/>
    <w:rsid w:val="00CD6E11"/>
    <w:rsid w:val="00CF2710"/>
    <w:rsid w:val="00CF382B"/>
    <w:rsid w:val="00CF43A8"/>
    <w:rsid w:val="00CF6554"/>
    <w:rsid w:val="00CF6761"/>
    <w:rsid w:val="00D0088D"/>
    <w:rsid w:val="00D22159"/>
    <w:rsid w:val="00D261C2"/>
    <w:rsid w:val="00D531FA"/>
    <w:rsid w:val="00D64977"/>
    <w:rsid w:val="00D74540"/>
    <w:rsid w:val="00D776E0"/>
    <w:rsid w:val="00D81BBB"/>
    <w:rsid w:val="00D87D36"/>
    <w:rsid w:val="00D87E3B"/>
    <w:rsid w:val="00D94261"/>
    <w:rsid w:val="00DA79B1"/>
    <w:rsid w:val="00DB552E"/>
    <w:rsid w:val="00DB69D4"/>
    <w:rsid w:val="00DD38BD"/>
    <w:rsid w:val="00DD5B24"/>
    <w:rsid w:val="00E03C11"/>
    <w:rsid w:val="00E03EBC"/>
    <w:rsid w:val="00E371EF"/>
    <w:rsid w:val="00E410DF"/>
    <w:rsid w:val="00E42CF2"/>
    <w:rsid w:val="00E533A3"/>
    <w:rsid w:val="00E73C95"/>
    <w:rsid w:val="00E958BD"/>
    <w:rsid w:val="00EC18A3"/>
    <w:rsid w:val="00EC5F40"/>
    <w:rsid w:val="00ED0FF5"/>
    <w:rsid w:val="00ED6D27"/>
    <w:rsid w:val="00EE04F5"/>
    <w:rsid w:val="00EE48E3"/>
    <w:rsid w:val="00EF56B0"/>
    <w:rsid w:val="00EF79D4"/>
    <w:rsid w:val="00F0684D"/>
    <w:rsid w:val="00F22CBA"/>
    <w:rsid w:val="00F34214"/>
    <w:rsid w:val="00F4705C"/>
    <w:rsid w:val="00F64C66"/>
    <w:rsid w:val="00F75E16"/>
    <w:rsid w:val="00F913FE"/>
    <w:rsid w:val="00F96271"/>
    <w:rsid w:val="00FA0CD6"/>
    <w:rsid w:val="00FC3DC6"/>
    <w:rsid w:val="00FD77E4"/>
    <w:rsid w:val="00FE7266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docId w15:val="{5A107462-4AAA-4990-97B4-EDA6B6E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872B0"/>
    <w:rPr>
      <w:rFonts w:ascii="Calibri" w:eastAsia="Calibri" w:hAnsi="Calibri" w:cs="Times New Roman"/>
      <w:sz w:val="24"/>
    </w:rPr>
  </w:style>
  <w:style w:type="paragraph" w:styleId="Tytu">
    <w:name w:val="Title"/>
    <w:basedOn w:val="Normalny"/>
    <w:link w:val="TytuZnak"/>
    <w:qFormat/>
    <w:rsid w:val="001E51A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51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Pogrubienie">
    <w:name w:val="Strong"/>
    <w:qFormat/>
    <w:rsid w:val="001E51A8"/>
    <w:rPr>
      <w:b/>
      <w:bCs/>
    </w:rPr>
  </w:style>
  <w:style w:type="paragraph" w:styleId="Tekstpodstawowywcity">
    <w:name w:val="Body Text Indent"/>
    <w:basedOn w:val="Normalny"/>
    <w:link w:val="TekstpodstawowywcityZnak"/>
    <w:rsid w:val="00C63977"/>
    <w:pPr>
      <w:spacing w:after="120" w:line="276" w:lineRule="auto"/>
      <w:ind w:left="283"/>
      <w:jc w:val="left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977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C639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4</cp:revision>
  <cp:lastPrinted>2023-05-05T07:18:00Z</cp:lastPrinted>
  <dcterms:created xsi:type="dcterms:W3CDTF">2023-05-22T05:42:00Z</dcterms:created>
  <dcterms:modified xsi:type="dcterms:W3CDTF">2023-05-22T06:14:00Z</dcterms:modified>
</cp:coreProperties>
</file>